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17DA2" w14:textId="77777777" w:rsidR="00967354" w:rsidRPr="00967354" w:rsidRDefault="00967354" w:rsidP="00967354">
      <w:pPr>
        <w:jc w:val="center"/>
        <w:rPr>
          <w:rFonts w:ascii="Arial" w:hAnsi="Arial" w:cs="Arial"/>
          <w:b/>
        </w:rPr>
      </w:pPr>
      <w:r w:rsidRPr="00967354">
        <w:rPr>
          <w:rFonts w:ascii="Arial" w:hAnsi="Arial" w:cs="Arial"/>
          <w:b/>
        </w:rPr>
        <w:t>Gender Pay Results for WM OPCC</w:t>
      </w:r>
    </w:p>
    <w:p w14:paraId="11FDA125"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 xml:space="preserve">Although we are not obliged to publish the Gender Pay Gap for our organisation it is good practice to do so.  I present the statistics as of end March 2017 and as our workforce has changed over the last months I have also calculated the results 31 December 2017 and include them in brackets where appropriate. </w:t>
      </w:r>
    </w:p>
    <w:p w14:paraId="4A1BD47E"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Context: at the end of March 2017 we had 32 employees, of which 10 were males and 22 female (Dec 2017: 35, with 13 male and 22 female). The Commissioner and ACCs are not included, nor are contractors including Board Members.  (Quick analysis reveals PCC &amp; APCC 2 males, 1 female, Contractors: 1 male, Board Members: 5 males, 2 females)</w:t>
      </w:r>
    </w:p>
    <w:p w14:paraId="28B3CDA0"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Answers to the national questions:</w:t>
      </w:r>
    </w:p>
    <w:p w14:paraId="14E44387"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proofErr w:type="gramStart"/>
      <w:r w:rsidRPr="00166226">
        <w:rPr>
          <w:rFonts w:ascii="Arial" w:hAnsi="Arial" w:cs="Arial"/>
          <w:color w:val="000000"/>
          <w:lang w:eastAsia="en-GB"/>
        </w:rPr>
        <w:t>average</w:t>
      </w:r>
      <w:proofErr w:type="gramEnd"/>
      <w:r w:rsidRPr="00166226">
        <w:rPr>
          <w:rFonts w:ascii="Arial" w:hAnsi="Arial" w:cs="Arial"/>
          <w:color w:val="000000"/>
          <w:lang w:eastAsia="en-GB"/>
        </w:rPr>
        <w:t xml:space="preserve"> gender pay gap as a mean average = 3.6% (Dec 2017 -7.2%)</w:t>
      </w:r>
    </w:p>
    <w:p w14:paraId="13FF41B3"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proofErr w:type="gramStart"/>
      <w:r w:rsidRPr="00166226">
        <w:rPr>
          <w:rFonts w:ascii="Arial" w:hAnsi="Arial" w:cs="Arial"/>
          <w:color w:val="000000"/>
          <w:lang w:eastAsia="en-GB"/>
        </w:rPr>
        <w:t>average</w:t>
      </w:r>
      <w:proofErr w:type="gramEnd"/>
      <w:r w:rsidRPr="00166226">
        <w:rPr>
          <w:rFonts w:ascii="Arial" w:hAnsi="Arial" w:cs="Arial"/>
          <w:color w:val="000000"/>
          <w:lang w:eastAsia="en-GB"/>
        </w:rPr>
        <w:t xml:space="preserve"> gender pay gap as a median average = 0% (Dec 2017 -6.19%)</w:t>
      </w:r>
    </w:p>
    <w:p w14:paraId="42883796"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r w:rsidRPr="00166226">
        <w:rPr>
          <w:rFonts w:ascii="Arial" w:hAnsi="Arial" w:cs="Arial"/>
          <w:color w:val="000000"/>
          <w:lang w:eastAsia="en-GB"/>
        </w:rPr>
        <w:t>average bonus gender pay gap as a mean average – NIL RETURN</w:t>
      </w:r>
    </w:p>
    <w:p w14:paraId="7EC93ADF"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r w:rsidRPr="00166226">
        <w:rPr>
          <w:rFonts w:ascii="Arial" w:hAnsi="Arial" w:cs="Arial"/>
          <w:color w:val="000000"/>
          <w:lang w:eastAsia="en-GB"/>
        </w:rPr>
        <w:t>average bonus gender pay gap as a median average – NIL RETURN</w:t>
      </w:r>
    </w:p>
    <w:p w14:paraId="08E484DC"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r w:rsidRPr="00166226">
        <w:rPr>
          <w:rFonts w:ascii="Arial" w:hAnsi="Arial" w:cs="Arial"/>
          <w:color w:val="000000"/>
          <w:lang w:eastAsia="en-GB"/>
        </w:rPr>
        <w:t>proportion of males receiving a bonus payment and proportion of females receiving a bonus payment – NIL RETURN</w:t>
      </w:r>
    </w:p>
    <w:p w14:paraId="41C9AB89" w14:textId="77777777" w:rsidR="00967354" w:rsidRPr="00166226" w:rsidRDefault="00967354" w:rsidP="00967354">
      <w:pPr>
        <w:numPr>
          <w:ilvl w:val="0"/>
          <w:numId w:val="2"/>
        </w:numPr>
        <w:shd w:val="clear" w:color="auto" w:fill="FFFFFF"/>
        <w:spacing w:before="100" w:beforeAutospacing="1" w:after="168" w:line="240" w:lineRule="auto"/>
        <w:ind w:left="840"/>
        <w:textAlignment w:val="top"/>
        <w:rPr>
          <w:rFonts w:ascii="Arial" w:hAnsi="Arial" w:cs="Arial"/>
          <w:color w:val="000000"/>
          <w:lang w:eastAsia="en-GB"/>
        </w:rPr>
      </w:pPr>
      <w:proofErr w:type="gramStart"/>
      <w:r w:rsidRPr="00166226">
        <w:rPr>
          <w:rFonts w:ascii="Arial" w:hAnsi="Arial" w:cs="Arial"/>
          <w:color w:val="000000"/>
          <w:lang w:eastAsia="en-GB"/>
        </w:rPr>
        <w:t>proportion</w:t>
      </w:r>
      <w:proofErr w:type="gramEnd"/>
      <w:r w:rsidRPr="00166226">
        <w:rPr>
          <w:rFonts w:ascii="Arial" w:hAnsi="Arial" w:cs="Arial"/>
          <w:color w:val="000000"/>
          <w:lang w:eastAsia="en-GB"/>
        </w:rPr>
        <w:t xml:space="preserve"> of males and females when divided into four groups ordered from lowest to highest pay.</w:t>
      </w:r>
    </w:p>
    <w:tbl>
      <w:tblPr>
        <w:tblW w:w="0" w:type="auto"/>
        <w:tblInd w:w="720" w:type="dxa"/>
        <w:tblCellMar>
          <w:left w:w="0" w:type="dxa"/>
          <w:right w:w="0" w:type="dxa"/>
        </w:tblCellMar>
        <w:tblLook w:val="04A0" w:firstRow="1" w:lastRow="0" w:firstColumn="1" w:lastColumn="0" w:noHBand="0" w:noVBand="1"/>
      </w:tblPr>
      <w:tblGrid>
        <w:gridCol w:w="2762"/>
        <w:gridCol w:w="1381"/>
        <w:gridCol w:w="1381"/>
        <w:gridCol w:w="1381"/>
        <w:gridCol w:w="1381"/>
      </w:tblGrid>
      <w:tr w:rsidR="00967354" w:rsidRPr="00166226" w14:paraId="569CA49E" w14:textId="77777777" w:rsidTr="00DC338F">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688C6" w14:textId="77777777" w:rsidR="00967354" w:rsidRPr="00166226" w:rsidRDefault="00967354" w:rsidP="00DC338F">
            <w:pPr>
              <w:spacing w:before="100" w:beforeAutospacing="1" w:after="168"/>
              <w:textAlignment w:val="top"/>
              <w:rPr>
                <w:rFonts w:ascii="Arial" w:hAnsi="Arial" w:cs="Arial"/>
                <w:color w:val="000000"/>
                <w:lang w:eastAsia="en-GB"/>
              </w:rPr>
            </w:pPr>
          </w:p>
        </w:tc>
        <w:tc>
          <w:tcPr>
            <w:tcW w:w="27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A0440"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 Male</w:t>
            </w:r>
          </w:p>
        </w:tc>
        <w:tc>
          <w:tcPr>
            <w:tcW w:w="27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1C983"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 xml:space="preserve">% Female </w:t>
            </w:r>
          </w:p>
        </w:tc>
      </w:tr>
      <w:tr w:rsidR="00967354" w:rsidRPr="00166226" w14:paraId="62C17D97" w14:textId="77777777" w:rsidTr="00DC338F">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642F2B" w14:textId="77777777" w:rsidR="00967354" w:rsidRPr="00166226" w:rsidRDefault="00967354" w:rsidP="00DC338F">
            <w:pPr>
              <w:spacing w:before="100" w:beforeAutospacing="1" w:after="168"/>
              <w:textAlignment w:val="top"/>
              <w:rPr>
                <w:rFonts w:ascii="Arial" w:hAnsi="Arial" w:cs="Arial"/>
                <w:color w:val="000000"/>
                <w:lang w:eastAsia="en-GB"/>
              </w:rPr>
            </w:pPr>
          </w:p>
        </w:tc>
        <w:tc>
          <w:tcPr>
            <w:tcW w:w="138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72626E"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Mar 17</w:t>
            </w:r>
          </w:p>
        </w:tc>
        <w:tc>
          <w:tcPr>
            <w:tcW w:w="1381" w:type="dxa"/>
            <w:tcBorders>
              <w:top w:val="single" w:sz="8" w:space="0" w:color="auto"/>
              <w:left w:val="single" w:sz="4" w:space="0" w:color="auto"/>
              <w:bottom w:val="single" w:sz="8" w:space="0" w:color="auto"/>
              <w:right w:val="single" w:sz="8" w:space="0" w:color="auto"/>
            </w:tcBorders>
          </w:tcPr>
          <w:p w14:paraId="0736FFB0"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Dec 17</w:t>
            </w:r>
          </w:p>
        </w:tc>
        <w:tc>
          <w:tcPr>
            <w:tcW w:w="138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3FBC1BA"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Mar 17</w:t>
            </w:r>
          </w:p>
        </w:tc>
        <w:tc>
          <w:tcPr>
            <w:tcW w:w="1381" w:type="dxa"/>
            <w:tcBorders>
              <w:top w:val="single" w:sz="8" w:space="0" w:color="auto"/>
              <w:left w:val="single" w:sz="4" w:space="0" w:color="auto"/>
              <w:bottom w:val="single" w:sz="8" w:space="0" w:color="auto"/>
              <w:right w:val="single" w:sz="8" w:space="0" w:color="auto"/>
            </w:tcBorders>
          </w:tcPr>
          <w:p w14:paraId="4C43DEA7"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Dec 17</w:t>
            </w:r>
          </w:p>
        </w:tc>
      </w:tr>
      <w:tr w:rsidR="00967354" w:rsidRPr="00166226" w14:paraId="50E7788F" w14:textId="77777777" w:rsidTr="00DC338F">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BEA4A"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Quartile 1</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6257E9F4"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37.5</w:t>
            </w:r>
          </w:p>
        </w:tc>
        <w:tc>
          <w:tcPr>
            <w:tcW w:w="1381" w:type="dxa"/>
            <w:tcBorders>
              <w:top w:val="nil"/>
              <w:left w:val="single" w:sz="4" w:space="0" w:color="auto"/>
              <w:bottom w:val="single" w:sz="8" w:space="0" w:color="auto"/>
              <w:right w:val="single" w:sz="8" w:space="0" w:color="auto"/>
            </w:tcBorders>
          </w:tcPr>
          <w:p w14:paraId="61B72402"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55.6</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49ED4FEB"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62.5</w:t>
            </w:r>
          </w:p>
        </w:tc>
        <w:tc>
          <w:tcPr>
            <w:tcW w:w="1381" w:type="dxa"/>
            <w:tcBorders>
              <w:top w:val="nil"/>
              <w:left w:val="single" w:sz="4" w:space="0" w:color="auto"/>
              <w:bottom w:val="single" w:sz="8" w:space="0" w:color="auto"/>
              <w:right w:val="single" w:sz="8" w:space="0" w:color="auto"/>
            </w:tcBorders>
          </w:tcPr>
          <w:p w14:paraId="301FD97E"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44.4</w:t>
            </w:r>
          </w:p>
        </w:tc>
      </w:tr>
      <w:tr w:rsidR="00967354" w:rsidRPr="00166226" w14:paraId="22339236" w14:textId="77777777" w:rsidTr="00DC338F">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8F238"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Quartile 2</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01413A3F"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37.5</w:t>
            </w:r>
          </w:p>
        </w:tc>
        <w:tc>
          <w:tcPr>
            <w:tcW w:w="1381" w:type="dxa"/>
            <w:tcBorders>
              <w:top w:val="nil"/>
              <w:left w:val="single" w:sz="4" w:space="0" w:color="auto"/>
              <w:bottom w:val="single" w:sz="8" w:space="0" w:color="auto"/>
              <w:right w:val="single" w:sz="8" w:space="0" w:color="auto"/>
            </w:tcBorders>
          </w:tcPr>
          <w:p w14:paraId="3E642594"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33.3</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23027C6E"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62.5</w:t>
            </w:r>
          </w:p>
        </w:tc>
        <w:tc>
          <w:tcPr>
            <w:tcW w:w="1381" w:type="dxa"/>
            <w:tcBorders>
              <w:top w:val="nil"/>
              <w:left w:val="single" w:sz="4" w:space="0" w:color="auto"/>
              <w:bottom w:val="single" w:sz="8" w:space="0" w:color="auto"/>
              <w:right w:val="single" w:sz="8" w:space="0" w:color="auto"/>
            </w:tcBorders>
          </w:tcPr>
          <w:p w14:paraId="316C48DA"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66.7</w:t>
            </w:r>
          </w:p>
        </w:tc>
      </w:tr>
      <w:tr w:rsidR="00967354" w:rsidRPr="00166226" w14:paraId="721E86D3" w14:textId="77777777" w:rsidTr="00DC338F">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CF23E"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Quartile 3</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6765F915"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12.5</w:t>
            </w:r>
          </w:p>
        </w:tc>
        <w:tc>
          <w:tcPr>
            <w:tcW w:w="1381" w:type="dxa"/>
            <w:tcBorders>
              <w:top w:val="nil"/>
              <w:left w:val="single" w:sz="4" w:space="0" w:color="auto"/>
              <w:bottom w:val="single" w:sz="8" w:space="0" w:color="auto"/>
              <w:right w:val="single" w:sz="8" w:space="0" w:color="auto"/>
            </w:tcBorders>
          </w:tcPr>
          <w:p w14:paraId="4E117C2F"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25</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0FD603F3" w14:textId="77777777" w:rsidR="00967354" w:rsidRPr="00166226" w:rsidRDefault="00967354" w:rsidP="00DC338F">
            <w:pPr>
              <w:spacing w:before="100" w:beforeAutospacing="1" w:after="168"/>
              <w:textAlignment w:val="top"/>
              <w:rPr>
                <w:rFonts w:ascii="Arial" w:hAnsi="Arial" w:cs="Arial"/>
                <w:color w:val="000000"/>
                <w:lang w:eastAsia="en-GB"/>
              </w:rPr>
            </w:pPr>
            <w:r>
              <w:rPr>
                <w:rFonts w:ascii="Arial" w:hAnsi="Arial" w:cs="Arial"/>
                <w:color w:val="000000"/>
                <w:lang w:eastAsia="en-GB"/>
              </w:rPr>
              <w:t>87.5</w:t>
            </w:r>
          </w:p>
        </w:tc>
        <w:tc>
          <w:tcPr>
            <w:tcW w:w="1381" w:type="dxa"/>
            <w:tcBorders>
              <w:top w:val="nil"/>
              <w:left w:val="single" w:sz="4" w:space="0" w:color="auto"/>
              <w:bottom w:val="single" w:sz="8" w:space="0" w:color="auto"/>
              <w:right w:val="single" w:sz="8" w:space="0" w:color="auto"/>
            </w:tcBorders>
          </w:tcPr>
          <w:p w14:paraId="206231D5"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75</w:t>
            </w:r>
          </w:p>
        </w:tc>
      </w:tr>
      <w:tr w:rsidR="00967354" w:rsidRPr="00166226" w14:paraId="37A466FA" w14:textId="77777777" w:rsidTr="00DC338F">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53AD"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Quartile 4</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37C1D39D"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33.3</w:t>
            </w:r>
          </w:p>
        </w:tc>
        <w:tc>
          <w:tcPr>
            <w:tcW w:w="1381" w:type="dxa"/>
            <w:tcBorders>
              <w:top w:val="nil"/>
              <w:left w:val="single" w:sz="4" w:space="0" w:color="auto"/>
              <w:bottom w:val="single" w:sz="8" w:space="0" w:color="auto"/>
              <w:right w:val="single" w:sz="8" w:space="0" w:color="auto"/>
            </w:tcBorders>
          </w:tcPr>
          <w:p w14:paraId="21DFF79E"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33.3</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14:paraId="282B2A1D"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66.7</w:t>
            </w:r>
          </w:p>
        </w:tc>
        <w:tc>
          <w:tcPr>
            <w:tcW w:w="1381" w:type="dxa"/>
            <w:tcBorders>
              <w:top w:val="nil"/>
              <w:left w:val="single" w:sz="4" w:space="0" w:color="auto"/>
              <w:bottom w:val="single" w:sz="8" w:space="0" w:color="auto"/>
              <w:right w:val="single" w:sz="8" w:space="0" w:color="auto"/>
            </w:tcBorders>
          </w:tcPr>
          <w:p w14:paraId="1AFB597A" w14:textId="77777777" w:rsidR="00967354" w:rsidRPr="00166226" w:rsidRDefault="00967354" w:rsidP="00DC338F">
            <w:pPr>
              <w:spacing w:before="100" w:beforeAutospacing="1" w:after="168"/>
              <w:textAlignment w:val="top"/>
              <w:rPr>
                <w:rFonts w:ascii="Arial" w:hAnsi="Arial" w:cs="Arial"/>
                <w:color w:val="000000"/>
                <w:lang w:eastAsia="en-GB"/>
              </w:rPr>
            </w:pPr>
            <w:r w:rsidRPr="00166226">
              <w:rPr>
                <w:rFonts w:ascii="Arial" w:hAnsi="Arial" w:cs="Arial"/>
                <w:color w:val="000000"/>
                <w:lang w:eastAsia="en-GB"/>
              </w:rPr>
              <w:t>66.7</w:t>
            </w:r>
          </w:p>
        </w:tc>
      </w:tr>
    </w:tbl>
    <w:p w14:paraId="390F4D80"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Further detail:</w:t>
      </w:r>
    </w:p>
    <w:p w14:paraId="1B1D08AF"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Mean average (all pay for male/female divided by the number in that gender):</w:t>
      </w:r>
    </w:p>
    <w:p w14:paraId="43E2EB9A" w14:textId="77777777" w:rsidR="00967354" w:rsidRPr="00166226" w:rsidRDefault="00967354" w:rsidP="00967354">
      <w:pPr>
        <w:pStyle w:val="ListParagraph"/>
        <w:numPr>
          <w:ilvl w:val="0"/>
          <w:numId w:val="3"/>
        </w:numPr>
        <w:shd w:val="clear" w:color="auto" w:fill="FFFFFF"/>
        <w:spacing w:before="100" w:beforeAutospacing="1" w:after="168" w:line="240" w:lineRule="auto"/>
        <w:contextualSpacing w:val="0"/>
        <w:textAlignment w:val="top"/>
        <w:rPr>
          <w:rFonts w:ascii="Arial" w:hAnsi="Arial" w:cs="Arial"/>
          <w:color w:val="000000"/>
          <w:lang w:eastAsia="en-GB"/>
        </w:rPr>
      </w:pPr>
      <w:r w:rsidRPr="00166226">
        <w:rPr>
          <w:rFonts w:ascii="Arial" w:hAnsi="Arial" w:cs="Arial"/>
          <w:color w:val="000000"/>
          <w:lang w:eastAsia="en-GB"/>
        </w:rPr>
        <w:t>Male £20.01 (Dec 17 £19.83)</w:t>
      </w:r>
    </w:p>
    <w:p w14:paraId="73755E77" w14:textId="77777777" w:rsidR="00967354" w:rsidRPr="00166226" w:rsidRDefault="00967354" w:rsidP="00967354">
      <w:pPr>
        <w:pStyle w:val="ListParagraph"/>
        <w:numPr>
          <w:ilvl w:val="0"/>
          <w:numId w:val="3"/>
        </w:numPr>
        <w:shd w:val="clear" w:color="auto" w:fill="FFFFFF"/>
        <w:spacing w:before="100" w:beforeAutospacing="1" w:after="168" w:line="240" w:lineRule="auto"/>
        <w:contextualSpacing w:val="0"/>
        <w:textAlignment w:val="top"/>
        <w:rPr>
          <w:rFonts w:ascii="Arial" w:hAnsi="Arial" w:cs="Arial"/>
          <w:color w:val="000000"/>
          <w:lang w:eastAsia="en-GB"/>
        </w:rPr>
      </w:pPr>
      <w:r w:rsidRPr="00166226">
        <w:rPr>
          <w:rFonts w:ascii="Arial" w:hAnsi="Arial" w:cs="Arial"/>
          <w:color w:val="000000"/>
          <w:lang w:eastAsia="en-GB"/>
        </w:rPr>
        <w:t>Female £20.76 (Dec 17 £21.27)</w:t>
      </w:r>
    </w:p>
    <w:p w14:paraId="78B5EE2B" w14:textId="77777777" w:rsidR="00967354" w:rsidRPr="00166226" w:rsidRDefault="00967354" w:rsidP="00967354">
      <w:pPr>
        <w:shd w:val="clear" w:color="auto" w:fill="FFFFFF"/>
        <w:spacing w:before="100" w:beforeAutospacing="1" w:after="168"/>
        <w:textAlignment w:val="top"/>
        <w:rPr>
          <w:rFonts w:ascii="Arial" w:hAnsi="Arial" w:cs="Arial"/>
          <w:color w:val="000000"/>
          <w:lang w:eastAsia="en-GB"/>
        </w:rPr>
      </w:pPr>
      <w:r w:rsidRPr="00166226">
        <w:rPr>
          <w:rFonts w:ascii="Arial" w:hAnsi="Arial" w:cs="Arial"/>
          <w:color w:val="000000"/>
          <w:lang w:eastAsia="en-GB"/>
        </w:rPr>
        <w:t>Median average (line up all of each gender in order of pay and pick the midpoint):</w:t>
      </w:r>
    </w:p>
    <w:p w14:paraId="767EDA09" w14:textId="77777777" w:rsidR="00967354" w:rsidRPr="00166226" w:rsidRDefault="00967354" w:rsidP="00967354">
      <w:pPr>
        <w:pStyle w:val="ListParagraph"/>
        <w:numPr>
          <w:ilvl w:val="0"/>
          <w:numId w:val="3"/>
        </w:numPr>
        <w:shd w:val="clear" w:color="auto" w:fill="FFFFFF"/>
        <w:spacing w:before="100" w:beforeAutospacing="1" w:after="168" w:line="240" w:lineRule="auto"/>
        <w:contextualSpacing w:val="0"/>
        <w:textAlignment w:val="top"/>
        <w:rPr>
          <w:rFonts w:ascii="Arial" w:hAnsi="Arial" w:cs="Arial"/>
          <w:color w:val="000000"/>
          <w:lang w:eastAsia="en-GB"/>
        </w:rPr>
      </w:pPr>
      <w:r w:rsidRPr="00166226">
        <w:rPr>
          <w:rFonts w:ascii="Arial" w:hAnsi="Arial" w:cs="Arial"/>
          <w:color w:val="000000"/>
          <w:lang w:eastAsia="en-GB"/>
        </w:rPr>
        <w:t>Males £17.64 (Dec 17 £18.08)</w:t>
      </w:r>
    </w:p>
    <w:p w14:paraId="7B7F7331" w14:textId="77777777" w:rsidR="00967354" w:rsidRPr="00166226" w:rsidRDefault="00967354" w:rsidP="00967354">
      <w:pPr>
        <w:pStyle w:val="ListParagraph"/>
        <w:numPr>
          <w:ilvl w:val="0"/>
          <w:numId w:val="3"/>
        </w:numPr>
        <w:shd w:val="clear" w:color="auto" w:fill="FFFFFF"/>
        <w:spacing w:before="100" w:beforeAutospacing="1" w:after="168" w:line="240" w:lineRule="auto"/>
        <w:contextualSpacing w:val="0"/>
        <w:textAlignment w:val="top"/>
        <w:rPr>
          <w:rFonts w:ascii="Arial" w:hAnsi="Arial" w:cs="Arial"/>
          <w:color w:val="000000"/>
          <w:lang w:eastAsia="en-GB"/>
        </w:rPr>
      </w:pPr>
      <w:r w:rsidRPr="00166226">
        <w:rPr>
          <w:rFonts w:ascii="Arial" w:hAnsi="Arial" w:cs="Arial"/>
          <w:color w:val="000000"/>
          <w:lang w:eastAsia="en-GB"/>
        </w:rPr>
        <w:t>Female £17.64 (Dec 17 £19.20)</w:t>
      </w:r>
    </w:p>
    <w:p w14:paraId="63731C9B" w14:textId="77777777" w:rsidR="00967354" w:rsidRDefault="00967354" w:rsidP="00967354">
      <w:pPr>
        <w:shd w:val="clear" w:color="auto" w:fill="FFFFFF"/>
        <w:spacing w:before="100" w:beforeAutospacing="1" w:after="168"/>
        <w:textAlignment w:val="top"/>
        <w:rPr>
          <w:rFonts w:ascii="Arial" w:hAnsi="Arial" w:cs="Arial"/>
          <w:color w:val="000000"/>
          <w:lang w:eastAsia="en-GB"/>
        </w:rPr>
      </w:pPr>
      <w:r>
        <w:rPr>
          <w:rFonts w:ascii="Arial" w:hAnsi="Arial" w:cs="Arial"/>
          <w:color w:val="000000"/>
          <w:lang w:eastAsia="en-GB"/>
        </w:rPr>
        <w:lastRenderedPageBreak/>
        <w:t>Analysis shows that our gender pay gap is marginal in March 2017 and by December 2017 it has swung in favour of females (shown by the negative percentages in the mean and median figures).  The make-up of the office is such that there are females working at all levels and grades across the office, in numbers greater than males</w:t>
      </w:r>
      <w:r>
        <w:rPr>
          <w:rFonts w:ascii="Arial" w:hAnsi="Arial" w:cs="Arial"/>
          <w:color w:val="000000"/>
          <w:lang w:eastAsia="en-GB"/>
        </w:rPr>
        <w:t>, with the exception of Quartile 1 in December 2017</w:t>
      </w:r>
      <w:r>
        <w:rPr>
          <w:rFonts w:ascii="Arial" w:hAnsi="Arial" w:cs="Arial"/>
          <w:color w:val="000000"/>
          <w:lang w:eastAsia="en-GB"/>
        </w:rPr>
        <w:t xml:space="preserve">.  </w:t>
      </w:r>
    </w:p>
    <w:p w14:paraId="521D3F3F" w14:textId="77777777" w:rsidR="00967354" w:rsidRDefault="00967354" w:rsidP="00967354">
      <w:pPr>
        <w:shd w:val="clear" w:color="auto" w:fill="FFFFFF"/>
        <w:spacing w:after="0" w:line="240" w:lineRule="auto"/>
        <w:textAlignment w:val="top"/>
        <w:rPr>
          <w:rFonts w:ascii="Arial" w:hAnsi="Arial" w:cs="Arial"/>
          <w:color w:val="000000"/>
          <w:lang w:eastAsia="en-GB"/>
        </w:rPr>
      </w:pPr>
      <w:r>
        <w:rPr>
          <w:rFonts w:ascii="Arial" w:hAnsi="Arial" w:cs="Arial"/>
          <w:color w:val="000000"/>
          <w:lang w:eastAsia="en-GB"/>
        </w:rPr>
        <w:t>Polly Reed</w:t>
      </w:r>
    </w:p>
    <w:p w14:paraId="47104507" w14:textId="77777777" w:rsidR="00967354" w:rsidRDefault="00967354" w:rsidP="00967354">
      <w:pPr>
        <w:shd w:val="clear" w:color="auto" w:fill="FFFFFF"/>
        <w:spacing w:after="0" w:line="240" w:lineRule="auto"/>
        <w:textAlignment w:val="top"/>
        <w:rPr>
          <w:rFonts w:ascii="Arial" w:hAnsi="Arial" w:cs="Arial"/>
          <w:color w:val="000000"/>
          <w:lang w:eastAsia="en-GB"/>
        </w:rPr>
      </w:pPr>
      <w:r>
        <w:rPr>
          <w:rFonts w:ascii="Arial" w:hAnsi="Arial" w:cs="Arial"/>
          <w:color w:val="000000"/>
          <w:lang w:eastAsia="en-GB"/>
        </w:rPr>
        <w:t>1 March 2018</w:t>
      </w:r>
    </w:p>
    <w:p w14:paraId="56350205" w14:textId="77777777" w:rsidR="00A701FD" w:rsidRDefault="00A701FD">
      <w:bookmarkStart w:id="0" w:name="_GoBack"/>
      <w:bookmarkEnd w:id="0"/>
    </w:p>
    <w:sectPr w:rsidR="00A70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3AAC"/>
    <w:multiLevelType w:val="multilevel"/>
    <w:tmpl w:val="0C18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0873D1"/>
    <w:multiLevelType w:val="hybridMultilevel"/>
    <w:tmpl w:val="26108CCC"/>
    <w:lvl w:ilvl="0" w:tplc="C28E7710">
      <w:start w:val="6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841AF8"/>
    <w:multiLevelType w:val="hybridMultilevel"/>
    <w:tmpl w:val="E19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BC"/>
    <w:rsid w:val="00967354"/>
    <w:rsid w:val="00A701FD"/>
    <w:rsid w:val="00EF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078E"/>
  <w15:chartTrackingRefBased/>
  <w15:docId w15:val="{C0B34947-B4F1-49B0-8921-A1EE3DB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92083BF15CA4D9D69B194C56C8A02" ma:contentTypeVersion="0" ma:contentTypeDescription="Create a new document." ma:contentTypeScope="" ma:versionID="33295acc53a22eff87db133c6c08d9e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86F4129-1349-4356-8F27-9F8D45B5EDE8}"/>
</file>

<file path=customXml/itemProps2.xml><?xml version="1.0" encoding="utf-8"?>
<ds:datastoreItem xmlns:ds="http://schemas.openxmlformats.org/officeDocument/2006/customXml" ds:itemID="{A7EF9989-7FF8-484B-A521-F0F4B261CB37}"/>
</file>

<file path=customXml/itemProps3.xml><?xml version="1.0" encoding="utf-8"?>
<ds:datastoreItem xmlns:ds="http://schemas.openxmlformats.org/officeDocument/2006/customXml" ds:itemID="{432A0CBB-88A9-4F8D-B73E-984C7FCE10E8}"/>
</file>

<file path=customXml/itemProps4.xml><?xml version="1.0" encoding="utf-8"?>
<ds:datastoreItem xmlns:ds="http://schemas.openxmlformats.org/officeDocument/2006/customXml" ds:itemID="{9691B947-AC66-4A70-8FEB-70BE4691380C}"/>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Reed</dc:creator>
  <cp:keywords/>
  <dc:description/>
  <cp:lastModifiedBy>Polly Reed</cp:lastModifiedBy>
  <cp:revision>2</cp:revision>
  <dcterms:created xsi:type="dcterms:W3CDTF">2018-03-09T13:20:00Z</dcterms:created>
  <dcterms:modified xsi:type="dcterms:W3CDTF">2018-03-09T13:20:00Z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0x01010060292083BF15CA4D9D69B194C56C8A02</vt:lpwstr>
  </property>
</Properties>
</file>