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C67CB" w14:textId="77777777" w:rsidR="006714EB" w:rsidRPr="006714EB" w:rsidRDefault="006714EB" w:rsidP="006714EB">
      <w:pPr>
        <w:spacing w:after="5" w:line="271" w:lineRule="auto"/>
        <w:ind w:left="10" w:right="24" w:hanging="10"/>
        <w:jc w:val="center"/>
        <w:rPr>
          <w:rFonts w:ascii="Arial" w:eastAsia="Arial" w:hAnsi="Arial" w:cs="Arial"/>
          <w:color w:val="000000"/>
          <w:sz w:val="23"/>
          <w:lang w:eastAsia="en-GB"/>
        </w:rPr>
      </w:pPr>
      <w:bookmarkStart w:id="0" w:name="_GoBack"/>
      <w:bookmarkEnd w:id="0"/>
    </w:p>
    <w:p w14:paraId="70C969DF" w14:textId="2AEE6B0B" w:rsidR="006714EB" w:rsidRPr="006714EB" w:rsidRDefault="006714EB" w:rsidP="00C4089C">
      <w:pPr>
        <w:spacing w:after="0" w:line="404" w:lineRule="auto"/>
        <w:ind w:left="10" w:right="180" w:hanging="10"/>
        <w:jc w:val="center"/>
        <w:rPr>
          <w:rFonts w:ascii="Arial" w:eastAsia="Arial" w:hAnsi="Arial" w:cs="Arial"/>
          <w:b/>
          <w:color w:val="00B0F0"/>
          <w:sz w:val="23"/>
          <w:lang w:eastAsia="en-GB"/>
        </w:rPr>
      </w:pPr>
      <w:r w:rsidRPr="006714EB">
        <w:rPr>
          <w:rFonts w:ascii="Arial" w:eastAsia="Arial" w:hAnsi="Arial" w:cs="Arial"/>
          <w:b/>
          <w:color w:val="00B0F0"/>
          <w:sz w:val="23"/>
          <w:lang w:eastAsia="en-GB"/>
        </w:rPr>
        <w:t>Service S</w:t>
      </w:r>
      <w:r w:rsidR="00C4089C">
        <w:rPr>
          <w:rFonts w:ascii="Arial" w:eastAsia="Arial" w:hAnsi="Arial" w:cs="Arial"/>
          <w:b/>
          <w:color w:val="00B0F0"/>
          <w:sz w:val="23"/>
          <w:lang w:eastAsia="en-GB"/>
        </w:rPr>
        <w:t xml:space="preserve">pecification for ‘Enterprise for </w:t>
      </w:r>
      <w:r w:rsidR="00610674">
        <w:rPr>
          <w:rFonts w:ascii="Arial" w:eastAsia="Arial" w:hAnsi="Arial" w:cs="Arial"/>
          <w:b/>
          <w:color w:val="00B0F0"/>
          <w:sz w:val="23"/>
          <w:lang w:eastAsia="en-GB"/>
        </w:rPr>
        <w:t>Employment</w:t>
      </w:r>
      <w:r w:rsidR="00C4089C">
        <w:rPr>
          <w:rFonts w:ascii="Arial" w:eastAsia="Arial" w:hAnsi="Arial" w:cs="Arial"/>
          <w:b/>
          <w:color w:val="00B0F0"/>
          <w:sz w:val="23"/>
          <w:lang w:eastAsia="en-GB"/>
        </w:rPr>
        <w:t>’</w:t>
      </w:r>
    </w:p>
    <w:p w14:paraId="54AC3B1B" w14:textId="410A99EE" w:rsidR="006714EB" w:rsidRPr="00C4741B" w:rsidRDefault="006714EB" w:rsidP="00C4741B">
      <w:pPr>
        <w:spacing w:after="0" w:line="404" w:lineRule="auto"/>
        <w:ind w:left="10" w:right="180" w:hanging="10"/>
        <w:jc w:val="center"/>
        <w:rPr>
          <w:rFonts w:ascii="Arial" w:eastAsia="Arial" w:hAnsi="Arial" w:cs="Arial"/>
          <w:b/>
          <w:color w:val="00B0F0"/>
          <w:sz w:val="23"/>
          <w:lang w:eastAsia="en-GB"/>
        </w:rPr>
      </w:pPr>
      <w:r w:rsidRPr="006714EB">
        <w:rPr>
          <w:rFonts w:ascii="Arial" w:eastAsia="Arial" w:hAnsi="Arial" w:cs="Arial"/>
          <w:b/>
          <w:color w:val="00B0F0"/>
          <w:sz w:val="23"/>
          <w:lang w:eastAsia="en-GB"/>
        </w:rPr>
        <w:t xml:space="preserve">Statement of Requirement </w:t>
      </w:r>
    </w:p>
    <w:p w14:paraId="084ACE60" w14:textId="77777777" w:rsidR="006714EB" w:rsidRDefault="006714EB" w:rsidP="00C4741B">
      <w:pPr>
        <w:jc w:val="both"/>
      </w:pPr>
    </w:p>
    <w:p w14:paraId="684A153D" w14:textId="77777777" w:rsidR="000F2FD1" w:rsidRPr="00C4741B" w:rsidRDefault="000F2FD1" w:rsidP="00C4741B">
      <w:pPr>
        <w:jc w:val="both"/>
        <w:rPr>
          <w:rFonts w:ascii="Arial" w:hAnsi="Arial" w:cs="Arial"/>
          <w:b/>
        </w:rPr>
      </w:pPr>
      <w:r w:rsidRPr="00C4741B">
        <w:rPr>
          <w:rFonts w:ascii="Arial" w:hAnsi="Arial" w:cs="Arial"/>
          <w:b/>
        </w:rPr>
        <w:t>1.</w:t>
      </w:r>
      <w:r w:rsidRPr="00C4741B">
        <w:rPr>
          <w:rFonts w:ascii="Arial" w:hAnsi="Arial" w:cs="Arial"/>
          <w:b/>
        </w:rPr>
        <w:tab/>
        <w:t>Introduction</w:t>
      </w:r>
    </w:p>
    <w:p w14:paraId="684A153E" w14:textId="77777777" w:rsidR="000F2FD1" w:rsidRPr="00C4741B" w:rsidRDefault="000F2FD1" w:rsidP="00C4741B">
      <w:pPr>
        <w:jc w:val="both"/>
        <w:rPr>
          <w:rFonts w:ascii="Arial" w:hAnsi="Arial" w:cs="Arial"/>
        </w:rPr>
      </w:pPr>
      <w:r w:rsidRPr="00C4741B">
        <w:rPr>
          <w:rFonts w:ascii="Arial" w:hAnsi="Arial" w:cs="Arial"/>
        </w:rPr>
        <w:t>1.1 The Office of the West Midlands Police and Crime Commissioner wants to commission an Enterprising for Employment service for Birmingham. This initiative will provide a personalised</w:t>
      </w:r>
      <w:r w:rsidR="007812F0" w:rsidRPr="00C4741B">
        <w:rPr>
          <w:rFonts w:ascii="Arial" w:hAnsi="Arial" w:cs="Arial"/>
        </w:rPr>
        <w:t>,</w:t>
      </w:r>
      <w:r w:rsidRPr="00C4741B">
        <w:rPr>
          <w:rFonts w:ascii="Arial" w:hAnsi="Arial" w:cs="Arial"/>
        </w:rPr>
        <w:t xml:space="preserve"> effective mentoring service for individuals associated with criminality, to equip them with the necessary skills and knowledge to be employable and/or an entrepreneur. </w:t>
      </w:r>
    </w:p>
    <w:p w14:paraId="684A153F" w14:textId="77777777" w:rsidR="000F2FD1" w:rsidRPr="00C4741B" w:rsidRDefault="000F2FD1" w:rsidP="00C4741B">
      <w:pPr>
        <w:jc w:val="both"/>
        <w:rPr>
          <w:rFonts w:ascii="Arial" w:hAnsi="Arial" w:cs="Arial"/>
        </w:rPr>
      </w:pPr>
    </w:p>
    <w:p w14:paraId="684A1540" w14:textId="77777777" w:rsidR="000F2FD1" w:rsidRPr="00C4741B" w:rsidRDefault="000F2FD1" w:rsidP="00C4741B">
      <w:pPr>
        <w:jc w:val="both"/>
        <w:rPr>
          <w:rFonts w:ascii="Arial" w:hAnsi="Arial" w:cs="Arial"/>
          <w:b/>
        </w:rPr>
      </w:pPr>
      <w:r w:rsidRPr="00C4741B">
        <w:rPr>
          <w:rFonts w:ascii="Arial" w:hAnsi="Arial" w:cs="Arial"/>
          <w:b/>
        </w:rPr>
        <w:t>2.</w:t>
      </w:r>
      <w:r w:rsidRPr="00C4741B">
        <w:rPr>
          <w:rFonts w:ascii="Arial" w:hAnsi="Arial" w:cs="Arial"/>
          <w:b/>
        </w:rPr>
        <w:tab/>
        <w:t>Project Background</w:t>
      </w:r>
    </w:p>
    <w:p w14:paraId="684A1541" w14:textId="77777777" w:rsidR="000F2FD1" w:rsidRPr="00C4741B" w:rsidRDefault="000F2FD1" w:rsidP="00C4741B">
      <w:pPr>
        <w:jc w:val="both"/>
        <w:rPr>
          <w:rFonts w:ascii="Arial" w:hAnsi="Arial" w:cs="Arial"/>
        </w:rPr>
      </w:pPr>
      <w:r w:rsidRPr="00C4741B">
        <w:rPr>
          <w:rFonts w:ascii="Arial" w:hAnsi="Arial" w:cs="Arial"/>
        </w:rPr>
        <w:t xml:space="preserve">2.1 The Commission on Gangs and Violence was established in 2016 following a rise in gang-related violent crime.   </w:t>
      </w:r>
    </w:p>
    <w:p w14:paraId="684A1542" w14:textId="021CA76F" w:rsidR="000F2FD1" w:rsidRPr="00C4741B" w:rsidRDefault="000F2FD1" w:rsidP="00C4741B">
      <w:pPr>
        <w:jc w:val="both"/>
        <w:rPr>
          <w:rFonts w:ascii="Arial" w:hAnsi="Arial" w:cs="Arial"/>
        </w:rPr>
      </w:pPr>
      <w:r w:rsidRPr="00C4741B">
        <w:rPr>
          <w:rFonts w:ascii="Arial" w:hAnsi="Arial" w:cs="Arial"/>
        </w:rPr>
        <w:t>2.2 The report</w:t>
      </w:r>
      <w:r w:rsidR="003E4E95" w:rsidRPr="00C4741B">
        <w:rPr>
          <w:rFonts w:ascii="Arial" w:hAnsi="Arial" w:cs="Arial"/>
        </w:rPr>
        <w:t>,</w:t>
      </w:r>
      <w:r w:rsidRPr="00C4741B">
        <w:rPr>
          <w:rFonts w:ascii="Arial" w:hAnsi="Arial" w:cs="Arial"/>
        </w:rPr>
        <w:t xml:space="preserve"> </w:t>
      </w:r>
      <w:proofErr w:type="gramStart"/>
      <w:r w:rsidRPr="00C4741B">
        <w:rPr>
          <w:rFonts w:ascii="Arial" w:hAnsi="Arial" w:cs="Arial"/>
          <w:i/>
        </w:rPr>
        <w:t>Uniting</w:t>
      </w:r>
      <w:proofErr w:type="gramEnd"/>
      <w:r w:rsidRPr="00C4741B">
        <w:rPr>
          <w:rFonts w:ascii="Arial" w:hAnsi="Arial" w:cs="Arial"/>
          <w:i/>
        </w:rPr>
        <w:t xml:space="preserve"> to Improve Safety</w:t>
      </w:r>
      <w:r w:rsidR="003E4E95" w:rsidRPr="00C4741B">
        <w:rPr>
          <w:rFonts w:ascii="Arial" w:hAnsi="Arial" w:cs="Arial"/>
          <w:i/>
        </w:rPr>
        <w:t>,</w:t>
      </w:r>
      <w:r w:rsidRPr="00C4741B">
        <w:rPr>
          <w:rFonts w:ascii="Arial" w:hAnsi="Arial" w:cs="Arial"/>
        </w:rPr>
        <w:t xml:space="preserve"> was launched in December 2017.  It includes 24 recommendations; they are a community response to serious violence and are aimed at preventing violence and reducing harm.  </w:t>
      </w:r>
      <w:hyperlink r:id="rId10" w:history="1">
        <w:r w:rsidR="00FF5330" w:rsidRPr="00C4741B">
          <w:rPr>
            <w:rStyle w:val="Hyperlink"/>
            <w:rFonts w:ascii="Arial" w:hAnsi="Arial" w:cs="Arial"/>
          </w:rPr>
          <w:t>The</w:t>
        </w:r>
        <w:r w:rsidR="00C4089C">
          <w:rPr>
            <w:rStyle w:val="Hyperlink"/>
            <w:rFonts w:ascii="Arial" w:hAnsi="Arial" w:cs="Arial"/>
          </w:rPr>
          <w:t xml:space="preserve"> full</w:t>
        </w:r>
        <w:r w:rsidR="00FF5330" w:rsidRPr="00C4741B">
          <w:rPr>
            <w:rStyle w:val="Hyperlink"/>
            <w:rFonts w:ascii="Arial" w:hAnsi="Arial" w:cs="Arial"/>
          </w:rPr>
          <w:t xml:space="preserve"> report can be found here</w:t>
        </w:r>
      </w:hyperlink>
      <w:r w:rsidR="00FF5330" w:rsidRPr="00C4741B">
        <w:rPr>
          <w:rFonts w:ascii="Arial" w:hAnsi="Arial" w:cs="Arial"/>
        </w:rPr>
        <w:t>.</w:t>
      </w:r>
      <w:r w:rsidRPr="00C4741B">
        <w:rPr>
          <w:rFonts w:ascii="Arial" w:hAnsi="Arial" w:cs="Arial"/>
        </w:rPr>
        <w:t xml:space="preserve">   </w:t>
      </w:r>
    </w:p>
    <w:p w14:paraId="684A1543" w14:textId="77777777" w:rsidR="000F2FD1" w:rsidRPr="00C4741B" w:rsidRDefault="000F2FD1" w:rsidP="00C4741B">
      <w:pPr>
        <w:jc w:val="both"/>
        <w:rPr>
          <w:rFonts w:ascii="Arial" w:hAnsi="Arial" w:cs="Arial"/>
        </w:rPr>
      </w:pPr>
      <w:r w:rsidRPr="00C4741B">
        <w:rPr>
          <w:rFonts w:ascii="Arial" w:hAnsi="Arial" w:cs="Arial"/>
        </w:rPr>
        <w:t xml:space="preserve">2.3 The focus of the Commission’s work has been to bring the local community, partners and decision-makers together in order to develop and implement a community-led response to the spike in gun discharges and increased violence – ‘community-led, city-community partnership’.   </w:t>
      </w:r>
    </w:p>
    <w:p w14:paraId="684A1544" w14:textId="77777777" w:rsidR="000F2FD1" w:rsidRPr="00C4741B" w:rsidRDefault="000F2FD1" w:rsidP="00C4741B">
      <w:pPr>
        <w:jc w:val="both"/>
        <w:rPr>
          <w:rFonts w:ascii="Arial" w:hAnsi="Arial" w:cs="Arial"/>
        </w:rPr>
      </w:pPr>
      <w:r w:rsidRPr="00C4741B">
        <w:rPr>
          <w:rFonts w:ascii="Arial" w:hAnsi="Arial" w:cs="Arial"/>
        </w:rPr>
        <w:t xml:space="preserve">2.4 The success of the report and recommendations depends on a partnership response to tackle the issues that have been highlighted. Along with statutory and community sector partners, the Commission has continued to reinforce the need for responses to be rooted in public health and community-led approaches.  </w:t>
      </w:r>
    </w:p>
    <w:p w14:paraId="684A1545" w14:textId="77777777" w:rsidR="000F2FD1" w:rsidRPr="00C4741B" w:rsidRDefault="000F2FD1" w:rsidP="00C4741B">
      <w:pPr>
        <w:jc w:val="both"/>
        <w:rPr>
          <w:rFonts w:ascii="Arial" w:hAnsi="Arial" w:cs="Arial"/>
        </w:rPr>
      </w:pPr>
      <w:r w:rsidRPr="00C4741B">
        <w:rPr>
          <w:rFonts w:ascii="Arial" w:hAnsi="Arial" w:cs="Arial"/>
        </w:rPr>
        <w:t xml:space="preserve">2.5 It has delivered a significant body of evidence and the report is representative of the main issues affecting the community.  </w:t>
      </w:r>
    </w:p>
    <w:p w14:paraId="684A1546" w14:textId="77777777" w:rsidR="000F2FD1" w:rsidRPr="00C4741B" w:rsidRDefault="000F2FD1" w:rsidP="00C4741B">
      <w:pPr>
        <w:jc w:val="both"/>
        <w:rPr>
          <w:rFonts w:ascii="Arial" w:hAnsi="Arial" w:cs="Arial"/>
        </w:rPr>
      </w:pPr>
      <w:r w:rsidRPr="00C4741B">
        <w:rPr>
          <w:rFonts w:ascii="Arial" w:hAnsi="Arial" w:cs="Arial"/>
        </w:rPr>
        <w:t xml:space="preserve">2.6 Recommendation 23 in the report states: ‘The Commission should establish a community-led ‘interdisciplinary business hub’ for supporting individuals and families associated with gangs and violence. This hub will show people routes into employment, training, self-employment and business start-up possibilities’. </w:t>
      </w:r>
    </w:p>
    <w:p w14:paraId="684A1547" w14:textId="77777777" w:rsidR="00F26477" w:rsidRPr="00C4741B" w:rsidRDefault="000F2FD1" w:rsidP="00C4741B">
      <w:pPr>
        <w:jc w:val="both"/>
        <w:rPr>
          <w:rFonts w:ascii="Arial" w:hAnsi="Arial" w:cs="Arial"/>
        </w:rPr>
      </w:pPr>
      <w:r w:rsidRPr="00C4741B">
        <w:rPr>
          <w:rFonts w:ascii="Arial" w:hAnsi="Arial" w:cs="Arial"/>
        </w:rPr>
        <w:t xml:space="preserve">2.7 Recommendation 24 in the report states: ‘The commission should work with business to provide spaces for activity, training, mentoring and advice for individuals and families associated with or impacted by gangs and violence’. </w:t>
      </w:r>
    </w:p>
    <w:p w14:paraId="684A1548" w14:textId="20A26627" w:rsidR="00F26477" w:rsidRPr="00C4741B" w:rsidRDefault="00F26477" w:rsidP="00C4741B">
      <w:pPr>
        <w:jc w:val="both"/>
        <w:rPr>
          <w:rFonts w:ascii="Arial" w:hAnsi="Arial" w:cs="Arial"/>
        </w:rPr>
      </w:pPr>
      <w:r w:rsidRPr="00C4741B">
        <w:rPr>
          <w:rFonts w:ascii="Arial" w:hAnsi="Arial" w:cs="Arial"/>
        </w:rPr>
        <w:t>2.8 These recommendations align with popular research on the target cohort</w:t>
      </w:r>
      <w:r w:rsidR="005E0346" w:rsidRPr="00C4741B">
        <w:rPr>
          <w:rFonts w:ascii="Arial" w:hAnsi="Arial" w:cs="Arial"/>
        </w:rPr>
        <w:t>’</w:t>
      </w:r>
      <w:r w:rsidRPr="00C4741B">
        <w:rPr>
          <w:rFonts w:ascii="Arial" w:hAnsi="Arial" w:cs="Arial"/>
        </w:rPr>
        <w:t xml:space="preserve">s employment prospects. </w:t>
      </w:r>
      <w:r w:rsidR="001C4064" w:rsidRPr="00C4741B">
        <w:rPr>
          <w:rFonts w:ascii="Arial" w:hAnsi="Arial" w:cs="Arial"/>
        </w:rPr>
        <w:t>Employment prospects are known to be a recurring issue for this cohort</w:t>
      </w:r>
      <w:r w:rsidR="00A142DF">
        <w:rPr>
          <w:rFonts w:ascii="Arial" w:hAnsi="Arial" w:cs="Arial"/>
        </w:rPr>
        <w:t xml:space="preserve">, only </w:t>
      </w:r>
      <w:r w:rsidR="00A142DF" w:rsidRPr="00A142DF">
        <w:rPr>
          <w:rFonts w:ascii="Arial" w:hAnsi="Arial" w:cs="Arial"/>
        </w:rPr>
        <w:t>17%</w:t>
      </w:r>
      <w:r w:rsidR="00A142DF">
        <w:rPr>
          <w:rFonts w:ascii="Arial" w:hAnsi="Arial" w:cs="Arial"/>
        </w:rPr>
        <w:t xml:space="preserve"> of ex-offenders are</w:t>
      </w:r>
      <w:r w:rsidR="00A142DF" w:rsidRPr="00A142DF">
        <w:rPr>
          <w:rFonts w:ascii="Arial" w:hAnsi="Arial" w:cs="Arial"/>
        </w:rPr>
        <w:t xml:space="preserve"> in employment a yea</w:t>
      </w:r>
      <w:r w:rsidR="00A142DF">
        <w:rPr>
          <w:rFonts w:ascii="Arial" w:hAnsi="Arial" w:cs="Arial"/>
        </w:rPr>
        <w:t>r after release from prison. More than</w:t>
      </w:r>
      <w:r w:rsidR="00A142DF" w:rsidRPr="00A142DF">
        <w:rPr>
          <w:rFonts w:ascii="Arial" w:hAnsi="Arial" w:cs="Arial"/>
        </w:rPr>
        <w:t xml:space="preserve"> half of employers would not consider hiring an ex-offender</w:t>
      </w:r>
      <w:r w:rsidR="00A142DF">
        <w:rPr>
          <w:rFonts w:ascii="Arial" w:hAnsi="Arial" w:cs="Arial"/>
        </w:rPr>
        <w:t xml:space="preserve"> (MOJ, July 2019)</w:t>
      </w:r>
      <w:r w:rsidR="00A142DF" w:rsidRPr="00A142DF">
        <w:rPr>
          <w:rFonts w:ascii="Arial" w:hAnsi="Arial" w:cs="Arial"/>
        </w:rPr>
        <w:t>.</w:t>
      </w:r>
      <w:r w:rsidR="00A142DF">
        <w:rPr>
          <w:rFonts w:ascii="Arial" w:hAnsi="Arial" w:cs="Arial"/>
        </w:rPr>
        <w:t xml:space="preserve"> </w:t>
      </w:r>
      <w:r w:rsidR="005E0346" w:rsidRPr="00C4741B">
        <w:rPr>
          <w:rFonts w:ascii="Arial" w:hAnsi="Arial" w:cs="Arial"/>
        </w:rPr>
        <w:t xml:space="preserve"> </w:t>
      </w:r>
      <w:r w:rsidR="001C4064" w:rsidRPr="00C4741B">
        <w:rPr>
          <w:rFonts w:ascii="Arial" w:hAnsi="Arial" w:cs="Arial"/>
        </w:rPr>
        <w:t>(</w:t>
      </w:r>
      <w:proofErr w:type="gramStart"/>
      <w:r w:rsidR="001C4064" w:rsidRPr="00C4741B">
        <w:rPr>
          <w:rFonts w:ascii="Arial" w:hAnsi="Arial" w:cs="Arial"/>
        </w:rPr>
        <w:t>see</w:t>
      </w:r>
      <w:proofErr w:type="gramEnd"/>
      <w:r w:rsidR="001C4064" w:rsidRPr="00C4741B">
        <w:rPr>
          <w:rFonts w:ascii="Arial" w:hAnsi="Arial" w:cs="Arial"/>
        </w:rPr>
        <w:t xml:space="preserve"> Uniting to improve safety report) This project seeks to explore this further and see what impact positive employment</w:t>
      </w:r>
      <w:r w:rsidR="00417C5C" w:rsidRPr="00C4741B">
        <w:rPr>
          <w:rFonts w:ascii="Arial" w:hAnsi="Arial" w:cs="Arial"/>
        </w:rPr>
        <w:t>/entrepreneurial</w:t>
      </w:r>
      <w:r w:rsidR="001C4064" w:rsidRPr="00C4741B">
        <w:rPr>
          <w:rFonts w:ascii="Arial" w:hAnsi="Arial" w:cs="Arial"/>
        </w:rPr>
        <w:t xml:space="preserve"> outcomes has on violent crime reduction. </w:t>
      </w:r>
    </w:p>
    <w:p w14:paraId="684A1549" w14:textId="77777777" w:rsidR="005F45B7" w:rsidRPr="00C4741B" w:rsidRDefault="000F2FD1" w:rsidP="00C4741B">
      <w:pPr>
        <w:jc w:val="both"/>
        <w:rPr>
          <w:rFonts w:ascii="Arial" w:hAnsi="Arial" w:cs="Arial"/>
        </w:rPr>
      </w:pPr>
      <w:r w:rsidRPr="00C4741B">
        <w:rPr>
          <w:rFonts w:ascii="Arial" w:hAnsi="Arial" w:cs="Arial"/>
        </w:rPr>
        <w:lastRenderedPageBreak/>
        <w:t xml:space="preserve"> </w:t>
      </w:r>
    </w:p>
    <w:p w14:paraId="684A154A" w14:textId="4B726A0D" w:rsidR="000F2FD1" w:rsidRPr="00C4741B" w:rsidRDefault="000F2FD1" w:rsidP="00C4741B">
      <w:pPr>
        <w:jc w:val="both"/>
        <w:rPr>
          <w:rFonts w:ascii="Arial" w:hAnsi="Arial" w:cs="Arial"/>
          <w:b/>
        </w:rPr>
      </w:pPr>
      <w:r w:rsidRPr="00C4741B">
        <w:rPr>
          <w:rFonts w:ascii="Arial" w:hAnsi="Arial" w:cs="Arial"/>
          <w:b/>
        </w:rPr>
        <w:t>3</w:t>
      </w:r>
      <w:r w:rsidR="005E0346" w:rsidRPr="00C4741B">
        <w:rPr>
          <w:rFonts w:ascii="Arial" w:hAnsi="Arial" w:cs="Arial"/>
          <w:b/>
        </w:rPr>
        <w:t xml:space="preserve">. </w:t>
      </w:r>
      <w:r w:rsidR="005E0346" w:rsidRPr="00C4741B">
        <w:rPr>
          <w:rFonts w:ascii="Arial" w:hAnsi="Arial" w:cs="Arial"/>
          <w:b/>
        </w:rPr>
        <w:tab/>
      </w:r>
      <w:r w:rsidRPr="00C4741B">
        <w:rPr>
          <w:rFonts w:ascii="Arial" w:hAnsi="Arial" w:cs="Arial"/>
          <w:b/>
        </w:rPr>
        <w:t xml:space="preserve"> Project Justification</w:t>
      </w:r>
    </w:p>
    <w:p w14:paraId="684A154B" w14:textId="1FFE5154" w:rsidR="000F2FD1" w:rsidRPr="00C4741B" w:rsidRDefault="000F2FD1" w:rsidP="00C4741B">
      <w:pPr>
        <w:jc w:val="both"/>
        <w:rPr>
          <w:rFonts w:ascii="Arial" w:hAnsi="Arial" w:cs="Arial"/>
        </w:rPr>
      </w:pPr>
      <w:r w:rsidRPr="00C4741B">
        <w:rPr>
          <w:rFonts w:ascii="Arial" w:hAnsi="Arial" w:cs="Arial"/>
        </w:rPr>
        <w:t xml:space="preserve">3.1 This service aims to </w:t>
      </w:r>
      <w:r w:rsidR="00DA49F6">
        <w:rPr>
          <w:rFonts w:ascii="Arial" w:hAnsi="Arial" w:cs="Arial"/>
        </w:rPr>
        <w:t>give individuals support into starting their own businesses or entering employment. This service will be client led, with the goals they aim to achieve being dictated by them.</w:t>
      </w:r>
      <w:r w:rsidRPr="00C4741B">
        <w:rPr>
          <w:rFonts w:ascii="Arial" w:hAnsi="Arial" w:cs="Arial"/>
        </w:rPr>
        <w:t xml:space="preserve"> </w:t>
      </w:r>
      <w:r w:rsidR="00BC0B17" w:rsidRPr="00C4741B">
        <w:rPr>
          <w:rFonts w:ascii="Arial" w:hAnsi="Arial" w:cs="Arial"/>
        </w:rPr>
        <w:t>The hope</w:t>
      </w:r>
      <w:r w:rsidR="00610674">
        <w:rPr>
          <w:rFonts w:ascii="Arial" w:hAnsi="Arial" w:cs="Arial"/>
        </w:rPr>
        <w:t xml:space="preserve"> with this,</w:t>
      </w:r>
      <w:r w:rsidR="00BC0B17" w:rsidRPr="00C4741B">
        <w:rPr>
          <w:rFonts w:ascii="Arial" w:hAnsi="Arial" w:cs="Arial"/>
        </w:rPr>
        <w:t xml:space="preserve"> is to </w:t>
      </w:r>
      <w:r w:rsidRPr="00C4741B">
        <w:rPr>
          <w:rFonts w:ascii="Arial" w:hAnsi="Arial" w:cs="Arial"/>
        </w:rPr>
        <w:t xml:space="preserve">encourage sustainable desistance, which can be robust in </w:t>
      </w:r>
      <w:r w:rsidR="00BC0B17" w:rsidRPr="00C4741B">
        <w:rPr>
          <w:rFonts w:ascii="Arial" w:hAnsi="Arial" w:cs="Arial"/>
        </w:rPr>
        <w:t xml:space="preserve">the face of any </w:t>
      </w:r>
      <w:r w:rsidRPr="00C4741B">
        <w:rPr>
          <w:rFonts w:ascii="Arial" w:hAnsi="Arial" w:cs="Arial"/>
        </w:rPr>
        <w:t xml:space="preserve">future difficulties that </w:t>
      </w:r>
      <w:r w:rsidR="00BC0B17" w:rsidRPr="00C4741B">
        <w:rPr>
          <w:rFonts w:ascii="Arial" w:hAnsi="Arial" w:cs="Arial"/>
        </w:rPr>
        <w:t>an individual</w:t>
      </w:r>
      <w:r w:rsidRPr="00C4741B">
        <w:rPr>
          <w:rFonts w:ascii="Arial" w:hAnsi="Arial" w:cs="Arial"/>
        </w:rPr>
        <w:t xml:space="preserve"> may face. </w:t>
      </w:r>
    </w:p>
    <w:p w14:paraId="684A154C" w14:textId="205283F8" w:rsidR="000F2FD1" w:rsidRPr="00C4741B" w:rsidRDefault="000F2FD1" w:rsidP="00C4741B">
      <w:pPr>
        <w:jc w:val="both"/>
        <w:rPr>
          <w:rFonts w:ascii="Arial" w:hAnsi="Arial" w:cs="Arial"/>
        </w:rPr>
      </w:pPr>
      <w:r w:rsidRPr="00C4741B">
        <w:rPr>
          <w:rFonts w:ascii="Arial" w:hAnsi="Arial" w:cs="Arial"/>
        </w:rPr>
        <w:t xml:space="preserve">3.2 In 2.6 there is reference to </w:t>
      </w:r>
      <w:r w:rsidR="00BC0B17" w:rsidRPr="00C4741B">
        <w:rPr>
          <w:rFonts w:ascii="Arial" w:hAnsi="Arial" w:cs="Arial"/>
        </w:rPr>
        <w:t xml:space="preserve">recommendation 23, which advocates for the creation of </w:t>
      </w:r>
      <w:r w:rsidRPr="00C4741B">
        <w:rPr>
          <w:rFonts w:ascii="Arial" w:hAnsi="Arial" w:cs="Arial"/>
        </w:rPr>
        <w:t xml:space="preserve">an ‘interdisciplinary </w:t>
      </w:r>
      <w:r w:rsidR="00C4089C" w:rsidRPr="00C4089C">
        <w:rPr>
          <w:rFonts w:ascii="Arial" w:hAnsi="Arial" w:cs="Arial"/>
        </w:rPr>
        <w:t>hub’, which</w:t>
      </w:r>
      <w:r w:rsidRPr="00C4741B">
        <w:rPr>
          <w:rFonts w:ascii="Arial" w:hAnsi="Arial" w:cs="Arial"/>
        </w:rPr>
        <w:t xml:space="preserve"> can support individuals and families. However, upon further investigation</w:t>
      </w:r>
      <w:r w:rsidR="00BC0B17" w:rsidRPr="00C4741B">
        <w:rPr>
          <w:rFonts w:ascii="Arial" w:hAnsi="Arial" w:cs="Arial"/>
        </w:rPr>
        <w:t>,</w:t>
      </w:r>
      <w:r w:rsidRPr="00C4741B">
        <w:rPr>
          <w:rFonts w:ascii="Arial" w:hAnsi="Arial" w:cs="Arial"/>
        </w:rPr>
        <w:t xml:space="preserve"> </w:t>
      </w:r>
      <w:r w:rsidR="00C4089C">
        <w:rPr>
          <w:rFonts w:ascii="Arial" w:hAnsi="Arial" w:cs="Arial"/>
        </w:rPr>
        <w:t>it was agreed that</w:t>
      </w:r>
      <w:r w:rsidRPr="00C4741B">
        <w:rPr>
          <w:rFonts w:ascii="Arial" w:hAnsi="Arial" w:cs="Arial"/>
        </w:rPr>
        <w:t xml:space="preserve"> </w:t>
      </w:r>
      <w:r w:rsidR="00C4089C">
        <w:rPr>
          <w:rFonts w:ascii="Arial" w:hAnsi="Arial" w:cs="Arial"/>
        </w:rPr>
        <w:t xml:space="preserve">there are </w:t>
      </w:r>
      <w:r w:rsidRPr="00C4741B">
        <w:rPr>
          <w:rFonts w:ascii="Arial" w:hAnsi="Arial" w:cs="Arial"/>
        </w:rPr>
        <w:t xml:space="preserve">logistical </w:t>
      </w:r>
      <w:r w:rsidR="00EE037E" w:rsidRPr="00C4741B">
        <w:rPr>
          <w:rFonts w:ascii="Arial" w:hAnsi="Arial" w:cs="Arial"/>
        </w:rPr>
        <w:t xml:space="preserve">concerns </w:t>
      </w:r>
      <w:r w:rsidR="00BC0B17" w:rsidRPr="00C4741B">
        <w:rPr>
          <w:rFonts w:ascii="Arial" w:hAnsi="Arial" w:cs="Arial"/>
        </w:rPr>
        <w:t xml:space="preserve">that may arise </w:t>
      </w:r>
      <w:r w:rsidR="00EE037E" w:rsidRPr="00C4741B">
        <w:rPr>
          <w:rFonts w:ascii="Arial" w:hAnsi="Arial" w:cs="Arial"/>
        </w:rPr>
        <w:t xml:space="preserve">with this model. </w:t>
      </w:r>
      <w:r w:rsidR="00C4089C">
        <w:rPr>
          <w:rFonts w:ascii="Arial" w:hAnsi="Arial" w:cs="Arial"/>
        </w:rPr>
        <w:t>S</w:t>
      </w:r>
      <w:r w:rsidR="00EE037E" w:rsidRPr="00C4741B">
        <w:rPr>
          <w:rFonts w:ascii="Arial" w:hAnsi="Arial" w:cs="Arial"/>
        </w:rPr>
        <w:t xml:space="preserve">ervice </w:t>
      </w:r>
      <w:proofErr w:type="gramStart"/>
      <w:r w:rsidR="00EE037E" w:rsidRPr="00C4741B">
        <w:rPr>
          <w:rFonts w:ascii="Arial" w:hAnsi="Arial" w:cs="Arial"/>
        </w:rPr>
        <w:t xml:space="preserve">users  </w:t>
      </w:r>
      <w:r w:rsidR="00BC0B17" w:rsidRPr="00C4741B">
        <w:rPr>
          <w:rFonts w:ascii="Arial" w:hAnsi="Arial" w:cs="Arial"/>
        </w:rPr>
        <w:t>may</w:t>
      </w:r>
      <w:proofErr w:type="gramEnd"/>
      <w:r w:rsidR="00BC0B17" w:rsidRPr="00C4741B">
        <w:rPr>
          <w:rFonts w:ascii="Arial" w:hAnsi="Arial" w:cs="Arial"/>
        </w:rPr>
        <w:t xml:space="preserve"> </w:t>
      </w:r>
      <w:r w:rsidR="00EE037E" w:rsidRPr="00C4741B">
        <w:rPr>
          <w:rFonts w:ascii="Arial" w:hAnsi="Arial" w:cs="Arial"/>
        </w:rPr>
        <w:t xml:space="preserve">struggle to get to </w:t>
      </w:r>
      <w:r w:rsidR="00AF0B1B">
        <w:rPr>
          <w:rFonts w:ascii="Arial" w:hAnsi="Arial" w:cs="Arial"/>
        </w:rPr>
        <w:t>the hub</w:t>
      </w:r>
      <w:r w:rsidR="00EE037E" w:rsidRPr="00C4741B">
        <w:rPr>
          <w:rFonts w:ascii="Arial" w:hAnsi="Arial" w:cs="Arial"/>
        </w:rPr>
        <w:t xml:space="preserve"> if they are geographically removed from that location. There are</w:t>
      </w:r>
      <w:r w:rsidR="00BC0B17" w:rsidRPr="00C4741B">
        <w:rPr>
          <w:rFonts w:ascii="Arial" w:hAnsi="Arial" w:cs="Arial"/>
        </w:rPr>
        <w:t xml:space="preserve"> also</w:t>
      </w:r>
      <w:r w:rsidR="00EE037E" w:rsidRPr="00C4741B">
        <w:rPr>
          <w:rFonts w:ascii="Arial" w:hAnsi="Arial" w:cs="Arial"/>
        </w:rPr>
        <w:t xml:space="preserve"> territorial implications</w:t>
      </w:r>
      <w:r w:rsidR="00BC0B17" w:rsidRPr="00C4741B">
        <w:rPr>
          <w:rFonts w:ascii="Arial" w:hAnsi="Arial" w:cs="Arial"/>
        </w:rPr>
        <w:t>,</w:t>
      </w:r>
      <w:r w:rsidR="00EE037E" w:rsidRPr="00C4741B">
        <w:rPr>
          <w:rFonts w:ascii="Arial" w:hAnsi="Arial" w:cs="Arial"/>
        </w:rPr>
        <w:t xml:space="preserve"> </w:t>
      </w:r>
      <w:proofErr w:type="gramStart"/>
      <w:r w:rsidR="00EE037E" w:rsidRPr="00C4741B">
        <w:rPr>
          <w:rFonts w:ascii="Arial" w:hAnsi="Arial" w:cs="Arial"/>
        </w:rPr>
        <w:t xml:space="preserve">which  </w:t>
      </w:r>
      <w:r w:rsidR="00BC0B17" w:rsidRPr="00C4741B">
        <w:rPr>
          <w:rFonts w:ascii="Arial" w:hAnsi="Arial" w:cs="Arial"/>
        </w:rPr>
        <w:t>may</w:t>
      </w:r>
      <w:proofErr w:type="gramEnd"/>
      <w:r w:rsidR="00BC0B17" w:rsidRPr="00C4741B">
        <w:rPr>
          <w:rFonts w:ascii="Arial" w:hAnsi="Arial" w:cs="Arial"/>
        </w:rPr>
        <w:t xml:space="preserve"> be </w:t>
      </w:r>
      <w:r w:rsidR="00EE037E" w:rsidRPr="00C4741B">
        <w:rPr>
          <w:rFonts w:ascii="Arial" w:hAnsi="Arial" w:cs="Arial"/>
        </w:rPr>
        <w:t>associated with the cohort of people that the OPCC wants to support with this project. The</w:t>
      </w:r>
      <w:r w:rsidRPr="00C4741B">
        <w:rPr>
          <w:rFonts w:ascii="Arial" w:hAnsi="Arial" w:cs="Arial"/>
        </w:rPr>
        <w:t xml:space="preserve"> OPCC</w:t>
      </w:r>
      <w:r w:rsidR="00EE037E" w:rsidRPr="00C4741B">
        <w:rPr>
          <w:rFonts w:ascii="Arial" w:hAnsi="Arial" w:cs="Arial"/>
        </w:rPr>
        <w:t xml:space="preserve"> therefore</w:t>
      </w:r>
      <w:r w:rsidRPr="00C4741B">
        <w:rPr>
          <w:rFonts w:ascii="Arial" w:hAnsi="Arial" w:cs="Arial"/>
        </w:rPr>
        <w:t xml:space="preserve"> </w:t>
      </w:r>
      <w:r w:rsidR="00C4089C">
        <w:rPr>
          <w:rFonts w:ascii="Arial" w:hAnsi="Arial" w:cs="Arial"/>
        </w:rPr>
        <w:t>came to</w:t>
      </w:r>
      <w:r w:rsidRPr="00C4741B">
        <w:rPr>
          <w:rFonts w:ascii="Arial" w:hAnsi="Arial" w:cs="Arial"/>
        </w:rPr>
        <w:t xml:space="preserve"> the view that </w:t>
      </w:r>
      <w:r w:rsidR="00C4089C">
        <w:rPr>
          <w:rFonts w:ascii="Arial" w:hAnsi="Arial" w:cs="Arial"/>
        </w:rPr>
        <w:t>a single business</w:t>
      </w:r>
      <w:r w:rsidRPr="00C4741B">
        <w:rPr>
          <w:rFonts w:ascii="Arial" w:hAnsi="Arial" w:cs="Arial"/>
        </w:rPr>
        <w:t xml:space="preserve"> hub ha</w:t>
      </w:r>
      <w:r w:rsidR="00C4089C">
        <w:rPr>
          <w:rFonts w:ascii="Arial" w:hAnsi="Arial" w:cs="Arial"/>
        </w:rPr>
        <w:t>d the</w:t>
      </w:r>
      <w:r w:rsidRPr="00C4741B">
        <w:rPr>
          <w:rFonts w:ascii="Arial" w:hAnsi="Arial" w:cs="Arial"/>
        </w:rPr>
        <w:t xml:space="preserve"> po</w:t>
      </w:r>
      <w:r w:rsidR="00EE037E" w:rsidRPr="00C4741B">
        <w:rPr>
          <w:rFonts w:ascii="Arial" w:hAnsi="Arial" w:cs="Arial"/>
        </w:rPr>
        <w:t>tential to be counterproductive.</w:t>
      </w:r>
    </w:p>
    <w:p w14:paraId="684A154D" w14:textId="6CCA087C" w:rsidR="00F26477" w:rsidRPr="00C4741B" w:rsidRDefault="00EE037E" w:rsidP="00C4741B">
      <w:pPr>
        <w:jc w:val="both"/>
        <w:rPr>
          <w:rFonts w:ascii="Arial" w:hAnsi="Arial" w:cs="Arial"/>
        </w:rPr>
      </w:pPr>
      <w:r w:rsidRPr="00C4741B">
        <w:rPr>
          <w:rFonts w:ascii="Arial" w:hAnsi="Arial" w:cs="Arial"/>
        </w:rPr>
        <w:t>3.3 As a result of the concerns highlighted in 3.2, the OPCC performed a scoping exercise which focused on best practice in employment support. Out of this research</w:t>
      </w:r>
      <w:r w:rsidR="00BC0B17" w:rsidRPr="00C4741B">
        <w:rPr>
          <w:rFonts w:ascii="Arial" w:hAnsi="Arial" w:cs="Arial"/>
        </w:rPr>
        <w:t>, it was found that</w:t>
      </w:r>
      <w:r w:rsidRPr="00C4741B">
        <w:rPr>
          <w:rFonts w:ascii="Arial" w:hAnsi="Arial" w:cs="Arial"/>
        </w:rPr>
        <w:t xml:space="preserve"> Individual Placement Support (IPS), was the model which has seen the most positive outcome</w:t>
      </w:r>
      <w:r w:rsidR="00BD2828">
        <w:rPr>
          <w:rFonts w:ascii="Arial" w:hAnsi="Arial" w:cs="Arial"/>
        </w:rPr>
        <w:t>s</w:t>
      </w:r>
      <w:r w:rsidRPr="00C4741B">
        <w:rPr>
          <w:rFonts w:ascii="Arial" w:hAnsi="Arial" w:cs="Arial"/>
        </w:rPr>
        <w:t xml:space="preserve"> when finding vulnerable people employment. </w:t>
      </w:r>
    </w:p>
    <w:p w14:paraId="684A154E" w14:textId="26C5AECE" w:rsidR="000F2FD1" w:rsidRPr="00C4741B" w:rsidRDefault="00A53BF2" w:rsidP="00C4741B">
      <w:pPr>
        <w:jc w:val="both"/>
        <w:rPr>
          <w:rFonts w:ascii="Arial" w:hAnsi="Arial" w:cs="Arial"/>
        </w:rPr>
      </w:pPr>
      <w:r w:rsidRPr="00C4741B">
        <w:rPr>
          <w:rFonts w:ascii="Arial" w:hAnsi="Arial" w:cs="Arial"/>
        </w:rPr>
        <w:t>3.4</w:t>
      </w:r>
      <w:r w:rsidR="000F2FD1" w:rsidRPr="00C4741B">
        <w:rPr>
          <w:rFonts w:ascii="Arial" w:hAnsi="Arial" w:cs="Arial"/>
        </w:rPr>
        <w:t xml:space="preserve"> The IPS model is a well-established method used within the mental health field, as an effective means of rehabilitating patients through supporting them into vocational employment</w:t>
      </w:r>
      <w:r w:rsidR="00C4089C">
        <w:rPr>
          <w:rFonts w:ascii="Arial" w:hAnsi="Arial" w:cs="Arial"/>
        </w:rPr>
        <w:t xml:space="preserve">. </w:t>
      </w:r>
    </w:p>
    <w:p w14:paraId="684A154F" w14:textId="294F73B0" w:rsidR="00A65102" w:rsidRPr="00C4741B" w:rsidRDefault="00032B0B" w:rsidP="00C4741B">
      <w:pPr>
        <w:jc w:val="both"/>
        <w:rPr>
          <w:rFonts w:ascii="Arial" w:hAnsi="Arial" w:cs="Arial"/>
          <w:b/>
        </w:rPr>
      </w:pPr>
      <w:r w:rsidRPr="008F1A7E">
        <w:rPr>
          <w:rFonts w:ascii="Arial" w:hAnsi="Arial" w:cs="Arial"/>
          <w:b/>
        </w:rPr>
        <w:t>4.</w:t>
      </w:r>
      <w:r w:rsidRPr="008F1A7E">
        <w:rPr>
          <w:rFonts w:ascii="Arial" w:hAnsi="Arial" w:cs="Arial"/>
          <w:b/>
        </w:rPr>
        <w:tab/>
      </w:r>
      <w:r w:rsidR="00A65102" w:rsidRPr="00C4741B">
        <w:rPr>
          <w:rFonts w:ascii="Arial" w:hAnsi="Arial" w:cs="Arial"/>
          <w:b/>
        </w:rPr>
        <w:t xml:space="preserve">  </w:t>
      </w:r>
      <w:r w:rsidR="00BC0B17" w:rsidRPr="00C4741B">
        <w:rPr>
          <w:rFonts w:ascii="Arial" w:hAnsi="Arial" w:cs="Arial"/>
          <w:b/>
        </w:rPr>
        <w:t xml:space="preserve"> Background to </w:t>
      </w:r>
      <w:r w:rsidR="00A65102" w:rsidRPr="00C4741B">
        <w:rPr>
          <w:rFonts w:ascii="Arial" w:hAnsi="Arial" w:cs="Arial"/>
          <w:b/>
        </w:rPr>
        <w:t xml:space="preserve">the IPS Model </w:t>
      </w:r>
    </w:p>
    <w:p w14:paraId="684A1550" w14:textId="2E738C1D" w:rsidR="00A65102" w:rsidRPr="00C4741B" w:rsidRDefault="00032B0B" w:rsidP="00C4741B">
      <w:pPr>
        <w:jc w:val="both"/>
        <w:rPr>
          <w:rFonts w:ascii="Arial" w:hAnsi="Arial" w:cs="Arial"/>
        </w:rPr>
      </w:pPr>
      <w:r>
        <w:rPr>
          <w:rFonts w:ascii="Arial" w:hAnsi="Arial" w:cs="Arial"/>
        </w:rPr>
        <w:t xml:space="preserve">4.1 </w:t>
      </w:r>
      <w:r w:rsidR="00A65102" w:rsidRPr="00C4741B">
        <w:rPr>
          <w:rFonts w:ascii="Arial" w:hAnsi="Arial" w:cs="Arial"/>
        </w:rPr>
        <w:t>The service seeks to borrow heavily from the Individual Placement Support Model (IPS). IPS is an evidenced based practice, developed in the USA in the 1990s</w:t>
      </w:r>
      <w:r w:rsidR="00AF0B1B">
        <w:rPr>
          <w:rFonts w:ascii="Arial" w:hAnsi="Arial" w:cs="Arial"/>
        </w:rPr>
        <w:t>,</w:t>
      </w:r>
      <w:r w:rsidR="00490F56">
        <w:rPr>
          <w:rFonts w:ascii="Arial" w:hAnsi="Arial" w:cs="Arial"/>
        </w:rPr>
        <w:t xml:space="preserve"> that</w:t>
      </w:r>
      <w:r w:rsidR="00A65102" w:rsidRPr="00C4741B">
        <w:rPr>
          <w:rFonts w:ascii="Arial" w:hAnsi="Arial" w:cs="Arial"/>
        </w:rPr>
        <w:t xml:space="preserve"> has been implemented across the world.  International clinical trials have confirmed</w:t>
      </w:r>
      <w:r w:rsidR="00490F56">
        <w:rPr>
          <w:rFonts w:ascii="Arial" w:hAnsi="Arial" w:cs="Arial"/>
        </w:rPr>
        <w:t xml:space="preserve"> that</w:t>
      </w:r>
      <w:r w:rsidR="00A65102" w:rsidRPr="00C4741B">
        <w:rPr>
          <w:rFonts w:ascii="Arial" w:hAnsi="Arial" w:cs="Arial"/>
        </w:rPr>
        <w:t xml:space="preserve"> it is the most effective approach for supporting people with mental health problems to find and sustain paid employment.  It is based on 8 principals and a 25 point fidelity scale.   IPS also has more evidence than voluntary work or supported training schemes.</w:t>
      </w:r>
    </w:p>
    <w:p w14:paraId="684A1551" w14:textId="21D30503" w:rsidR="00A65102" w:rsidRPr="00C4741B" w:rsidRDefault="00032B0B" w:rsidP="00C4741B">
      <w:pPr>
        <w:jc w:val="both"/>
        <w:rPr>
          <w:rFonts w:ascii="Arial" w:hAnsi="Arial" w:cs="Arial"/>
        </w:rPr>
      </w:pPr>
      <w:r>
        <w:rPr>
          <w:rFonts w:ascii="Arial" w:hAnsi="Arial" w:cs="Arial"/>
        </w:rPr>
        <w:t xml:space="preserve">4.2 </w:t>
      </w:r>
      <w:r w:rsidR="00A65102" w:rsidRPr="00C4741B">
        <w:rPr>
          <w:rFonts w:ascii="Arial" w:hAnsi="Arial" w:cs="Arial"/>
        </w:rPr>
        <w:t>We are starting to see the IPS model being used with different cohorts of people</w:t>
      </w:r>
      <w:r w:rsidR="00C4089C">
        <w:rPr>
          <w:rFonts w:ascii="Arial" w:hAnsi="Arial" w:cs="Arial"/>
        </w:rPr>
        <w:t>,</w:t>
      </w:r>
      <w:r w:rsidR="00A65102" w:rsidRPr="00C4741B">
        <w:rPr>
          <w:rFonts w:ascii="Arial" w:hAnsi="Arial" w:cs="Arial"/>
        </w:rPr>
        <w:t xml:space="preserve"> outside of</w:t>
      </w:r>
      <w:r w:rsidR="00C4089C">
        <w:rPr>
          <w:rFonts w:ascii="Arial" w:hAnsi="Arial" w:cs="Arial"/>
        </w:rPr>
        <w:t xml:space="preserve"> just</w:t>
      </w:r>
      <w:r w:rsidR="00A65102" w:rsidRPr="00C4741B">
        <w:rPr>
          <w:rFonts w:ascii="Arial" w:hAnsi="Arial" w:cs="Arial"/>
        </w:rPr>
        <w:t xml:space="preserve"> individuals </w:t>
      </w:r>
      <w:r w:rsidR="00417C5C" w:rsidRPr="00C4741B">
        <w:rPr>
          <w:rFonts w:ascii="Arial" w:hAnsi="Arial" w:cs="Arial"/>
        </w:rPr>
        <w:t>who live with</w:t>
      </w:r>
      <w:r w:rsidR="00A65102" w:rsidRPr="00C4741B">
        <w:rPr>
          <w:rFonts w:ascii="Arial" w:hAnsi="Arial" w:cs="Arial"/>
        </w:rPr>
        <w:t xml:space="preserve"> mental health problems. This project is to trial whether using an IPS style model works effectively when trying to support the described cohort in</w:t>
      </w:r>
      <w:r w:rsidR="001C4064" w:rsidRPr="00C4741B">
        <w:rPr>
          <w:rFonts w:ascii="Arial" w:hAnsi="Arial" w:cs="Arial"/>
        </w:rPr>
        <w:t>to employment or starting their own business.</w:t>
      </w:r>
    </w:p>
    <w:p w14:paraId="684A1552" w14:textId="77777777" w:rsidR="00A65102" w:rsidRPr="00C4741B" w:rsidRDefault="00A65102" w:rsidP="00C4741B">
      <w:pPr>
        <w:jc w:val="both"/>
        <w:rPr>
          <w:rFonts w:ascii="Arial" w:hAnsi="Arial" w:cs="Arial"/>
        </w:rPr>
      </w:pPr>
      <w:r w:rsidRPr="00C4741B">
        <w:rPr>
          <w:rFonts w:ascii="Arial" w:hAnsi="Arial" w:cs="Arial"/>
        </w:rPr>
        <w:t>The 8 evidence based principals are:</w:t>
      </w:r>
    </w:p>
    <w:p w14:paraId="684A1553" w14:textId="77777777" w:rsidR="00A65102" w:rsidRPr="00C4741B" w:rsidRDefault="00A65102" w:rsidP="00C4741B">
      <w:pPr>
        <w:jc w:val="both"/>
        <w:rPr>
          <w:rFonts w:ascii="Arial" w:hAnsi="Arial" w:cs="Arial"/>
        </w:rPr>
      </w:pPr>
      <w:r w:rsidRPr="00C4741B">
        <w:rPr>
          <w:rFonts w:ascii="Arial" w:hAnsi="Arial" w:cs="Arial"/>
        </w:rPr>
        <w:t>a.</w:t>
      </w:r>
      <w:r w:rsidRPr="00C4741B">
        <w:rPr>
          <w:rFonts w:ascii="Arial" w:hAnsi="Arial" w:cs="Arial"/>
        </w:rPr>
        <w:tab/>
        <w:t>The Employment Specialist is integrated into the clinical team</w:t>
      </w:r>
    </w:p>
    <w:p w14:paraId="684A1554" w14:textId="77777777" w:rsidR="00A65102" w:rsidRPr="00C4741B" w:rsidRDefault="00A65102" w:rsidP="00C4741B">
      <w:pPr>
        <w:jc w:val="both"/>
        <w:rPr>
          <w:rFonts w:ascii="Arial" w:hAnsi="Arial" w:cs="Arial"/>
        </w:rPr>
      </w:pPr>
      <w:r w:rsidRPr="00C4741B">
        <w:rPr>
          <w:rFonts w:ascii="Arial" w:hAnsi="Arial" w:cs="Arial"/>
        </w:rPr>
        <w:t>b.</w:t>
      </w:r>
      <w:r w:rsidRPr="00C4741B">
        <w:rPr>
          <w:rFonts w:ascii="Arial" w:hAnsi="Arial" w:cs="Arial"/>
        </w:rPr>
        <w:tab/>
        <w:t>It aims to support people to access competitive paid employment</w:t>
      </w:r>
    </w:p>
    <w:p w14:paraId="684A1555" w14:textId="77777777" w:rsidR="00A65102" w:rsidRPr="00C4741B" w:rsidRDefault="00A65102" w:rsidP="00C4741B">
      <w:pPr>
        <w:jc w:val="both"/>
        <w:rPr>
          <w:rFonts w:ascii="Arial" w:hAnsi="Arial" w:cs="Arial"/>
        </w:rPr>
      </w:pPr>
      <w:r w:rsidRPr="00C4741B">
        <w:rPr>
          <w:rFonts w:ascii="Arial" w:hAnsi="Arial" w:cs="Arial"/>
        </w:rPr>
        <w:t>c.</w:t>
      </w:r>
      <w:r w:rsidRPr="00C4741B">
        <w:rPr>
          <w:rFonts w:ascii="Arial" w:hAnsi="Arial" w:cs="Arial"/>
        </w:rPr>
        <w:tab/>
        <w:t>Job search is rapid within 30 days</w:t>
      </w:r>
    </w:p>
    <w:p w14:paraId="684A1556" w14:textId="77777777" w:rsidR="00A65102" w:rsidRPr="00C4741B" w:rsidRDefault="00A65102" w:rsidP="00C4741B">
      <w:pPr>
        <w:jc w:val="both"/>
        <w:rPr>
          <w:rFonts w:ascii="Arial" w:hAnsi="Arial" w:cs="Arial"/>
        </w:rPr>
      </w:pPr>
      <w:r w:rsidRPr="00C4741B">
        <w:rPr>
          <w:rFonts w:ascii="Arial" w:hAnsi="Arial" w:cs="Arial"/>
        </w:rPr>
        <w:t>d.</w:t>
      </w:r>
      <w:r w:rsidRPr="00C4741B">
        <w:rPr>
          <w:rFonts w:ascii="Arial" w:hAnsi="Arial" w:cs="Arial"/>
        </w:rPr>
        <w:tab/>
        <w:t>There is an emphasis on service users deciding when it is the right time to return to employment, rather than the clinical team.</w:t>
      </w:r>
    </w:p>
    <w:p w14:paraId="684A1557" w14:textId="77777777" w:rsidR="00A65102" w:rsidRPr="00C4741B" w:rsidRDefault="00A65102" w:rsidP="00C4741B">
      <w:pPr>
        <w:jc w:val="both"/>
        <w:rPr>
          <w:rFonts w:ascii="Arial" w:hAnsi="Arial" w:cs="Arial"/>
        </w:rPr>
      </w:pPr>
      <w:r w:rsidRPr="00C4741B">
        <w:rPr>
          <w:rFonts w:ascii="Arial" w:hAnsi="Arial" w:cs="Arial"/>
        </w:rPr>
        <w:t>e.</w:t>
      </w:r>
      <w:r w:rsidRPr="00C4741B">
        <w:rPr>
          <w:rFonts w:ascii="Arial" w:hAnsi="Arial" w:cs="Arial"/>
        </w:rPr>
        <w:tab/>
        <w:t>Job search is based on service user choice.</w:t>
      </w:r>
    </w:p>
    <w:p w14:paraId="684A1558" w14:textId="77777777" w:rsidR="00A65102" w:rsidRPr="00C4741B" w:rsidRDefault="00A65102" w:rsidP="00C4741B">
      <w:pPr>
        <w:jc w:val="both"/>
        <w:rPr>
          <w:rFonts w:ascii="Arial" w:hAnsi="Arial" w:cs="Arial"/>
        </w:rPr>
      </w:pPr>
      <w:r w:rsidRPr="00C4741B">
        <w:rPr>
          <w:rFonts w:ascii="Arial" w:hAnsi="Arial" w:cs="Arial"/>
        </w:rPr>
        <w:t>f.</w:t>
      </w:r>
      <w:r w:rsidRPr="00C4741B">
        <w:rPr>
          <w:rFonts w:ascii="Arial" w:hAnsi="Arial" w:cs="Arial"/>
        </w:rPr>
        <w:tab/>
        <w:t>There is an emphasis on building relationships with employers in order to access the hidden labour market.</w:t>
      </w:r>
    </w:p>
    <w:p w14:paraId="684A1559" w14:textId="77777777" w:rsidR="00A65102" w:rsidRPr="00C4741B" w:rsidRDefault="00A65102" w:rsidP="00C4741B">
      <w:pPr>
        <w:jc w:val="both"/>
        <w:rPr>
          <w:rFonts w:ascii="Arial" w:hAnsi="Arial" w:cs="Arial"/>
        </w:rPr>
      </w:pPr>
      <w:r w:rsidRPr="00C4741B">
        <w:rPr>
          <w:rFonts w:ascii="Arial" w:hAnsi="Arial" w:cs="Arial"/>
        </w:rPr>
        <w:lastRenderedPageBreak/>
        <w:t>g.</w:t>
      </w:r>
      <w:r w:rsidRPr="00C4741B">
        <w:rPr>
          <w:rFonts w:ascii="Arial" w:hAnsi="Arial" w:cs="Arial"/>
        </w:rPr>
        <w:tab/>
        <w:t>Benefits counselling is provided to support the person through the transition from benefits to paid work.</w:t>
      </w:r>
    </w:p>
    <w:p w14:paraId="684A155A" w14:textId="77777777" w:rsidR="00A65102" w:rsidRPr="00C4741B" w:rsidRDefault="00A65102" w:rsidP="00C4741B">
      <w:pPr>
        <w:jc w:val="both"/>
        <w:rPr>
          <w:rFonts w:ascii="Arial" w:hAnsi="Arial" w:cs="Arial"/>
        </w:rPr>
      </w:pPr>
      <w:r w:rsidRPr="00C4741B">
        <w:rPr>
          <w:rFonts w:ascii="Arial" w:hAnsi="Arial" w:cs="Arial"/>
        </w:rPr>
        <w:t>h.</w:t>
      </w:r>
      <w:r w:rsidRPr="00C4741B">
        <w:rPr>
          <w:rFonts w:ascii="Arial" w:hAnsi="Arial" w:cs="Arial"/>
        </w:rPr>
        <w:tab/>
        <w:t>Availability of time unlimited support</w:t>
      </w:r>
    </w:p>
    <w:p w14:paraId="684A155B" w14:textId="77777777" w:rsidR="00A65102" w:rsidRPr="00C4741B" w:rsidRDefault="00A65102" w:rsidP="00C4741B">
      <w:pPr>
        <w:jc w:val="both"/>
        <w:rPr>
          <w:rFonts w:ascii="Arial" w:hAnsi="Arial" w:cs="Arial"/>
        </w:rPr>
      </w:pPr>
      <w:r w:rsidRPr="00C4741B">
        <w:rPr>
          <w:rFonts w:ascii="Arial" w:hAnsi="Arial" w:cs="Arial"/>
        </w:rPr>
        <w:t>The 25 IPS fidelity points can be found here: https://www.centreformentalhealth.org.uk/sites/default/files/fidelity_review_form_uk_-_updated_dec_2018.pdf</w:t>
      </w:r>
    </w:p>
    <w:p w14:paraId="684A155D" w14:textId="6EEC899E" w:rsidR="00A65102" w:rsidRPr="00C4741B" w:rsidRDefault="00032B0B" w:rsidP="00C4741B">
      <w:pPr>
        <w:jc w:val="both"/>
        <w:rPr>
          <w:rFonts w:ascii="Arial" w:hAnsi="Arial" w:cs="Arial"/>
        </w:rPr>
      </w:pPr>
      <w:r>
        <w:rPr>
          <w:rFonts w:ascii="Arial" w:hAnsi="Arial" w:cs="Arial"/>
        </w:rPr>
        <w:t>4</w:t>
      </w:r>
      <w:r w:rsidR="00FF5330" w:rsidRPr="00C4741B">
        <w:rPr>
          <w:rFonts w:ascii="Arial" w:hAnsi="Arial" w:cs="Arial"/>
        </w:rPr>
        <w:t>.</w:t>
      </w:r>
      <w:r>
        <w:rPr>
          <w:rFonts w:ascii="Arial" w:hAnsi="Arial" w:cs="Arial"/>
        </w:rPr>
        <w:t>3</w:t>
      </w:r>
      <w:r w:rsidR="00FF5330" w:rsidRPr="00C4741B">
        <w:rPr>
          <w:rFonts w:ascii="Arial" w:hAnsi="Arial" w:cs="Arial"/>
        </w:rPr>
        <w:t xml:space="preserve"> </w:t>
      </w:r>
      <w:r w:rsidR="00A65102" w:rsidRPr="00C4741B">
        <w:rPr>
          <w:rFonts w:ascii="Arial" w:hAnsi="Arial" w:cs="Arial"/>
        </w:rPr>
        <w:t>Th</w:t>
      </w:r>
      <w:r w:rsidR="00BC0B17" w:rsidRPr="00C4741B">
        <w:rPr>
          <w:rFonts w:ascii="Arial" w:hAnsi="Arial" w:cs="Arial"/>
        </w:rPr>
        <w:t>is</w:t>
      </w:r>
      <w:r w:rsidR="00A65102" w:rsidRPr="00C4741B">
        <w:rPr>
          <w:rFonts w:ascii="Arial" w:hAnsi="Arial" w:cs="Arial"/>
        </w:rPr>
        <w:t xml:space="preserve"> project will not have mental health</w:t>
      </w:r>
      <w:r w:rsidR="007C4EAA">
        <w:rPr>
          <w:rFonts w:ascii="Arial" w:hAnsi="Arial" w:cs="Arial"/>
        </w:rPr>
        <w:t xml:space="preserve"> needs,</w:t>
      </w:r>
      <w:r w:rsidR="00A65102" w:rsidRPr="00C4741B">
        <w:rPr>
          <w:rFonts w:ascii="Arial" w:hAnsi="Arial" w:cs="Arial"/>
        </w:rPr>
        <w:t xml:space="preserve"> or physical health need</w:t>
      </w:r>
      <w:r w:rsidR="00FF5330" w:rsidRPr="00C4741B">
        <w:rPr>
          <w:rFonts w:ascii="Arial" w:hAnsi="Arial" w:cs="Arial"/>
        </w:rPr>
        <w:t>s</w:t>
      </w:r>
      <w:r w:rsidR="007C4EAA">
        <w:rPr>
          <w:rFonts w:ascii="Arial" w:hAnsi="Arial" w:cs="Arial"/>
        </w:rPr>
        <w:t>,</w:t>
      </w:r>
      <w:r w:rsidR="00A65102" w:rsidRPr="00C4741B">
        <w:rPr>
          <w:rFonts w:ascii="Arial" w:hAnsi="Arial" w:cs="Arial"/>
        </w:rPr>
        <w:t xml:space="preserve"> as one of the referral requirements for an individual being eligible for support. </w:t>
      </w:r>
      <w:r w:rsidR="007C4EAA">
        <w:rPr>
          <w:rFonts w:ascii="Arial" w:hAnsi="Arial" w:cs="Arial"/>
        </w:rPr>
        <w:t>As a result</w:t>
      </w:r>
      <w:r w:rsidR="00BC0B17" w:rsidRPr="00C4741B">
        <w:rPr>
          <w:rFonts w:ascii="Arial" w:hAnsi="Arial" w:cs="Arial"/>
        </w:rPr>
        <w:t>,</w:t>
      </w:r>
      <w:r w:rsidR="00A65102" w:rsidRPr="00C4741B">
        <w:rPr>
          <w:rFonts w:ascii="Arial" w:hAnsi="Arial" w:cs="Arial"/>
        </w:rPr>
        <w:t xml:space="preserve"> this project cannot be labelled as IPS. </w:t>
      </w:r>
      <w:r w:rsidR="00417C5C" w:rsidRPr="00C4741B">
        <w:rPr>
          <w:rFonts w:ascii="Arial" w:hAnsi="Arial" w:cs="Arial"/>
        </w:rPr>
        <w:t xml:space="preserve">There are also therefore some principles which will need to be adapted to suit the model: specifically principles </w:t>
      </w:r>
      <w:proofErr w:type="gramStart"/>
      <w:r w:rsidR="00417C5C" w:rsidRPr="00C4741B">
        <w:rPr>
          <w:rFonts w:ascii="Arial" w:hAnsi="Arial" w:cs="Arial"/>
          <w:b/>
        </w:rPr>
        <w:t>a</w:t>
      </w:r>
      <w:r w:rsidR="00417C5C" w:rsidRPr="00C4741B">
        <w:rPr>
          <w:rFonts w:ascii="Arial" w:hAnsi="Arial" w:cs="Arial"/>
        </w:rPr>
        <w:t xml:space="preserve"> and</w:t>
      </w:r>
      <w:proofErr w:type="gramEnd"/>
      <w:r w:rsidR="00417C5C" w:rsidRPr="00C4741B">
        <w:rPr>
          <w:rFonts w:ascii="Arial" w:hAnsi="Arial" w:cs="Arial"/>
        </w:rPr>
        <w:t xml:space="preserve"> </w:t>
      </w:r>
      <w:r w:rsidR="00417C5C" w:rsidRPr="00C4741B">
        <w:rPr>
          <w:rFonts w:ascii="Arial" w:hAnsi="Arial" w:cs="Arial"/>
          <w:b/>
        </w:rPr>
        <w:t>d</w:t>
      </w:r>
      <w:r w:rsidR="00417C5C" w:rsidRPr="00C4741B">
        <w:rPr>
          <w:rFonts w:ascii="Arial" w:hAnsi="Arial" w:cs="Arial"/>
        </w:rPr>
        <w:t xml:space="preserve">. </w:t>
      </w:r>
    </w:p>
    <w:p w14:paraId="684A155E" w14:textId="77777777" w:rsidR="00A65102" w:rsidRPr="00C4741B" w:rsidRDefault="00A65102" w:rsidP="00C4741B">
      <w:pPr>
        <w:jc w:val="both"/>
        <w:rPr>
          <w:rFonts w:ascii="Arial" w:hAnsi="Arial" w:cs="Arial"/>
        </w:rPr>
      </w:pPr>
    </w:p>
    <w:p w14:paraId="684A155F" w14:textId="03685934" w:rsidR="006B3B3E" w:rsidRPr="00C4741B" w:rsidRDefault="00032B0B" w:rsidP="00C4741B">
      <w:pPr>
        <w:jc w:val="both"/>
        <w:rPr>
          <w:rFonts w:ascii="Arial" w:hAnsi="Arial" w:cs="Arial"/>
          <w:b/>
        </w:rPr>
      </w:pPr>
      <w:r w:rsidRPr="008F1A7E">
        <w:rPr>
          <w:rFonts w:ascii="Arial" w:hAnsi="Arial" w:cs="Arial"/>
          <w:b/>
        </w:rPr>
        <w:t>5</w:t>
      </w:r>
      <w:r w:rsidR="00FF5330" w:rsidRPr="00C4741B">
        <w:rPr>
          <w:rFonts w:ascii="Arial" w:hAnsi="Arial" w:cs="Arial"/>
          <w:b/>
        </w:rPr>
        <w:t>.</w:t>
      </w:r>
      <w:r w:rsidRPr="008F1A7E">
        <w:rPr>
          <w:rFonts w:ascii="Arial" w:hAnsi="Arial" w:cs="Arial"/>
          <w:b/>
        </w:rPr>
        <w:tab/>
      </w:r>
      <w:r w:rsidR="00FF5330" w:rsidRPr="00C4741B">
        <w:rPr>
          <w:rFonts w:ascii="Arial" w:hAnsi="Arial" w:cs="Arial"/>
          <w:b/>
        </w:rPr>
        <w:t xml:space="preserve"> </w:t>
      </w:r>
      <w:r w:rsidR="006B3B3E" w:rsidRPr="00C4741B">
        <w:rPr>
          <w:rFonts w:ascii="Arial" w:hAnsi="Arial" w:cs="Arial"/>
          <w:b/>
        </w:rPr>
        <w:t xml:space="preserve">Service </w:t>
      </w:r>
    </w:p>
    <w:p w14:paraId="684A1560" w14:textId="1B1A00DB" w:rsidR="006B3B3E" w:rsidRPr="00C4741B" w:rsidRDefault="00A53BF2" w:rsidP="00C4741B">
      <w:pPr>
        <w:jc w:val="both"/>
        <w:rPr>
          <w:rFonts w:ascii="Arial" w:hAnsi="Arial" w:cs="Arial"/>
          <w:b/>
        </w:rPr>
      </w:pPr>
      <w:r w:rsidRPr="00C4741B">
        <w:rPr>
          <w:rFonts w:ascii="Arial" w:hAnsi="Arial" w:cs="Arial"/>
          <w:b/>
        </w:rPr>
        <w:t xml:space="preserve">Grant </w:t>
      </w:r>
    </w:p>
    <w:p w14:paraId="684A1561" w14:textId="1CC1C7F2" w:rsidR="00C64EC5" w:rsidRPr="00C4741B" w:rsidRDefault="00032B0B" w:rsidP="00C4741B">
      <w:pPr>
        <w:jc w:val="both"/>
        <w:rPr>
          <w:rFonts w:ascii="Arial" w:hAnsi="Arial" w:cs="Arial"/>
        </w:rPr>
      </w:pPr>
      <w:r>
        <w:rPr>
          <w:rFonts w:ascii="Arial" w:hAnsi="Arial" w:cs="Arial"/>
        </w:rPr>
        <w:t xml:space="preserve">5.1 </w:t>
      </w:r>
      <w:r w:rsidR="00B73DE8" w:rsidRPr="00C4741B">
        <w:rPr>
          <w:rFonts w:ascii="Arial" w:hAnsi="Arial" w:cs="Arial"/>
        </w:rPr>
        <w:t>The fu</w:t>
      </w:r>
      <w:r w:rsidR="003D003C" w:rsidRPr="00C4741B">
        <w:rPr>
          <w:rFonts w:ascii="Arial" w:hAnsi="Arial" w:cs="Arial"/>
        </w:rPr>
        <w:t>nding for this service is for a</w:t>
      </w:r>
      <w:r w:rsidR="00B73DE8" w:rsidRPr="00C4741B">
        <w:rPr>
          <w:rFonts w:ascii="Arial" w:hAnsi="Arial" w:cs="Arial"/>
        </w:rPr>
        <w:t xml:space="preserve"> </w:t>
      </w:r>
      <w:r w:rsidR="00417C5C" w:rsidRPr="00C4741B">
        <w:rPr>
          <w:rFonts w:ascii="Arial" w:hAnsi="Arial" w:cs="Arial"/>
        </w:rPr>
        <w:t>24</w:t>
      </w:r>
      <w:r w:rsidR="00B73DE8" w:rsidRPr="00C4741B">
        <w:rPr>
          <w:rFonts w:ascii="Arial" w:hAnsi="Arial" w:cs="Arial"/>
        </w:rPr>
        <w:t xml:space="preserve"> month period, with an option to extend</w:t>
      </w:r>
      <w:r w:rsidR="00C64EC5" w:rsidRPr="00C4741B">
        <w:rPr>
          <w:rFonts w:ascii="Arial" w:hAnsi="Arial" w:cs="Arial"/>
        </w:rPr>
        <w:t xml:space="preserve">. That decision will be made by the Police and Crime Commissioner at that time. The budgeted </w:t>
      </w:r>
      <w:r w:rsidR="00A53BF2" w:rsidRPr="00C4741B">
        <w:rPr>
          <w:rFonts w:ascii="Arial" w:hAnsi="Arial" w:cs="Arial"/>
        </w:rPr>
        <w:t>grant</w:t>
      </w:r>
      <w:r w:rsidR="00C64EC5" w:rsidRPr="00C4741B">
        <w:rPr>
          <w:rFonts w:ascii="Arial" w:hAnsi="Arial" w:cs="Arial"/>
        </w:rPr>
        <w:t xml:space="preserve"> value is £200,000</w:t>
      </w:r>
      <w:r w:rsidR="003C291F">
        <w:rPr>
          <w:rFonts w:ascii="Arial" w:hAnsi="Arial" w:cs="Arial"/>
        </w:rPr>
        <w:t>.</w:t>
      </w:r>
      <w:r w:rsidR="00C64EC5" w:rsidRPr="00C4741B">
        <w:rPr>
          <w:rFonts w:ascii="Arial" w:hAnsi="Arial" w:cs="Arial"/>
        </w:rPr>
        <w:t xml:space="preserve"> </w:t>
      </w:r>
      <w:r w:rsidR="00110904" w:rsidRPr="00C4741B">
        <w:rPr>
          <w:rFonts w:ascii="Arial" w:hAnsi="Arial" w:cs="Arial"/>
        </w:rPr>
        <w:t xml:space="preserve">One instalment </w:t>
      </w:r>
      <w:r w:rsidR="003C291F">
        <w:rPr>
          <w:rFonts w:ascii="Arial" w:hAnsi="Arial" w:cs="Arial"/>
        </w:rPr>
        <w:t>will be paid at the start of the contract. Subsequent instalments will be paid on the basis of specific agreed targets being achieved.</w:t>
      </w:r>
    </w:p>
    <w:p w14:paraId="684A1562" w14:textId="541467CF" w:rsidR="007722A8" w:rsidRPr="00C4741B" w:rsidRDefault="00032B0B" w:rsidP="00C4741B">
      <w:pPr>
        <w:jc w:val="both"/>
        <w:rPr>
          <w:rFonts w:ascii="Arial" w:hAnsi="Arial" w:cs="Arial"/>
        </w:rPr>
      </w:pPr>
      <w:r>
        <w:rPr>
          <w:rFonts w:ascii="Arial" w:hAnsi="Arial" w:cs="Arial"/>
        </w:rPr>
        <w:t xml:space="preserve">5.2 </w:t>
      </w:r>
      <w:r w:rsidR="007722A8" w:rsidRPr="00C4741B">
        <w:rPr>
          <w:rFonts w:ascii="Arial" w:hAnsi="Arial" w:cs="Arial"/>
        </w:rPr>
        <w:t>Possible providers will need to create an extensive plan detailing how they will deploy the model, engage with stakeholders and</w:t>
      </w:r>
      <w:r w:rsidR="00C76194" w:rsidRPr="00C4741B">
        <w:rPr>
          <w:rFonts w:ascii="Arial" w:hAnsi="Arial" w:cs="Arial"/>
        </w:rPr>
        <w:t xml:space="preserve"> how they will</w:t>
      </w:r>
      <w:r w:rsidR="007722A8" w:rsidRPr="00C4741B">
        <w:rPr>
          <w:rFonts w:ascii="Arial" w:hAnsi="Arial" w:cs="Arial"/>
        </w:rPr>
        <w:t xml:space="preserve"> build resilience in the model over the first six months of the funding period.</w:t>
      </w:r>
      <w:r w:rsidR="00417C5C" w:rsidRPr="00C4741B">
        <w:rPr>
          <w:rFonts w:ascii="Arial" w:hAnsi="Arial" w:cs="Arial"/>
        </w:rPr>
        <w:t xml:space="preserve"> There is an expectation that the chosen provider will need to </w:t>
      </w:r>
      <w:r w:rsidR="0072630F">
        <w:rPr>
          <w:rFonts w:ascii="Arial" w:hAnsi="Arial" w:cs="Arial"/>
        </w:rPr>
        <w:t>explain how they can mobilise as quickly as possible</w:t>
      </w:r>
      <w:r w:rsidR="00417C5C" w:rsidRPr="00C4741B">
        <w:rPr>
          <w:rFonts w:ascii="Arial" w:hAnsi="Arial" w:cs="Arial"/>
        </w:rPr>
        <w:t xml:space="preserve">. Potential providers need to detail how they will work to this deadline. </w:t>
      </w:r>
    </w:p>
    <w:p w14:paraId="68F2BFA1" w14:textId="1243BCD9" w:rsidR="00032B0B" w:rsidRPr="003C291F" w:rsidRDefault="00032B0B" w:rsidP="00C4741B">
      <w:pPr>
        <w:jc w:val="both"/>
        <w:rPr>
          <w:rFonts w:ascii="Arial" w:hAnsi="Arial" w:cs="Arial"/>
          <w:b/>
          <w:color w:val="FF0000"/>
        </w:rPr>
      </w:pPr>
      <w:r>
        <w:rPr>
          <w:rFonts w:ascii="Arial" w:hAnsi="Arial" w:cs="Arial"/>
        </w:rPr>
        <w:t xml:space="preserve">5.3 </w:t>
      </w:r>
      <w:r w:rsidR="007722A8" w:rsidRPr="00C4741B">
        <w:rPr>
          <w:rFonts w:ascii="Arial" w:hAnsi="Arial" w:cs="Arial"/>
        </w:rPr>
        <w:t>Potential providers will also need to specify how quickly they will be able t</w:t>
      </w:r>
      <w:r w:rsidR="005975EA" w:rsidRPr="00C4741B">
        <w:rPr>
          <w:rFonts w:ascii="Arial" w:hAnsi="Arial" w:cs="Arial"/>
        </w:rPr>
        <w:t xml:space="preserve">o start supporting young people and their plan to ensure that once they take on </w:t>
      </w:r>
      <w:r w:rsidR="004163A2">
        <w:rPr>
          <w:rFonts w:ascii="Arial" w:hAnsi="Arial" w:cs="Arial"/>
        </w:rPr>
        <w:t>clients</w:t>
      </w:r>
      <w:r w:rsidR="00490F56">
        <w:rPr>
          <w:rFonts w:ascii="Arial" w:hAnsi="Arial" w:cs="Arial"/>
        </w:rPr>
        <w:t>,</w:t>
      </w:r>
      <w:r w:rsidR="005975EA" w:rsidRPr="00C4741B">
        <w:rPr>
          <w:rFonts w:ascii="Arial" w:hAnsi="Arial" w:cs="Arial"/>
        </w:rPr>
        <w:t xml:space="preserve"> they will be able to support them effectively. </w:t>
      </w:r>
      <w:r w:rsidR="007722A8" w:rsidRPr="00C4741B">
        <w:rPr>
          <w:rFonts w:ascii="Arial" w:hAnsi="Arial" w:cs="Arial"/>
        </w:rPr>
        <w:t xml:space="preserve"> </w:t>
      </w:r>
    </w:p>
    <w:p w14:paraId="684A1564" w14:textId="37F8A256" w:rsidR="006B3B3E" w:rsidRDefault="00032B0B" w:rsidP="00C4741B">
      <w:pPr>
        <w:jc w:val="both"/>
        <w:rPr>
          <w:rFonts w:ascii="Arial" w:hAnsi="Arial" w:cs="Arial"/>
          <w:b/>
        </w:rPr>
      </w:pPr>
      <w:r w:rsidRPr="008F1A7E">
        <w:rPr>
          <w:rFonts w:ascii="Arial" w:hAnsi="Arial" w:cs="Arial"/>
          <w:b/>
        </w:rPr>
        <w:t xml:space="preserve">The </w:t>
      </w:r>
      <w:r w:rsidR="006B3B3E" w:rsidRPr="00C4741B">
        <w:rPr>
          <w:rFonts w:ascii="Arial" w:hAnsi="Arial" w:cs="Arial"/>
          <w:b/>
        </w:rPr>
        <w:t xml:space="preserve">Provider </w:t>
      </w:r>
    </w:p>
    <w:p w14:paraId="76EF3635" w14:textId="5ECC34DF" w:rsidR="006A53F5" w:rsidRPr="003C291F" w:rsidRDefault="003C291F" w:rsidP="00C4741B">
      <w:pPr>
        <w:jc w:val="both"/>
        <w:rPr>
          <w:rFonts w:ascii="Arial" w:hAnsi="Arial" w:cs="Arial"/>
          <w:color w:val="000000" w:themeColor="text1"/>
        </w:rPr>
      </w:pPr>
      <w:r>
        <w:rPr>
          <w:rFonts w:ascii="Arial" w:hAnsi="Arial" w:cs="Arial"/>
          <w:color w:val="000000" w:themeColor="text1"/>
        </w:rPr>
        <w:t xml:space="preserve">5.4 </w:t>
      </w:r>
      <w:r w:rsidR="006A53F5" w:rsidRPr="003C291F">
        <w:rPr>
          <w:rFonts w:ascii="Arial" w:hAnsi="Arial" w:cs="Arial"/>
          <w:color w:val="000000" w:themeColor="text1"/>
        </w:rPr>
        <w:t xml:space="preserve">The Provider will need to be able to demonstrate local links across the target cohort, that they have a history in working with the group, have an understanding of the complex issues that this cohort are dealing with. </w:t>
      </w:r>
    </w:p>
    <w:p w14:paraId="684A1566" w14:textId="5753F347" w:rsidR="007722A8" w:rsidRPr="00C4741B" w:rsidRDefault="003C291F" w:rsidP="00C4741B">
      <w:pPr>
        <w:jc w:val="both"/>
        <w:rPr>
          <w:rFonts w:ascii="Arial" w:hAnsi="Arial" w:cs="Arial"/>
        </w:rPr>
      </w:pPr>
      <w:r>
        <w:rPr>
          <w:rFonts w:ascii="Arial" w:hAnsi="Arial" w:cs="Arial"/>
        </w:rPr>
        <w:t>5.5</w:t>
      </w:r>
      <w:r w:rsidR="00032B0B">
        <w:rPr>
          <w:rFonts w:ascii="Arial" w:hAnsi="Arial" w:cs="Arial"/>
        </w:rPr>
        <w:t xml:space="preserve"> </w:t>
      </w:r>
      <w:r w:rsidR="007722A8" w:rsidRPr="00C4741B">
        <w:rPr>
          <w:rFonts w:ascii="Arial" w:hAnsi="Arial" w:cs="Arial"/>
        </w:rPr>
        <w:t xml:space="preserve">Potential providers need to have a proven track record of successfully engaging with this </w:t>
      </w:r>
      <w:r w:rsidR="00387AB1" w:rsidRPr="00C4741B">
        <w:rPr>
          <w:rFonts w:ascii="Arial" w:hAnsi="Arial" w:cs="Arial"/>
        </w:rPr>
        <w:t>age group and demonstrate an ability to support this</w:t>
      </w:r>
      <w:r w:rsidR="007C4EAA">
        <w:rPr>
          <w:rFonts w:ascii="Arial" w:hAnsi="Arial" w:cs="Arial"/>
        </w:rPr>
        <w:t xml:space="preserve"> cohort</w:t>
      </w:r>
      <w:r w:rsidR="00387AB1" w:rsidRPr="00C4741B">
        <w:rPr>
          <w:rFonts w:ascii="Arial" w:hAnsi="Arial" w:cs="Arial"/>
        </w:rPr>
        <w:t xml:space="preserve"> into employment or business. </w:t>
      </w:r>
    </w:p>
    <w:p w14:paraId="684A1567" w14:textId="49B9F36F" w:rsidR="00387AB1" w:rsidRPr="00C4741B" w:rsidRDefault="003C291F" w:rsidP="00C4741B">
      <w:pPr>
        <w:jc w:val="both"/>
        <w:rPr>
          <w:rFonts w:ascii="Arial" w:hAnsi="Arial" w:cs="Arial"/>
        </w:rPr>
      </w:pPr>
      <w:r>
        <w:rPr>
          <w:rFonts w:ascii="Arial" w:hAnsi="Arial" w:cs="Arial"/>
        </w:rPr>
        <w:t>5.6</w:t>
      </w:r>
      <w:r w:rsidR="00032B0B">
        <w:rPr>
          <w:rFonts w:ascii="Arial" w:hAnsi="Arial" w:cs="Arial"/>
        </w:rPr>
        <w:t xml:space="preserve"> </w:t>
      </w:r>
      <w:r w:rsidR="00387AB1" w:rsidRPr="00C4741B">
        <w:rPr>
          <w:rFonts w:ascii="Arial" w:hAnsi="Arial" w:cs="Arial"/>
        </w:rPr>
        <w:t>The service provider must have sufficient internal resilience to manage service provision throughout major holiday periods</w:t>
      </w:r>
      <w:r w:rsidR="007C4EAA">
        <w:rPr>
          <w:rFonts w:ascii="Arial" w:hAnsi="Arial" w:cs="Arial"/>
        </w:rPr>
        <w:t>,</w:t>
      </w:r>
      <w:r w:rsidR="00387AB1" w:rsidRPr="00C4741B">
        <w:rPr>
          <w:rFonts w:ascii="Arial" w:hAnsi="Arial" w:cs="Arial"/>
        </w:rPr>
        <w:t xml:space="preserve"> as and when required</w:t>
      </w:r>
      <w:r w:rsidR="007C4EAA">
        <w:rPr>
          <w:rFonts w:ascii="Arial" w:hAnsi="Arial" w:cs="Arial"/>
        </w:rPr>
        <w:t>,</w:t>
      </w:r>
      <w:r w:rsidR="00387AB1" w:rsidRPr="00C4741B">
        <w:rPr>
          <w:rFonts w:ascii="Arial" w:hAnsi="Arial" w:cs="Arial"/>
        </w:rPr>
        <w:t xml:space="preserve"> and an out of business hours capability.  </w:t>
      </w:r>
    </w:p>
    <w:p w14:paraId="684A1568" w14:textId="4610F1D3" w:rsidR="005D23F7" w:rsidRPr="00C4741B" w:rsidRDefault="00032B0B" w:rsidP="00C4741B">
      <w:pPr>
        <w:jc w:val="both"/>
        <w:rPr>
          <w:rFonts w:ascii="Arial" w:hAnsi="Arial" w:cs="Arial"/>
        </w:rPr>
      </w:pPr>
      <w:r>
        <w:rPr>
          <w:rFonts w:ascii="Arial" w:hAnsi="Arial" w:cs="Arial"/>
        </w:rPr>
        <w:t>5.</w:t>
      </w:r>
      <w:r w:rsidR="003C291F">
        <w:rPr>
          <w:rFonts w:ascii="Arial" w:hAnsi="Arial" w:cs="Arial"/>
        </w:rPr>
        <w:t>7</w:t>
      </w:r>
      <w:r>
        <w:rPr>
          <w:rFonts w:ascii="Arial" w:hAnsi="Arial" w:cs="Arial"/>
        </w:rPr>
        <w:t xml:space="preserve"> </w:t>
      </w:r>
      <w:r w:rsidR="005D23F7" w:rsidRPr="00C4741B">
        <w:rPr>
          <w:rFonts w:ascii="Arial" w:hAnsi="Arial" w:cs="Arial"/>
        </w:rPr>
        <w:t>Providers that can show a capability to provide support between appointments</w:t>
      </w:r>
      <w:r w:rsidR="00C76194" w:rsidRPr="00C4741B">
        <w:rPr>
          <w:rFonts w:ascii="Arial" w:hAnsi="Arial" w:cs="Arial"/>
        </w:rPr>
        <w:t>,</w:t>
      </w:r>
      <w:r w:rsidR="005D23F7" w:rsidRPr="00C4741B">
        <w:rPr>
          <w:rFonts w:ascii="Arial" w:hAnsi="Arial" w:cs="Arial"/>
        </w:rPr>
        <w:t xml:space="preserve"> through an online platform</w:t>
      </w:r>
      <w:r w:rsidR="00C76194" w:rsidRPr="00C4741B">
        <w:rPr>
          <w:rFonts w:ascii="Arial" w:hAnsi="Arial" w:cs="Arial"/>
        </w:rPr>
        <w:t>,</w:t>
      </w:r>
      <w:r w:rsidR="005D23F7" w:rsidRPr="00C4741B">
        <w:rPr>
          <w:rFonts w:ascii="Arial" w:hAnsi="Arial" w:cs="Arial"/>
        </w:rPr>
        <w:t xml:space="preserve"> will be looked on favourably. </w:t>
      </w:r>
    </w:p>
    <w:p w14:paraId="51B8C588" w14:textId="67C4AAC8" w:rsidR="006A53F5" w:rsidRPr="00C4741B" w:rsidRDefault="003C291F" w:rsidP="00C4741B">
      <w:pPr>
        <w:jc w:val="both"/>
        <w:rPr>
          <w:rFonts w:ascii="Arial" w:hAnsi="Arial" w:cs="Arial"/>
        </w:rPr>
      </w:pPr>
      <w:r>
        <w:rPr>
          <w:rFonts w:ascii="Arial" w:hAnsi="Arial" w:cs="Arial"/>
        </w:rPr>
        <w:t>5.8</w:t>
      </w:r>
      <w:r w:rsidR="00032B0B">
        <w:rPr>
          <w:rFonts w:ascii="Arial" w:hAnsi="Arial" w:cs="Arial"/>
        </w:rPr>
        <w:t xml:space="preserve"> </w:t>
      </w:r>
      <w:r w:rsidR="0007620A" w:rsidRPr="00C4741B">
        <w:rPr>
          <w:rFonts w:ascii="Arial" w:hAnsi="Arial" w:cs="Arial"/>
        </w:rPr>
        <w:t xml:space="preserve">The provider needs to display cultural competence with the Birmingham communities we are trying to reach. </w:t>
      </w:r>
    </w:p>
    <w:p w14:paraId="09C347A8" w14:textId="2ABF4390" w:rsidR="0007620A" w:rsidRPr="00C4741B" w:rsidRDefault="003C291F" w:rsidP="00C4741B">
      <w:pPr>
        <w:jc w:val="both"/>
        <w:rPr>
          <w:rFonts w:ascii="Arial" w:hAnsi="Arial" w:cs="Arial"/>
        </w:rPr>
      </w:pPr>
      <w:r>
        <w:rPr>
          <w:rFonts w:ascii="Arial" w:hAnsi="Arial" w:cs="Arial"/>
        </w:rPr>
        <w:lastRenderedPageBreak/>
        <w:t>5.9</w:t>
      </w:r>
      <w:r w:rsidR="00032B0B">
        <w:rPr>
          <w:rFonts w:ascii="Arial" w:hAnsi="Arial" w:cs="Arial"/>
        </w:rPr>
        <w:t xml:space="preserve"> </w:t>
      </w:r>
      <w:r w:rsidR="0007620A" w:rsidRPr="00C4741B">
        <w:rPr>
          <w:rFonts w:ascii="Arial" w:hAnsi="Arial" w:cs="Arial"/>
        </w:rPr>
        <w:t>It would also be looked on favourably if the provider is able to provide multi-</w:t>
      </w:r>
      <w:r w:rsidR="007C4EAA" w:rsidRPr="006714EB">
        <w:rPr>
          <w:rFonts w:ascii="Arial" w:hAnsi="Arial" w:cs="Arial"/>
        </w:rPr>
        <w:t>lingual support</w:t>
      </w:r>
      <w:r w:rsidR="0007620A" w:rsidRPr="00C4741B">
        <w:rPr>
          <w:rFonts w:ascii="Arial" w:hAnsi="Arial" w:cs="Arial"/>
        </w:rPr>
        <w:t xml:space="preserve">. </w:t>
      </w:r>
    </w:p>
    <w:p w14:paraId="1D6F7C62" w14:textId="4F9793DF" w:rsidR="00C76194" w:rsidRPr="00C4741B" w:rsidRDefault="003C291F" w:rsidP="00C4741B">
      <w:pPr>
        <w:jc w:val="both"/>
        <w:rPr>
          <w:rFonts w:ascii="Arial" w:hAnsi="Arial" w:cs="Arial"/>
        </w:rPr>
      </w:pPr>
      <w:r>
        <w:rPr>
          <w:rFonts w:ascii="Arial" w:hAnsi="Arial" w:cs="Arial"/>
        </w:rPr>
        <w:t>5.10</w:t>
      </w:r>
      <w:r w:rsidR="00032B0B">
        <w:rPr>
          <w:rFonts w:ascii="Arial" w:hAnsi="Arial" w:cs="Arial"/>
        </w:rPr>
        <w:t xml:space="preserve"> </w:t>
      </w:r>
      <w:r w:rsidR="00C76194" w:rsidRPr="00C4741B">
        <w:rPr>
          <w:rFonts w:ascii="Arial" w:hAnsi="Arial" w:cs="Arial"/>
        </w:rPr>
        <w:t xml:space="preserve">The OPCC is open to joint applications from multiple providers if the tender applicants clearly articulate how they will collaborate together.  </w:t>
      </w:r>
    </w:p>
    <w:p w14:paraId="6B83F18D" w14:textId="77777777" w:rsidR="00032B0B" w:rsidRPr="008F1A7E" w:rsidRDefault="00032B0B" w:rsidP="00C4741B">
      <w:pPr>
        <w:jc w:val="both"/>
        <w:rPr>
          <w:rFonts w:ascii="Arial" w:hAnsi="Arial" w:cs="Arial"/>
        </w:rPr>
      </w:pPr>
    </w:p>
    <w:p w14:paraId="684A1569" w14:textId="5BBAEADA" w:rsidR="009C0ADA" w:rsidRPr="00C4741B" w:rsidRDefault="009C0ADA" w:rsidP="00C4741B">
      <w:pPr>
        <w:jc w:val="both"/>
        <w:rPr>
          <w:rFonts w:ascii="Arial" w:hAnsi="Arial" w:cs="Arial"/>
          <w:b/>
        </w:rPr>
      </w:pPr>
      <w:r w:rsidRPr="00C4741B">
        <w:rPr>
          <w:rFonts w:ascii="Arial" w:hAnsi="Arial" w:cs="Arial"/>
          <w:b/>
        </w:rPr>
        <w:t>Cohort</w:t>
      </w:r>
      <w:r w:rsidR="00622458" w:rsidRPr="00C4741B">
        <w:rPr>
          <w:rFonts w:ascii="Arial" w:hAnsi="Arial" w:cs="Arial"/>
          <w:b/>
        </w:rPr>
        <w:t xml:space="preserve"> </w:t>
      </w:r>
    </w:p>
    <w:p w14:paraId="684A156A" w14:textId="07D9F01D" w:rsidR="006B367B" w:rsidRDefault="00032B0B" w:rsidP="00A27629">
      <w:pPr>
        <w:jc w:val="both"/>
        <w:rPr>
          <w:rFonts w:ascii="Arial" w:hAnsi="Arial" w:cs="Arial"/>
        </w:rPr>
      </w:pPr>
      <w:r>
        <w:rPr>
          <w:rFonts w:ascii="Arial" w:hAnsi="Arial" w:cs="Arial"/>
        </w:rPr>
        <w:t>5.10 T</w:t>
      </w:r>
      <w:r w:rsidR="009C0ADA" w:rsidRPr="00C4741B">
        <w:rPr>
          <w:rFonts w:ascii="Arial" w:hAnsi="Arial" w:cs="Arial"/>
        </w:rPr>
        <w:t xml:space="preserve">he target age range for the project is </w:t>
      </w:r>
      <w:r w:rsidR="00DE0165" w:rsidRPr="00C4741B">
        <w:rPr>
          <w:rFonts w:ascii="Arial" w:hAnsi="Arial" w:cs="Arial"/>
        </w:rPr>
        <w:t>18</w:t>
      </w:r>
      <w:r w:rsidR="003C291F">
        <w:rPr>
          <w:rFonts w:ascii="Arial" w:hAnsi="Arial" w:cs="Arial"/>
        </w:rPr>
        <w:t>-35</w:t>
      </w:r>
      <w:r w:rsidR="009C0ADA" w:rsidRPr="00C4741B">
        <w:rPr>
          <w:rFonts w:ascii="Arial" w:hAnsi="Arial" w:cs="Arial"/>
        </w:rPr>
        <w:t xml:space="preserve"> years old.</w:t>
      </w:r>
      <w:r w:rsidR="006A53F5">
        <w:rPr>
          <w:rFonts w:ascii="Arial" w:hAnsi="Arial" w:cs="Arial"/>
        </w:rPr>
        <w:t xml:space="preserve"> </w:t>
      </w:r>
      <w:r w:rsidR="00DC3F3A">
        <w:rPr>
          <w:rFonts w:ascii="Arial" w:hAnsi="Arial" w:cs="Arial"/>
        </w:rPr>
        <w:t>Two groups of individuals within this age range will be accepted on to service. Individuals</w:t>
      </w:r>
      <w:r w:rsidR="009C0ADA" w:rsidRPr="00C4741B">
        <w:rPr>
          <w:rFonts w:ascii="Arial" w:hAnsi="Arial" w:cs="Arial"/>
        </w:rPr>
        <w:t xml:space="preserve"> </w:t>
      </w:r>
      <w:r w:rsidR="00DC3F3A">
        <w:rPr>
          <w:rFonts w:ascii="Arial" w:hAnsi="Arial" w:cs="Arial"/>
        </w:rPr>
        <w:t>who are at risk of being involved in violent crime</w:t>
      </w:r>
      <w:r w:rsidR="00A27629">
        <w:rPr>
          <w:rFonts w:ascii="Arial" w:hAnsi="Arial" w:cs="Arial"/>
        </w:rPr>
        <w:t xml:space="preserve"> and </w:t>
      </w:r>
      <w:r w:rsidR="00DC3F3A">
        <w:rPr>
          <w:rFonts w:ascii="Arial" w:hAnsi="Arial" w:cs="Arial"/>
        </w:rPr>
        <w:t xml:space="preserve">gang related activities and </w:t>
      </w:r>
      <w:r w:rsidR="00A27629">
        <w:rPr>
          <w:rFonts w:ascii="Arial" w:hAnsi="Arial" w:cs="Arial"/>
        </w:rPr>
        <w:t xml:space="preserve">also individuals who </w:t>
      </w:r>
      <w:proofErr w:type="spellStart"/>
      <w:r w:rsidR="00A27629">
        <w:rPr>
          <w:rFonts w:ascii="Arial" w:hAnsi="Arial" w:cs="Arial"/>
        </w:rPr>
        <w:t>who</w:t>
      </w:r>
      <w:proofErr w:type="spellEnd"/>
      <w:r w:rsidR="00A27629">
        <w:rPr>
          <w:rFonts w:ascii="Arial" w:hAnsi="Arial" w:cs="Arial"/>
        </w:rPr>
        <w:t xml:space="preserve"> been convicted of violent crime and gang related activities.</w:t>
      </w:r>
      <w:r w:rsidR="00DC3F3A">
        <w:rPr>
          <w:rFonts w:ascii="Arial" w:hAnsi="Arial" w:cs="Arial"/>
        </w:rPr>
        <w:t xml:space="preserve">  </w:t>
      </w:r>
    </w:p>
    <w:p w14:paraId="0435D3DE" w14:textId="085DABF2" w:rsidR="001D7043" w:rsidRDefault="001D7043" w:rsidP="00A27629">
      <w:pPr>
        <w:jc w:val="both"/>
        <w:rPr>
          <w:rFonts w:ascii="Arial" w:hAnsi="Arial" w:cs="Arial"/>
        </w:rPr>
      </w:pPr>
      <w:r>
        <w:rPr>
          <w:rFonts w:ascii="Arial" w:hAnsi="Arial" w:cs="Arial"/>
        </w:rPr>
        <w:t xml:space="preserve">5.11 This is the cohort which was defined by the Gangs and Violence report, </w:t>
      </w:r>
      <w:r w:rsidR="0037496F">
        <w:rPr>
          <w:rFonts w:ascii="Arial" w:hAnsi="Arial" w:cs="Arial"/>
        </w:rPr>
        <w:t xml:space="preserve">as the group of people who would most benefit from Recommendations 23 and 24 within the report. </w:t>
      </w:r>
    </w:p>
    <w:p w14:paraId="1117145F" w14:textId="77777777" w:rsidR="00DA517D" w:rsidRPr="00C4741B" w:rsidRDefault="00DA517D" w:rsidP="00C4741B">
      <w:pPr>
        <w:jc w:val="both"/>
        <w:rPr>
          <w:rFonts w:ascii="Arial" w:hAnsi="Arial" w:cs="Arial"/>
        </w:rPr>
      </w:pPr>
    </w:p>
    <w:p w14:paraId="684A156B" w14:textId="1BC974BA" w:rsidR="005061B6" w:rsidRPr="008F1A7E" w:rsidRDefault="006B3B3E" w:rsidP="00C4741B">
      <w:pPr>
        <w:jc w:val="both"/>
        <w:rPr>
          <w:rFonts w:ascii="Arial" w:hAnsi="Arial" w:cs="Arial"/>
          <w:b/>
        </w:rPr>
      </w:pPr>
      <w:r w:rsidRPr="008F1A7E">
        <w:rPr>
          <w:rFonts w:ascii="Arial" w:hAnsi="Arial" w:cs="Arial"/>
          <w:b/>
        </w:rPr>
        <w:t xml:space="preserve">Referral Pathways </w:t>
      </w:r>
    </w:p>
    <w:p w14:paraId="684A156C" w14:textId="0854DDB8" w:rsidR="009B706C" w:rsidRPr="008F1A7E" w:rsidRDefault="00032B0B" w:rsidP="00C4741B">
      <w:pPr>
        <w:jc w:val="both"/>
        <w:rPr>
          <w:rFonts w:ascii="Arial" w:hAnsi="Arial" w:cs="Arial"/>
        </w:rPr>
      </w:pPr>
      <w:r>
        <w:rPr>
          <w:rFonts w:ascii="Arial" w:hAnsi="Arial" w:cs="Arial"/>
        </w:rPr>
        <w:t xml:space="preserve">5.12 </w:t>
      </w:r>
      <w:r w:rsidR="009B706C" w:rsidRPr="008F1A7E">
        <w:rPr>
          <w:rFonts w:ascii="Arial" w:hAnsi="Arial" w:cs="Arial"/>
        </w:rPr>
        <w:t>It is expected that the service provider will be flexible and responsive</w:t>
      </w:r>
      <w:r w:rsidR="007C4EAA">
        <w:rPr>
          <w:rFonts w:ascii="Arial" w:hAnsi="Arial" w:cs="Arial"/>
        </w:rPr>
        <w:t xml:space="preserve"> with</w:t>
      </w:r>
      <w:r w:rsidR="009B706C" w:rsidRPr="008F1A7E">
        <w:rPr>
          <w:rFonts w:ascii="Arial" w:hAnsi="Arial" w:cs="Arial"/>
        </w:rPr>
        <w:t xml:space="preserve"> regards to the ways in which referrals are received, processed and managed. </w:t>
      </w:r>
    </w:p>
    <w:p w14:paraId="684A156D" w14:textId="282B5229" w:rsidR="005D23F7" w:rsidRPr="004163A2" w:rsidRDefault="00032B0B" w:rsidP="00C4741B">
      <w:pPr>
        <w:jc w:val="both"/>
        <w:rPr>
          <w:rFonts w:ascii="Arial" w:hAnsi="Arial" w:cs="Arial"/>
          <w:color w:val="000000" w:themeColor="text1"/>
        </w:rPr>
      </w:pPr>
      <w:r>
        <w:rPr>
          <w:rFonts w:ascii="Arial" w:hAnsi="Arial" w:cs="Arial"/>
        </w:rPr>
        <w:t xml:space="preserve">5.13 </w:t>
      </w:r>
      <w:r w:rsidR="009B706C" w:rsidRPr="008F1A7E">
        <w:rPr>
          <w:rFonts w:ascii="Arial" w:hAnsi="Arial" w:cs="Arial"/>
        </w:rPr>
        <w:t xml:space="preserve">Referrals should be accepted from all statutory organisations associated with gangs and violence. </w:t>
      </w:r>
      <w:r w:rsidR="007C4EAA">
        <w:rPr>
          <w:rFonts w:ascii="Arial" w:hAnsi="Arial" w:cs="Arial"/>
        </w:rPr>
        <w:t xml:space="preserve">This should include </w:t>
      </w:r>
      <w:r w:rsidR="005D23F7" w:rsidRPr="008F1A7E">
        <w:rPr>
          <w:rFonts w:ascii="Arial" w:hAnsi="Arial" w:cs="Arial"/>
        </w:rPr>
        <w:t>YOS, Children’s Trust, West Midlands Police</w:t>
      </w:r>
      <w:r w:rsidR="00C0604A" w:rsidRPr="008F1A7E">
        <w:rPr>
          <w:rFonts w:ascii="Arial" w:hAnsi="Arial" w:cs="Arial"/>
        </w:rPr>
        <w:t>,</w:t>
      </w:r>
      <w:r w:rsidR="005D23F7" w:rsidRPr="008F1A7E">
        <w:rPr>
          <w:rFonts w:ascii="Arial" w:hAnsi="Arial" w:cs="Arial"/>
        </w:rPr>
        <w:t xml:space="preserve"> FE Institutions</w:t>
      </w:r>
      <w:r w:rsidR="006A53F5">
        <w:rPr>
          <w:rFonts w:ascii="Arial" w:hAnsi="Arial" w:cs="Arial"/>
        </w:rPr>
        <w:t xml:space="preserve">, schools and community groups, </w:t>
      </w:r>
      <w:r w:rsidR="006A53F5" w:rsidRPr="004163A2">
        <w:rPr>
          <w:rFonts w:ascii="Arial" w:hAnsi="Arial" w:cs="Arial"/>
          <w:color w:val="000000" w:themeColor="text1"/>
        </w:rPr>
        <w:t>CRC (</w:t>
      </w:r>
      <w:r w:rsidR="00A27629" w:rsidRPr="004163A2">
        <w:rPr>
          <w:rFonts w:ascii="Arial" w:hAnsi="Arial" w:cs="Arial"/>
          <w:color w:val="000000" w:themeColor="text1"/>
        </w:rPr>
        <w:t>low and medium risk), Probation</w:t>
      </w:r>
      <w:r w:rsidR="00C17395">
        <w:rPr>
          <w:rFonts w:ascii="Arial" w:hAnsi="Arial" w:cs="Arial"/>
          <w:color w:val="000000" w:themeColor="text1"/>
        </w:rPr>
        <w:t xml:space="preserve"> and prisons</w:t>
      </w:r>
      <w:r w:rsidR="004163A2">
        <w:rPr>
          <w:rFonts w:ascii="Arial" w:hAnsi="Arial" w:cs="Arial"/>
          <w:color w:val="000000" w:themeColor="text1"/>
        </w:rPr>
        <w:t>.</w:t>
      </w:r>
      <w:r w:rsidR="006A53F5" w:rsidRPr="004163A2">
        <w:rPr>
          <w:rFonts w:ascii="Arial" w:hAnsi="Arial" w:cs="Arial"/>
          <w:color w:val="000000" w:themeColor="text1"/>
        </w:rPr>
        <w:t xml:space="preserve"> </w:t>
      </w:r>
    </w:p>
    <w:p w14:paraId="684A156E" w14:textId="77616B8D" w:rsidR="005061B6" w:rsidRDefault="00032B0B" w:rsidP="00C4741B">
      <w:pPr>
        <w:jc w:val="both"/>
        <w:rPr>
          <w:rFonts w:ascii="Arial" w:hAnsi="Arial" w:cs="Arial"/>
        </w:rPr>
      </w:pPr>
      <w:r>
        <w:rPr>
          <w:rFonts w:ascii="Arial" w:hAnsi="Arial" w:cs="Arial"/>
        </w:rPr>
        <w:t xml:space="preserve">5.14 </w:t>
      </w:r>
      <w:r w:rsidR="00A97C50" w:rsidRPr="008F1A7E">
        <w:rPr>
          <w:rFonts w:ascii="Arial" w:hAnsi="Arial" w:cs="Arial"/>
        </w:rPr>
        <w:t xml:space="preserve">The provider does not have to </w:t>
      </w:r>
      <w:proofErr w:type="gramStart"/>
      <w:r w:rsidR="00C76194" w:rsidRPr="008F1A7E">
        <w:rPr>
          <w:rFonts w:ascii="Arial" w:hAnsi="Arial" w:cs="Arial"/>
        </w:rPr>
        <w:t xml:space="preserve">give </w:t>
      </w:r>
      <w:r w:rsidR="005D23F7" w:rsidRPr="008F1A7E">
        <w:rPr>
          <w:rFonts w:ascii="Arial" w:hAnsi="Arial" w:cs="Arial"/>
        </w:rPr>
        <w:t xml:space="preserve"> information</w:t>
      </w:r>
      <w:proofErr w:type="gramEnd"/>
      <w:r w:rsidR="005D23F7" w:rsidRPr="008F1A7E">
        <w:rPr>
          <w:rFonts w:ascii="Arial" w:hAnsi="Arial" w:cs="Arial"/>
        </w:rPr>
        <w:t xml:space="preserve"> to the police on the specific cases th</w:t>
      </w:r>
      <w:r w:rsidR="005975EA" w:rsidRPr="008F1A7E">
        <w:rPr>
          <w:rFonts w:ascii="Arial" w:hAnsi="Arial" w:cs="Arial"/>
        </w:rPr>
        <w:t>ey deal with over the course of</w:t>
      </w:r>
      <w:r w:rsidR="005D23F7" w:rsidRPr="008F1A7E">
        <w:rPr>
          <w:rFonts w:ascii="Arial" w:hAnsi="Arial" w:cs="Arial"/>
        </w:rPr>
        <w:t xml:space="preserve"> </w:t>
      </w:r>
      <w:r w:rsidR="00A97C50" w:rsidRPr="008F1A7E">
        <w:rPr>
          <w:rFonts w:ascii="Arial" w:hAnsi="Arial" w:cs="Arial"/>
        </w:rPr>
        <w:t xml:space="preserve">the service. This is unless there is a ‘serious, credible and imminent threat to life.’ It is expected that the service provider will undertake appropriate risk management evaluations to enable </w:t>
      </w:r>
      <w:r w:rsidR="005975EA" w:rsidRPr="008F1A7E">
        <w:rPr>
          <w:rFonts w:ascii="Arial" w:hAnsi="Arial" w:cs="Arial"/>
        </w:rPr>
        <w:t>workers</w:t>
      </w:r>
      <w:r w:rsidR="00A97C50" w:rsidRPr="008F1A7E">
        <w:rPr>
          <w:rFonts w:ascii="Arial" w:hAnsi="Arial" w:cs="Arial"/>
        </w:rPr>
        <w:t xml:space="preserve"> to deal with high-risk situations.</w:t>
      </w:r>
      <w:r w:rsidR="002A533B" w:rsidRPr="008F1A7E">
        <w:rPr>
          <w:rFonts w:ascii="Arial" w:hAnsi="Arial" w:cs="Arial"/>
        </w:rPr>
        <w:t xml:space="preserve"> </w:t>
      </w:r>
    </w:p>
    <w:p w14:paraId="57264906" w14:textId="72CC606F" w:rsidR="00A67796" w:rsidRPr="008F1A7E" w:rsidRDefault="00A67796" w:rsidP="00C4741B">
      <w:pPr>
        <w:jc w:val="both"/>
        <w:rPr>
          <w:rFonts w:ascii="Arial" w:hAnsi="Arial" w:cs="Arial"/>
        </w:rPr>
      </w:pPr>
      <w:r>
        <w:rPr>
          <w:rFonts w:ascii="Arial" w:hAnsi="Arial" w:cs="Arial"/>
        </w:rPr>
        <w:t xml:space="preserve">5.15 The successful applicant will need to have an appropriate and up to date safeguarding policy. </w:t>
      </w:r>
    </w:p>
    <w:p w14:paraId="684A1572" w14:textId="00ACE258" w:rsidR="00A76820" w:rsidRPr="008F1A7E" w:rsidRDefault="00A67796" w:rsidP="00C4741B">
      <w:pPr>
        <w:jc w:val="both"/>
        <w:rPr>
          <w:rFonts w:ascii="Arial" w:hAnsi="Arial" w:cs="Arial"/>
        </w:rPr>
      </w:pPr>
      <w:r>
        <w:rPr>
          <w:rFonts w:ascii="Arial" w:hAnsi="Arial" w:cs="Arial"/>
        </w:rPr>
        <w:t>5.16</w:t>
      </w:r>
      <w:r w:rsidR="00032B0B">
        <w:rPr>
          <w:rFonts w:ascii="Arial" w:hAnsi="Arial" w:cs="Arial"/>
        </w:rPr>
        <w:t xml:space="preserve"> </w:t>
      </w:r>
      <w:r w:rsidR="00A76820" w:rsidRPr="008F1A7E">
        <w:rPr>
          <w:rFonts w:ascii="Arial" w:hAnsi="Arial" w:cs="Arial"/>
        </w:rPr>
        <w:t>It should be noted that a referral will not by-defaul</w:t>
      </w:r>
      <w:r w:rsidR="00C81765" w:rsidRPr="008F1A7E">
        <w:rPr>
          <w:rFonts w:ascii="Arial" w:hAnsi="Arial" w:cs="Arial"/>
        </w:rPr>
        <w:t>t negate police involvement. Police will still carry out their duties</w:t>
      </w:r>
      <w:r w:rsidR="00A76820" w:rsidRPr="008F1A7E">
        <w:rPr>
          <w:rFonts w:ascii="Arial" w:hAnsi="Arial" w:cs="Arial"/>
        </w:rPr>
        <w:t xml:space="preserve"> to investigate crimes and bring offenders to justice.</w:t>
      </w:r>
    </w:p>
    <w:p w14:paraId="684A1573" w14:textId="11760B1F" w:rsidR="00A76820" w:rsidRPr="008F1A7E" w:rsidRDefault="00A67796" w:rsidP="00C4741B">
      <w:pPr>
        <w:jc w:val="both"/>
        <w:rPr>
          <w:rFonts w:ascii="Arial" w:hAnsi="Arial" w:cs="Arial"/>
        </w:rPr>
      </w:pPr>
      <w:r>
        <w:rPr>
          <w:rFonts w:ascii="Arial" w:hAnsi="Arial" w:cs="Arial"/>
        </w:rPr>
        <w:t>5.17</w:t>
      </w:r>
      <w:r w:rsidR="00032B0B">
        <w:rPr>
          <w:rFonts w:ascii="Arial" w:hAnsi="Arial" w:cs="Arial"/>
        </w:rPr>
        <w:t xml:space="preserve"> </w:t>
      </w:r>
      <w:r w:rsidR="00A76820" w:rsidRPr="008F1A7E">
        <w:rPr>
          <w:rFonts w:ascii="Arial" w:hAnsi="Arial" w:cs="Arial"/>
        </w:rPr>
        <w:t>The service provider is not obliged to accept referrals from the police where they consider the level of risk to be unacceptable. In these circumstances</w:t>
      </w:r>
      <w:r w:rsidR="00C76194" w:rsidRPr="008F1A7E">
        <w:rPr>
          <w:rFonts w:ascii="Arial" w:hAnsi="Arial" w:cs="Arial"/>
        </w:rPr>
        <w:t>,</w:t>
      </w:r>
      <w:r w:rsidR="00A76820" w:rsidRPr="008F1A7E">
        <w:rPr>
          <w:rFonts w:ascii="Arial" w:hAnsi="Arial" w:cs="Arial"/>
        </w:rPr>
        <w:t xml:space="preserve"> the provider must have a clear rationale as to why a referral has been rejected.  </w:t>
      </w:r>
    </w:p>
    <w:p w14:paraId="684A1574" w14:textId="12D3D29D" w:rsidR="00C81765" w:rsidRPr="008F1A7E" w:rsidRDefault="00A67796" w:rsidP="00C4741B">
      <w:pPr>
        <w:jc w:val="both"/>
        <w:rPr>
          <w:rFonts w:ascii="Arial" w:hAnsi="Arial" w:cs="Arial"/>
        </w:rPr>
      </w:pPr>
      <w:r>
        <w:rPr>
          <w:rFonts w:ascii="Arial" w:hAnsi="Arial" w:cs="Arial"/>
        </w:rPr>
        <w:t>5.18</w:t>
      </w:r>
      <w:r w:rsidR="00032B0B">
        <w:rPr>
          <w:rFonts w:ascii="Arial" w:hAnsi="Arial" w:cs="Arial"/>
        </w:rPr>
        <w:t xml:space="preserve"> </w:t>
      </w:r>
      <w:r w:rsidR="00C81765" w:rsidRPr="008F1A7E">
        <w:rPr>
          <w:rFonts w:ascii="Arial" w:hAnsi="Arial" w:cs="Arial"/>
        </w:rPr>
        <w:t xml:space="preserve">The service provider is allowed to reject cases if workers caseloads are at capacity and accepting further </w:t>
      </w:r>
      <w:r w:rsidR="004163A2">
        <w:rPr>
          <w:rFonts w:ascii="Arial" w:hAnsi="Arial" w:cs="Arial"/>
        </w:rPr>
        <w:t>clients</w:t>
      </w:r>
      <w:r w:rsidR="00C81765" w:rsidRPr="008F1A7E">
        <w:rPr>
          <w:rFonts w:ascii="Arial" w:hAnsi="Arial" w:cs="Arial"/>
        </w:rPr>
        <w:t xml:space="preserve"> would impinge on their ability to deliver a quality service. </w:t>
      </w:r>
    </w:p>
    <w:p w14:paraId="684A1575" w14:textId="30CF20CC" w:rsidR="00C81765" w:rsidRDefault="00A67796" w:rsidP="00C4741B">
      <w:pPr>
        <w:jc w:val="both"/>
        <w:rPr>
          <w:rFonts w:ascii="Arial" w:hAnsi="Arial" w:cs="Arial"/>
        </w:rPr>
      </w:pPr>
      <w:r>
        <w:rPr>
          <w:rFonts w:ascii="Arial" w:hAnsi="Arial" w:cs="Arial"/>
        </w:rPr>
        <w:t>5.19</w:t>
      </w:r>
      <w:r w:rsidR="00032B0B">
        <w:rPr>
          <w:rFonts w:ascii="Arial" w:hAnsi="Arial" w:cs="Arial"/>
        </w:rPr>
        <w:t xml:space="preserve"> </w:t>
      </w:r>
      <w:r w:rsidR="00C81765" w:rsidRPr="008F1A7E">
        <w:rPr>
          <w:rFonts w:ascii="Arial" w:hAnsi="Arial" w:cs="Arial"/>
        </w:rPr>
        <w:t xml:space="preserve">The provider will be expected to have a knowledge of other services and refer </w:t>
      </w:r>
      <w:r w:rsidR="00C76194" w:rsidRPr="008F1A7E">
        <w:rPr>
          <w:rFonts w:ascii="Arial" w:hAnsi="Arial" w:cs="Arial"/>
        </w:rPr>
        <w:t xml:space="preserve">individuals </w:t>
      </w:r>
      <w:r w:rsidR="00C81765" w:rsidRPr="008F1A7E">
        <w:rPr>
          <w:rFonts w:ascii="Arial" w:hAnsi="Arial" w:cs="Arial"/>
        </w:rPr>
        <w:t>on to</w:t>
      </w:r>
      <w:r w:rsidR="00C76194" w:rsidRPr="008F1A7E">
        <w:rPr>
          <w:rFonts w:ascii="Arial" w:hAnsi="Arial" w:cs="Arial"/>
        </w:rPr>
        <w:t xml:space="preserve"> other</w:t>
      </w:r>
      <w:r w:rsidR="007C4EAA">
        <w:rPr>
          <w:rFonts w:ascii="Arial" w:hAnsi="Arial" w:cs="Arial"/>
        </w:rPr>
        <w:t xml:space="preserve"> organisations</w:t>
      </w:r>
      <w:r w:rsidR="00C76194" w:rsidRPr="008F1A7E">
        <w:rPr>
          <w:rFonts w:ascii="Arial" w:hAnsi="Arial" w:cs="Arial"/>
        </w:rPr>
        <w:t xml:space="preserve"> </w:t>
      </w:r>
      <w:r w:rsidR="00C81765" w:rsidRPr="008F1A7E">
        <w:rPr>
          <w:rFonts w:ascii="Arial" w:hAnsi="Arial" w:cs="Arial"/>
        </w:rPr>
        <w:t>whe</w:t>
      </w:r>
      <w:r w:rsidR="00C76194" w:rsidRPr="008F1A7E">
        <w:rPr>
          <w:rFonts w:ascii="Arial" w:hAnsi="Arial" w:cs="Arial"/>
        </w:rPr>
        <w:t>re</w:t>
      </w:r>
      <w:r w:rsidR="00C81765" w:rsidRPr="008F1A7E">
        <w:rPr>
          <w:rFonts w:ascii="Arial" w:hAnsi="Arial" w:cs="Arial"/>
        </w:rPr>
        <w:t xml:space="preserve"> appropriate. </w:t>
      </w:r>
    </w:p>
    <w:p w14:paraId="1529FD44" w14:textId="77777777" w:rsidR="00A67796" w:rsidRDefault="00A67796" w:rsidP="00C4741B">
      <w:pPr>
        <w:jc w:val="both"/>
        <w:rPr>
          <w:rFonts w:ascii="Arial" w:hAnsi="Arial" w:cs="Arial"/>
        </w:rPr>
      </w:pPr>
    </w:p>
    <w:p w14:paraId="018DADDE" w14:textId="77777777" w:rsidR="007C4EAA" w:rsidRDefault="007C4EAA" w:rsidP="00C4741B">
      <w:pPr>
        <w:jc w:val="both"/>
        <w:rPr>
          <w:rFonts w:ascii="Arial" w:hAnsi="Arial" w:cs="Arial"/>
        </w:rPr>
      </w:pPr>
    </w:p>
    <w:p w14:paraId="3353CBCE" w14:textId="77777777" w:rsidR="007C4EAA" w:rsidRPr="008F1A7E" w:rsidRDefault="007C4EAA" w:rsidP="00C4741B">
      <w:pPr>
        <w:jc w:val="both"/>
        <w:rPr>
          <w:rFonts w:ascii="Arial" w:hAnsi="Arial" w:cs="Arial"/>
          <w:b/>
        </w:rPr>
      </w:pPr>
    </w:p>
    <w:p w14:paraId="684A1576" w14:textId="32DB3151" w:rsidR="006B3B3E" w:rsidRPr="008F1A7E" w:rsidRDefault="006B3B3E" w:rsidP="008F1A7E">
      <w:pPr>
        <w:jc w:val="both"/>
        <w:rPr>
          <w:rFonts w:ascii="Arial" w:hAnsi="Arial" w:cs="Arial"/>
          <w:b/>
        </w:rPr>
      </w:pPr>
      <w:r w:rsidRPr="008F1A7E">
        <w:rPr>
          <w:rFonts w:ascii="Arial" w:hAnsi="Arial" w:cs="Arial"/>
          <w:b/>
        </w:rPr>
        <w:lastRenderedPageBreak/>
        <w:t xml:space="preserve">Risk Management </w:t>
      </w:r>
    </w:p>
    <w:p w14:paraId="684A1577" w14:textId="415913B4" w:rsidR="005061B6" w:rsidRPr="008F1A7E" w:rsidRDefault="00032B0B" w:rsidP="008F1A7E">
      <w:pPr>
        <w:jc w:val="both"/>
        <w:rPr>
          <w:rFonts w:ascii="Arial" w:hAnsi="Arial" w:cs="Arial"/>
        </w:rPr>
      </w:pPr>
      <w:r>
        <w:rPr>
          <w:rFonts w:ascii="Arial" w:hAnsi="Arial" w:cs="Arial"/>
        </w:rPr>
        <w:t xml:space="preserve">5.19 </w:t>
      </w:r>
      <w:r w:rsidR="005061B6" w:rsidRPr="008F1A7E">
        <w:rPr>
          <w:rFonts w:ascii="Arial" w:hAnsi="Arial" w:cs="Arial"/>
        </w:rPr>
        <w:t xml:space="preserve">The provider will need to highlight how they will manage risks around young people and also ensure safety of staff. </w:t>
      </w:r>
      <w:r w:rsidR="00D4578A" w:rsidRPr="008F1A7E">
        <w:rPr>
          <w:rFonts w:ascii="Arial" w:hAnsi="Arial" w:cs="Arial"/>
        </w:rPr>
        <w:t>Specific thought will need to be given to managing the risk of one on one working with clients, ensuring that workers are in places that they feel safe at all times</w:t>
      </w:r>
    </w:p>
    <w:p w14:paraId="684A1578" w14:textId="1155C339" w:rsidR="003A2DB0" w:rsidRPr="008F1A7E" w:rsidRDefault="00032B0B" w:rsidP="008F1A7E">
      <w:pPr>
        <w:jc w:val="both"/>
        <w:rPr>
          <w:rFonts w:ascii="Arial" w:hAnsi="Arial" w:cs="Arial"/>
        </w:rPr>
      </w:pPr>
      <w:r>
        <w:rPr>
          <w:rFonts w:ascii="Arial" w:hAnsi="Arial" w:cs="Arial"/>
        </w:rPr>
        <w:t xml:space="preserve">5.20 </w:t>
      </w:r>
      <w:r w:rsidR="003A2DB0" w:rsidRPr="008F1A7E">
        <w:rPr>
          <w:rFonts w:ascii="Arial" w:hAnsi="Arial" w:cs="Arial"/>
        </w:rPr>
        <w:t xml:space="preserve">The service provider will need to be able to demonstrate their process for keeping workers updated with information as soon as it becomes known. </w:t>
      </w:r>
    </w:p>
    <w:p w14:paraId="684A1579" w14:textId="46AB2CDE" w:rsidR="00B13D05" w:rsidRPr="008F1A7E" w:rsidRDefault="00032B0B" w:rsidP="008F1A7E">
      <w:pPr>
        <w:jc w:val="both"/>
        <w:rPr>
          <w:rFonts w:ascii="Arial" w:hAnsi="Arial" w:cs="Arial"/>
        </w:rPr>
      </w:pPr>
      <w:r>
        <w:rPr>
          <w:rFonts w:ascii="Arial" w:hAnsi="Arial" w:cs="Arial"/>
        </w:rPr>
        <w:t xml:space="preserve">5.21 </w:t>
      </w:r>
      <w:r w:rsidR="00B13D05" w:rsidRPr="008F1A7E">
        <w:rPr>
          <w:rFonts w:ascii="Arial" w:hAnsi="Arial" w:cs="Arial"/>
        </w:rPr>
        <w:t>The service provider will be responsible for providing strategic and operational risk assessment and management plans, ensur</w:t>
      </w:r>
      <w:r w:rsidR="004737B4">
        <w:rPr>
          <w:rFonts w:ascii="Arial" w:hAnsi="Arial" w:cs="Arial"/>
        </w:rPr>
        <w:t>ing</w:t>
      </w:r>
      <w:r w:rsidR="00B13D05" w:rsidRPr="008F1A7E">
        <w:rPr>
          <w:rFonts w:ascii="Arial" w:hAnsi="Arial" w:cs="Arial"/>
        </w:rPr>
        <w:t xml:space="preserve"> a thorough and rigorous risk assessment is in place, regarding venues, individuals and groups, prior to any worker visiting a</w:t>
      </w:r>
      <w:r w:rsidR="004163A2">
        <w:rPr>
          <w:rFonts w:ascii="Arial" w:hAnsi="Arial" w:cs="Arial"/>
        </w:rPr>
        <w:t xml:space="preserve"> client</w:t>
      </w:r>
      <w:r w:rsidR="00B13D05" w:rsidRPr="008F1A7E">
        <w:rPr>
          <w:rFonts w:ascii="Arial" w:hAnsi="Arial" w:cs="Arial"/>
        </w:rPr>
        <w:t xml:space="preserve">.  </w:t>
      </w:r>
    </w:p>
    <w:p w14:paraId="684A157A" w14:textId="06A7F715" w:rsidR="00B13D05" w:rsidRPr="008F1A7E" w:rsidRDefault="00032B0B" w:rsidP="008F1A7E">
      <w:pPr>
        <w:jc w:val="both"/>
        <w:rPr>
          <w:rFonts w:ascii="Arial" w:hAnsi="Arial" w:cs="Arial"/>
        </w:rPr>
      </w:pPr>
      <w:r>
        <w:rPr>
          <w:rFonts w:ascii="Arial" w:hAnsi="Arial" w:cs="Arial"/>
        </w:rPr>
        <w:t xml:space="preserve">5.22 </w:t>
      </w:r>
      <w:r w:rsidR="00B13D05" w:rsidRPr="008F1A7E">
        <w:rPr>
          <w:rFonts w:ascii="Arial" w:hAnsi="Arial" w:cs="Arial"/>
        </w:rPr>
        <w:t xml:space="preserve">The provider will work within Operating Procedures which will be developed in tandem with the OPCC. This will relate to receiving referrals, managing workers, updating stakeholders and recording risk assessments. </w:t>
      </w:r>
    </w:p>
    <w:p w14:paraId="458F34E8" w14:textId="1838174D" w:rsidR="00490F56" w:rsidRDefault="00032B0B" w:rsidP="008F1A7E">
      <w:pPr>
        <w:jc w:val="both"/>
        <w:rPr>
          <w:rFonts w:ascii="Arial" w:hAnsi="Arial" w:cs="Arial"/>
        </w:rPr>
      </w:pPr>
      <w:r>
        <w:rPr>
          <w:rFonts w:ascii="Arial" w:hAnsi="Arial" w:cs="Arial"/>
        </w:rPr>
        <w:t xml:space="preserve">5.23 </w:t>
      </w:r>
      <w:r w:rsidR="00AA779C" w:rsidRPr="008F1A7E">
        <w:rPr>
          <w:rFonts w:ascii="Arial" w:hAnsi="Arial" w:cs="Arial"/>
        </w:rPr>
        <w:t>If workers are made aware of a credible and i</w:t>
      </w:r>
      <w:r w:rsidR="005975EA" w:rsidRPr="008F1A7E">
        <w:rPr>
          <w:rFonts w:ascii="Arial" w:hAnsi="Arial" w:cs="Arial"/>
        </w:rPr>
        <w:t>mminent threat to life, risk of</w:t>
      </w:r>
      <w:r w:rsidR="00AA779C" w:rsidRPr="008F1A7E">
        <w:rPr>
          <w:rFonts w:ascii="Arial" w:hAnsi="Arial" w:cs="Arial"/>
        </w:rPr>
        <w:t xml:space="preserve"> publi</w:t>
      </w:r>
      <w:r w:rsidR="00C81765" w:rsidRPr="008F1A7E">
        <w:rPr>
          <w:rFonts w:ascii="Arial" w:hAnsi="Arial" w:cs="Arial"/>
        </w:rPr>
        <w:t xml:space="preserve">c disorder or safety issues to </w:t>
      </w:r>
      <w:r w:rsidR="00AA779C" w:rsidRPr="008F1A7E">
        <w:rPr>
          <w:rFonts w:ascii="Arial" w:hAnsi="Arial" w:cs="Arial"/>
        </w:rPr>
        <w:t xml:space="preserve">anyone, the provider should provide this information to West Midlands Police immediately and follow up with a comprehensive written report. </w:t>
      </w:r>
    </w:p>
    <w:p w14:paraId="5071F84B" w14:textId="77777777" w:rsidR="00032B0B" w:rsidRPr="008F1A7E" w:rsidRDefault="00032B0B" w:rsidP="008F1A7E">
      <w:pPr>
        <w:jc w:val="both"/>
        <w:rPr>
          <w:rFonts w:ascii="Arial" w:hAnsi="Arial" w:cs="Arial"/>
        </w:rPr>
      </w:pPr>
    </w:p>
    <w:p w14:paraId="684A157C" w14:textId="4693E7A8" w:rsidR="006B3B3E" w:rsidRPr="008F1A7E" w:rsidRDefault="006B3B3E" w:rsidP="008F1A7E">
      <w:pPr>
        <w:jc w:val="both"/>
        <w:rPr>
          <w:rFonts w:ascii="Arial" w:hAnsi="Arial" w:cs="Arial"/>
          <w:b/>
        </w:rPr>
      </w:pPr>
      <w:r w:rsidRPr="008F1A7E">
        <w:rPr>
          <w:rFonts w:ascii="Arial" w:hAnsi="Arial" w:cs="Arial"/>
          <w:b/>
        </w:rPr>
        <w:t xml:space="preserve">Information Management </w:t>
      </w:r>
    </w:p>
    <w:p w14:paraId="684A157D" w14:textId="3F4F30E2" w:rsidR="005061B6" w:rsidRPr="008F1A7E" w:rsidRDefault="00032B0B" w:rsidP="008F1A7E">
      <w:pPr>
        <w:jc w:val="both"/>
        <w:rPr>
          <w:rFonts w:ascii="Arial" w:hAnsi="Arial" w:cs="Arial"/>
        </w:rPr>
      </w:pPr>
      <w:r>
        <w:rPr>
          <w:rFonts w:ascii="Arial" w:hAnsi="Arial" w:cs="Arial"/>
        </w:rPr>
        <w:t xml:space="preserve">5.24 </w:t>
      </w:r>
      <w:r w:rsidR="005061B6" w:rsidRPr="008F1A7E">
        <w:rPr>
          <w:rFonts w:ascii="Arial" w:hAnsi="Arial" w:cs="Arial"/>
        </w:rPr>
        <w:t xml:space="preserve">The provider will be the joint data holder with West Midlands </w:t>
      </w:r>
      <w:r w:rsidR="0007620A" w:rsidRPr="008F1A7E">
        <w:rPr>
          <w:rFonts w:ascii="Arial" w:hAnsi="Arial" w:cs="Arial"/>
        </w:rPr>
        <w:t>O</w:t>
      </w:r>
      <w:r w:rsidR="005061B6" w:rsidRPr="008F1A7E">
        <w:rPr>
          <w:rFonts w:ascii="Arial" w:hAnsi="Arial" w:cs="Arial"/>
        </w:rPr>
        <w:t>PCC and the</w:t>
      </w:r>
      <w:r w:rsidR="00AA779C" w:rsidRPr="008F1A7E">
        <w:rPr>
          <w:rFonts w:ascii="Arial" w:hAnsi="Arial" w:cs="Arial"/>
        </w:rPr>
        <w:t xml:space="preserve"> designated</w:t>
      </w:r>
      <w:r w:rsidR="005061B6" w:rsidRPr="008F1A7E">
        <w:rPr>
          <w:rFonts w:ascii="Arial" w:hAnsi="Arial" w:cs="Arial"/>
        </w:rPr>
        <w:t xml:space="preserve"> evaluator</w:t>
      </w:r>
      <w:r w:rsidR="00AA779C" w:rsidRPr="008F1A7E">
        <w:rPr>
          <w:rFonts w:ascii="Arial" w:hAnsi="Arial" w:cs="Arial"/>
        </w:rPr>
        <w:t xml:space="preserve"> for the project</w:t>
      </w:r>
      <w:r w:rsidR="005061B6" w:rsidRPr="008F1A7E">
        <w:rPr>
          <w:rFonts w:ascii="Arial" w:hAnsi="Arial" w:cs="Arial"/>
        </w:rPr>
        <w:t xml:space="preserve">. The provider will need to show that they have </w:t>
      </w:r>
      <w:r w:rsidR="003A2DB0" w:rsidRPr="008F1A7E">
        <w:rPr>
          <w:rFonts w:ascii="Arial" w:hAnsi="Arial" w:cs="Arial"/>
        </w:rPr>
        <w:t>relevant</w:t>
      </w:r>
      <w:r w:rsidR="005061B6" w:rsidRPr="008F1A7E">
        <w:rPr>
          <w:rFonts w:ascii="Arial" w:hAnsi="Arial" w:cs="Arial"/>
        </w:rPr>
        <w:t xml:space="preserve"> policies in place to comply with GDPR and data sharing legislation. </w:t>
      </w:r>
    </w:p>
    <w:p w14:paraId="684A157E" w14:textId="030DC0E6" w:rsidR="00AA779C" w:rsidRPr="008F1A7E" w:rsidRDefault="00032B0B" w:rsidP="008F1A7E">
      <w:pPr>
        <w:jc w:val="both"/>
        <w:rPr>
          <w:rFonts w:ascii="Arial" w:hAnsi="Arial" w:cs="Arial"/>
        </w:rPr>
      </w:pPr>
      <w:r>
        <w:rPr>
          <w:rFonts w:ascii="Arial" w:hAnsi="Arial" w:cs="Arial"/>
        </w:rPr>
        <w:t xml:space="preserve">5.25 </w:t>
      </w:r>
      <w:r w:rsidR="00AA779C" w:rsidRPr="008F1A7E">
        <w:rPr>
          <w:rFonts w:ascii="Arial" w:hAnsi="Arial" w:cs="Arial"/>
        </w:rPr>
        <w:t>It will be the responsibility of the provider to provide a case management system which wi</w:t>
      </w:r>
      <w:r w:rsidR="005975EA" w:rsidRPr="008F1A7E">
        <w:rPr>
          <w:rFonts w:ascii="Arial" w:hAnsi="Arial" w:cs="Arial"/>
        </w:rPr>
        <w:t xml:space="preserve">ll allow for the evaluators to </w:t>
      </w:r>
      <w:r w:rsidR="00AA779C" w:rsidRPr="008F1A7E">
        <w:rPr>
          <w:rFonts w:ascii="Arial" w:hAnsi="Arial" w:cs="Arial"/>
        </w:rPr>
        <w:t xml:space="preserve">have access to data so that progress of </w:t>
      </w:r>
      <w:r w:rsidR="004163A2">
        <w:rPr>
          <w:rFonts w:ascii="Arial" w:hAnsi="Arial" w:cs="Arial"/>
        </w:rPr>
        <w:t>client</w:t>
      </w:r>
      <w:r w:rsidR="00AA779C" w:rsidRPr="008F1A7E">
        <w:rPr>
          <w:rFonts w:ascii="Arial" w:hAnsi="Arial" w:cs="Arial"/>
        </w:rPr>
        <w:t xml:space="preserve"> can be charted in a live fashion. </w:t>
      </w:r>
      <w:r w:rsidR="005975EA" w:rsidRPr="008F1A7E">
        <w:rPr>
          <w:rFonts w:ascii="Arial" w:hAnsi="Arial" w:cs="Arial"/>
        </w:rPr>
        <w:t>This project is intended to provide proof of concept</w:t>
      </w:r>
      <w:r w:rsidR="004737B4">
        <w:rPr>
          <w:rFonts w:ascii="Arial" w:hAnsi="Arial" w:cs="Arial"/>
        </w:rPr>
        <w:t>.</w:t>
      </w:r>
      <w:r w:rsidR="005975EA" w:rsidRPr="008F1A7E">
        <w:rPr>
          <w:rFonts w:ascii="Arial" w:hAnsi="Arial" w:cs="Arial"/>
        </w:rPr>
        <w:t xml:space="preserve"> </w:t>
      </w:r>
      <w:r w:rsidR="004737B4">
        <w:rPr>
          <w:rFonts w:ascii="Arial" w:hAnsi="Arial" w:cs="Arial"/>
        </w:rPr>
        <w:t>C</w:t>
      </w:r>
      <w:r w:rsidR="005975EA" w:rsidRPr="008F1A7E">
        <w:rPr>
          <w:rFonts w:ascii="Arial" w:hAnsi="Arial" w:cs="Arial"/>
        </w:rPr>
        <w:t>onsistent communication and sharing of data with the designated evaluators is therefore vital.</w:t>
      </w:r>
    </w:p>
    <w:p w14:paraId="684A157F" w14:textId="66C7B085" w:rsidR="00AA779C" w:rsidRPr="008F1A7E" w:rsidRDefault="00032B0B" w:rsidP="008F1A7E">
      <w:pPr>
        <w:jc w:val="both"/>
        <w:rPr>
          <w:rFonts w:ascii="Arial" w:hAnsi="Arial" w:cs="Arial"/>
        </w:rPr>
      </w:pPr>
      <w:r>
        <w:rPr>
          <w:rFonts w:ascii="Arial" w:hAnsi="Arial" w:cs="Arial"/>
        </w:rPr>
        <w:t xml:space="preserve">5.26 </w:t>
      </w:r>
      <w:r w:rsidR="00AA779C" w:rsidRPr="008F1A7E">
        <w:rPr>
          <w:rFonts w:ascii="Arial" w:hAnsi="Arial" w:cs="Arial"/>
        </w:rPr>
        <w:t xml:space="preserve">The case database should include the number of hours used per case, an up to date comprehensive record of case progression and a record of case management outcomes. </w:t>
      </w:r>
    </w:p>
    <w:p w14:paraId="684A1580" w14:textId="15CBDBE6" w:rsidR="00AA779C" w:rsidRPr="008F1A7E" w:rsidRDefault="00032B0B" w:rsidP="008F1A7E">
      <w:pPr>
        <w:jc w:val="both"/>
        <w:rPr>
          <w:rFonts w:ascii="Arial" w:hAnsi="Arial" w:cs="Arial"/>
        </w:rPr>
      </w:pPr>
      <w:r>
        <w:rPr>
          <w:rFonts w:ascii="Arial" w:hAnsi="Arial" w:cs="Arial"/>
        </w:rPr>
        <w:t xml:space="preserve">5.27 </w:t>
      </w:r>
      <w:r w:rsidR="00AA779C" w:rsidRPr="008F1A7E">
        <w:rPr>
          <w:rFonts w:ascii="Arial" w:hAnsi="Arial" w:cs="Arial"/>
        </w:rPr>
        <w:t xml:space="preserve">The service provider must therefore demonstrate their ability to store and manage large amounts of sensitive information in accordance with GDPR requirements. Minimum capability should include: </w:t>
      </w:r>
    </w:p>
    <w:p w14:paraId="684A1581" w14:textId="77777777" w:rsidR="00AA779C" w:rsidRPr="008F1A7E" w:rsidRDefault="00AA779C" w:rsidP="008F1A7E">
      <w:pPr>
        <w:jc w:val="both"/>
        <w:rPr>
          <w:rFonts w:ascii="Arial" w:hAnsi="Arial" w:cs="Arial"/>
        </w:rPr>
      </w:pPr>
      <w:r w:rsidRPr="008F1A7E">
        <w:rPr>
          <w:rFonts w:ascii="Arial" w:hAnsi="Arial" w:cs="Arial"/>
        </w:rPr>
        <w:t>•</w:t>
      </w:r>
      <w:r w:rsidRPr="008F1A7E">
        <w:rPr>
          <w:rFonts w:ascii="Arial" w:hAnsi="Arial" w:cs="Arial"/>
        </w:rPr>
        <w:tab/>
        <w:t xml:space="preserve">Central secure server where information is stored. </w:t>
      </w:r>
    </w:p>
    <w:p w14:paraId="684A1582" w14:textId="77777777" w:rsidR="00AA779C" w:rsidRPr="008F1A7E" w:rsidRDefault="00AA779C" w:rsidP="008F1A7E">
      <w:pPr>
        <w:jc w:val="both"/>
        <w:rPr>
          <w:rFonts w:ascii="Arial" w:hAnsi="Arial" w:cs="Arial"/>
        </w:rPr>
      </w:pPr>
      <w:r w:rsidRPr="008F1A7E">
        <w:rPr>
          <w:rFonts w:ascii="Arial" w:hAnsi="Arial" w:cs="Arial"/>
        </w:rPr>
        <w:t>•</w:t>
      </w:r>
      <w:r w:rsidRPr="008F1A7E">
        <w:rPr>
          <w:rFonts w:ascii="Arial" w:hAnsi="Arial" w:cs="Arial"/>
        </w:rPr>
        <w:tab/>
        <w:t xml:space="preserve">Relevant access to database by individual </w:t>
      </w:r>
      <w:r w:rsidR="00A802AE" w:rsidRPr="008F1A7E">
        <w:rPr>
          <w:rFonts w:ascii="Arial" w:hAnsi="Arial" w:cs="Arial"/>
        </w:rPr>
        <w:t>workers</w:t>
      </w:r>
      <w:r w:rsidRPr="008F1A7E">
        <w:rPr>
          <w:rFonts w:ascii="Arial" w:hAnsi="Arial" w:cs="Arial"/>
        </w:rPr>
        <w:t xml:space="preserve"> in a manner which supports their operational deployment yet does not compromise security of data. </w:t>
      </w:r>
    </w:p>
    <w:p w14:paraId="684A1583" w14:textId="77777777" w:rsidR="00AA779C" w:rsidRPr="009C3E95" w:rsidRDefault="00AA779C" w:rsidP="008F1A7E">
      <w:pPr>
        <w:jc w:val="both"/>
        <w:rPr>
          <w:rFonts w:ascii="Arial" w:hAnsi="Arial" w:cs="Arial"/>
        </w:rPr>
      </w:pPr>
      <w:r w:rsidRPr="009C3E95">
        <w:rPr>
          <w:rFonts w:ascii="Arial" w:hAnsi="Arial" w:cs="Arial"/>
        </w:rPr>
        <w:t>•</w:t>
      </w:r>
      <w:r w:rsidRPr="009C3E95">
        <w:rPr>
          <w:rFonts w:ascii="Arial" w:hAnsi="Arial" w:cs="Arial"/>
        </w:rPr>
        <w:tab/>
        <w:t xml:space="preserve">Case management system which allows individual cases to be tracked and updated as required by relevant personnel.  </w:t>
      </w:r>
    </w:p>
    <w:p w14:paraId="684A1585" w14:textId="1893ECD4" w:rsidR="00E2197F" w:rsidRPr="009C3E95" w:rsidRDefault="00E2197F" w:rsidP="008F1A7E">
      <w:pPr>
        <w:jc w:val="both"/>
        <w:rPr>
          <w:rFonts w:ascii="Arial" w:hAnsi="Arial" w:cs="Arial"/>
        </w:rPr>
      </w:pPr>
      <w:r w:rsidRPr="009C3E95">
        <w:rPr>
          <w:rFonts w:ascii="Arial" w:hAnsi="Arial" w:cs="Arial"/>
        </w:rPr>
        <w:t xml:space="preserve">The Service Provider must sign and adhere to the following. The documents must be signed at contract award stage: </w:t>
      </w:r>
      <w:r w:rsidR="006A53F5" w:rsidRPr="009C3E95">
        <w:rPr>
          <w:rFonts w:ascii="Arial" w:hAnsi="Arial" w:cs="Arial"/>
          <w:b/>
          <w:color w:val="FF0000"/>
        </w:rPr>
        <w:t xml:space="preserve"> </w:t>
      </w:r>
    </w:p>
    <w:p w14:paraId="684A1586" w14:textId="77777777" w:rsidR="00E2197F" w:rsidRPr="009C3E95" w:rsidRDefault="00E2197F" w:rsidP="008F1A7E">
      <w:pPr>
        <w:jc w:val="both"/>
        <w:rPr>
          <w:rFonts w:ascii="Arial" w:hAnsi="Arial" w:cs="Arial"/>
        </w:rPr>
      </w:pPr>
      <w:r w:rsidRPr="009C3E95">
        <w:rPr>
          <w:rFonts w:ascii="Arial" w:hAnsi="Arial" w:cs="Arial"/>
        </w:rPr>
        <w:t>•</w:t>
      </w:r>
      <w:r w:rsidRPr="009C3E95">
        <w:rPr>
          <w:rFonts w:ascii="Arial" w:hAnsi="Arial" w:cs="Arial"/>
        </w:rPr>
        <w:tab/>
        <w:t xml:space="preserve">Multi-Agency Information Agreement and associated Referral Pathway documentation </w:t>
      </w:r>
    </w:p>
    <w:p w14:paraId="684A1587" w14:textId="77777777" w:rsidR="00AA779C" w:rsidRDefault="00E2197F" w:rsidP="008F1A7E">
      <w:pPr>
        <w:jc w:val="both"/>
        <w:rPr>
          <w:rFonts w:ascii="Arial" w:hAnsi="Arial" w:cs="Arial"/>
        </w:rPr>
      </w:pPr>
      <w:r w:rsidRPr="009C3E95">
        <w:rPr>
          <w:rFonts w:ascii="Arial" w:hAnsi="Arial" w:cs="Arial"/>
        </w:rPr>
        <w:lastRenderedPageBreak/>
        <w:t>•</w:t>
      </w:r>
      <w:r w:rsidRPr="009C3E95">
        <w:rPr>
          <w:rFonts w:ascii="Arial" w:hAnsi="Arial" w:cs="Arial"/>
        </w:rPr>
        <w:tab/>
        <w:t>Security agreements and documentation in relation to the agreed case management system</w:t>
      </w:r>
    </w:p>
    <w:p w14:paraId="21ED73D0" w14:textId="77777777" w:rsidR="00490F56" w:rsidRPr="008F1A7E" w:rsidRDefault="00490F56" w:rsidP="008F1A7E">
      <w:pPr>
        <w:jc w:val="both"/>
        <w:rPr>
          <w:rFonts w:ascii="Arial" w:hAnsi="Arial" w:cs="Arial"/>
        </w:rPr>
      </w:pPr>
    </w:p>
    <w:p w14:paraId="684A1588" w14:textId="77777777" w:rsidR="006B3B3E" w:rsidRPr="008F1A7E" w:rsidRDefault="006B3B3E" w:rsidP="008F1A7E">
      <w:pPr>
        <w:jc w:val="both"/>
        <w:rPr>
          <w:rFonts w:ascii="Arial" w:hAnsi="Arial" w:cs="Arial"/>
          <w:b/>
        </w:rPr>
      </w:pPr>
      <w:r w:rsidRPr="008F1A7E">
        <w:rPr>
          <w:rFonts w:ascii="Arial" w:hAnsi="Arial" w:cs="Arial"/>
          <w:b/>
        </w:rPr>
        <w:t xml:space="preserve">Case Management </w:t>
      </w:r>
    </w:p>
    <w:p w14:paraId="684A1589" w14:textId="7DFEB154" w:rsidR="005061B6" w:rsidRPr="008F1A7E" w:rsidRDefault="00032B0B" w:rsidP="008F1A7E">
      <w:pPr>
        <w:jc w:val="both"/>
        <w:rPr>
          <w:rFonts w:ascii="Arial" w:hAnsi="Arial" w:cs="Arial"/>
        </w:rPr>
      </w:pPr>
      <w:r>
        <w:rPr>
          <w:rFonts w:ascii="Arial" w:hAnsi="Arial" w:cs="Arial"/>
        </w:rPr>
        <w:t xml:space="preserve">5.28 </w:t>
      </w:r>
      <w:r w:rsidR="00D36E73" w:rsidRPr="008F1A7E">
        <w:rPr>
          <w:rFonts w:ascii="Arial" w:hAnsi="Arial" w:cs="Arial"/>
        </w:rPr>
        <w:t>As part of the model</w:t>
      </w:r>
      <w:r w:rsidR="0007620A" w:rsidRPr="008F1A7E">
        <w:rPr>
          <w:rFonts w:ascii="Arial" w:hAnsi="Arial" w:cs="Arial"/>
        </w:rPr>
        <w:t>,</w:t>
      </w:r>
      <w:r w:rsidR="00D36E73" w:rsidRPr="008F1A7E">
        <w:rPr>
          <w:rFonts w:ascii="Arial" w:hAnsi="Arial" w:cs="Arial"/>
        </w:rPr>
        <w:t xml:space="preserve"> it is expected that the provider keeps caseloads </w:t>
      </w:r>
      <w:r w:rsidR="0007620A" w:rsidRPr="008F1A7E">
        <w:rPr>
          <w:rFonts w:ascii="Arial" w:hAnsi="Arial" w:cs="Arial"/>
        </w:rPr>
        <w:t xml:space="preserve">up to </w:t>
      </w:r>
      <w:r w:rsidR="00D36E73" w:rsidRPr="008F1A7E">
        <w:rPr>
          <w:rFonts w:ascii="Arial" w:hAnsi="Arial" w:cs="Arial"/>
        </w:rPr>
        <w:t>the IPS</w:t>
      </w:r>
      <w:r w:rsidR="002532BC" w:rsidRPr="008F1A7E">
        <w:rPr>
          <w:rFonts w:ascii="Arial" w:hAnsi="Arial" w:cs="Arial"/>
        </w:rPr>
        <w:t xml:space="preserve"> fidelity prescribed</w:t>
      </w:r>
      <w:r w:rsidR="00D36E73" w:rsidRPr="008F1A7E">
        <w:rPr>
          <w:rFonts w:ascii="Arial" w:hAnsi="Arial" w:cs="Arial"/>
        </w:rPr>
        <w:t xml:space="preserve"> </w:t>
      </w:r>
      <w:r w:rsidR="000A2357" w:rsidRPr="008F1A7E">
        <w:rPr>
          <w:rFonts w:ascii="Arial" w:hAnsi="Arial" w:cs="Arial"/>
        </w:rPr>
        <w:t>amount</w:t>
      </w:r>
      <w:r w:rsidR="004737B4">
        <w:rPr>
          <w:rFonts w:ascii="Arial" w:hAnsi="Arial" w:cs="Arial"/>
        </w:rPr>
        <w:t>,</w:t>
      </w:r>
      <w:r w:rsidR="000A2357" w:rsidRPr="008F1A7E">
        <w:rPr>
          <w:rFonts w:ascii="Arial" w:hAnsi="Arial" w:cs="Arial"/>
        </w:rPr>
        <w:t xml:space="preserve"> of 25 per worker. </w:t>
      </w:r>
    </w:p>
    <w:p w14:paraId="684A158A" w14:textId="6C6B6C50" w:rsidR="00E84884" w:rsidRPr="008F1A7E" w:rsidRDefault="00032B0B" w:rsidP="008F1A7E">
      <w:pPr>
        <w:jc w:val="both"/>
        <w:rPr>
          <w:rFonts w:ascii="Arial" w:hAnsi="Arial" w:cs="Arial"/>
        </w:rPr>
      </w:pPr>
      <w:r>
        <w:rPr>
          <w:rFonts w:ascii="Arial" w:hAnsi="Arial" w:cs="Arial"/>
        </w:rPr>
        <w:t xml:space="preserve">5.29 </w:t>
      </w:r>
      <w:r w:rsidR="00E84884" w:rsidRPr="008F1A7E">
        <w:rPr>
          <w:rFonts w:ascii="Arial" w:hAnsi="Arial" w:cs="Arial"/>
        </w:rPr>
        <w:t xml:space="preserve">The process of inducting new </w:t>
      </w:r>
      <w:r w:rsidR="006A53F5" w:rsidRPr="00A27629">
        <w:rPr>
          <w:rFonts w:ascii="Arial" w:hAnsi="Arial" w:cs="Arial"/>
          <w:color w:val="000000" w:themeColor="text1"/>
        </w:rPr>
        <w:t>clients</w:t>
      </w:r>
      <w:r w:rsidR="00E84884" w:rsidRPr="00A27629">
        <w:rPr>
          <w:rFonts w:ascii="Arial" w:hAnsi="Arial" w:cs="Arial"/>
          <w:color w:val="000000" w:themeColor="text1"/>
        </w:rPr>
        <w:t xml:space="preserve"> </w:t>
      </w:r>
      <w:r w:rsidR="00E84884" w:rsidRPr="008F1A7E">
        <w:rPr>
          <w:rFonts w:ascii="Arial" w:hAnsi="Arial" w:cs="Arial"/>
        </w:rPr>
        <w:t>on to service will b</w:t>
      </w:r>
      <w:r w:rsidR="00A802AE" w:rsidRPr="008F1A7E">
        <w:rPr>
          <w:rFonts w:ascii="Arial" w:hAnsi="Arial" w:cs="Arial"/>
        </w:rPr>
        <w:t xml:space="preserve">e through an initial assessment. This </w:t>
      </w:r>
      <w:r w:rsidR="00E84884" w:rsidRPr="008F1A7E">
        <w:rPr>
          <w:rFonts w:ascii="Arial" w:hAnsi="Arial" w:cs="Arial"/>
        </w:rPr>
        <w:t xml:space="preserve">will </w:t>
      </w:r>
      <w:r w:rsidR="005975EA" w:rsidRPr="008F1A7E">
        <w:rPr>
          <w:rFonts w:ascii="Arial" w:hAnsi="Arial" w:cs="Arial"/>
        </w:rPr>
        <w:t>assess</w:t>
      </w:r>
      <w:r w:rsidR="00E84884" w:rsidRPr="008F1A7E">
        <w:rPr>
          <w:rFonts w:ascii="Arial" w:hAnsi="Arial" w:cs="Arial"/>
        </w:rPr>
        <w:t xml:space="preserve"> that the individual is ready to engage with the programme and is at a point where they want to find work or start their own business. </w:t>
      </w:r>
    </w:p>
    <w:p w14:paraId="45114192" w14:textId="45330535" w:rsidR="0007620A" w:rsidRPr="008F1A7E" w:rsidRDefault="00032B0B" w:rsidP="008F1A7E">
      <w:pPr>
        <w:jc w:val="both"/>
        <w:rPr>
          <w:rFonts w:ascii="Arial" w:hAnsi="Arial" w:cs="Arial"/>
        </w:rPr>
      </w:pPr>
      <w:r>
        <w:rPr>
          <w:rFonts w:ascii="Arial" w:hAnsi="Arial" w:cs="Arial"/>
        </w:rPr>
        <w:t xml:space="preserve">5.30 </w:t>
      </w:r>
      <w:r w:rsidR="0007620A" w:rsidRPr="008F1A7E">
        <w:rPr>
          <w:rFonts w:ascii="Arial" w:hAnsi="Arial" w:cs="Arial"/>
        </w:rPr>
        <w:t xml:space="preserve">At assessment, it is expected that the provider will ascertain whether the </w:t>
      </w:r>
      <w:r w:rsidR="004163A2">
        <w:rPr>
          <w:rFonts w:ascii="Arial" w:hAnsi="Arial" w:cs="Arial"/>
        </w:rPr>
        <w:t>client</w:t>
      </w:r>
      <w:r w:rsidR="0007620A" w:rsidRPr="008F1A7E">
        <w:rPr>
          <w:rFonts w:ascii="Arial" w:hAnsi="Arial" w:cs="Arial"/>
        </w:rPr>
        <w:t xml:space="preserve"> has received similar support previously. This information will be recorded for the evaluator’s records. </w:t>
      </w:r>
    </w:p>
    <w:p w14:paraId="684A158B" w14:textId="527D82F8" w:rsidR="00E84884" w:rsidRPr="008F1A7E" w:rsidRDefault="00DA517D" w:rsidP="008F1A7E">
      <w:pPr>
        <w:jc w:val="both"/>
        <w:rPr>
          <w:rFonts w:ascii="Arial" w:hAnsi="Arial" w:cs="Arial"/>
        </w:rPr>
      </w:pPr>
      <w:r>
        <w:rPr>
          <w:rFonts w:ascii="Arial" w:hAnsi="Arial" w:cs="Arial"/>
        </w:rPr>
        <w:t xml:space="preserve">5.31 </w:t>
      </w:r>
      <w:r w:rsidR="00E84884" w:rsidRPr="008F1A7E">
        <w:rPr>
          <w:rFonts w:ascii="Arial" w:hAnsi="Arial" w:cs="Arial"/>
        </w:rPr>
        <w:t>After this induction process</w:t>
      </w:r>
      <w:r w:rsidR="00522C70" w:rsidRPr="008F1A7E">
        <w:rPr>
          <w:rFonts w:ascii="Arial" w:hAnsi="Arial" w:cs="Arial"/>
        </w:rPr>
        <w:t>,</w:t>
      </w:r>
      <w:r w:rsidR="00E84884" w:rsidRPr="008F1A7E">
        <w:rPr>
          <w:rFonts w:ascii="Arial" w:hAnsi="Arial" w:cs="Arial"/>
        </w:rPr>
        <w:t xml:space="preserve"> the provider will be expected to </w:t>
      </w:r>
      <w:r w:rsidR="002532BC" w:rsidRPr="008F1A7E">
        <w:rPr>
          <w:rFonts w:ascii="Arial" w:hAnsi="Arial" w:cs="Arial"/>
        </w:rPr>
        <w:t>facilitate</w:t>
      </w:r>
      <w:r w:rsidR="00E84884" w:rsidRPr="008F1A7E">
        <w:rPr>
          <w:rFonts w:ascii="Arial" w:hAnsi="Arial" w:cs="Arial"/>
        </w:rPr>
        <w:t xml:space="preserve"> </w:t>
      </w:r>
      <w:r w:rsidR="004163A2">
        <w:rPr>
          <w:rFonts w:ascii="Arial" w:hAnsi="Arial" w:cs="Arial"/>
        </w:rPr>
        <w:t>client</w:t>
      </w:r>
      <w:r w:rsidR="00E84884" w:rsidRPr="008F1A7E">
        <w:rPr>
          <w:rFonts w:ascii="Arial" w:hAnsi="Arial" w:cs="Arial"/>
        </w:rPr>
        <w:t xml:space="preserve"> with </w:t>
      </w:r>
      <w:r w:rsidR="0007620A" w:rsidRPr="008F1A7E">
        <w:rPr>
          <w:rFonts w:ascii="Arial" w:hAnsi="Arial" w:cs="Arial"/>
        </w:rPr>
        <w:t>individual and flexible</w:t>
      </w:r>
      <w:r w:rsidR="00E84884" w:rsidRPr="008F1A7E">
        <w:rPr>
          <w:rFonts w:ascii="Arial" w:hAnsi="Arial" w:cs="Arial"/>
        </w:rPr>
        <w:t xml:space="preserve"> support that suits the need of each individual </w:t>
      </w:r>
      <w:r w:rsidR="004163A2">
        <w:rPr>
          <w:rFonts w:ascii="Arial" w:hAnsi="Arial" w:cs="Arial"/>
        </w:rPr>
        <w:t>client</w:t>
      </w:r>
      <w:r w:rsidR="00E84884" w:rsidRPr="008F1A7E">
        <w:rPr>
          <w:rFonts w:ascii="Arial" w:hAnsi="Arial" w:cs="Arial"/>
        </w:rPr>
        <w:t xml:space="preserve">. </w:t>
      </w:r>
      <w:r w:rsidR="002532BC" w:rsidRPr="008F1A7E">
        <w:rPr>
          <w:rFonts w:ascii="Arial" w:hAnsi="Arial" w:cs="Arial"/>
        </w:rPr>
        <w:t xml:space="preserve">For this cohort, simply a Monday- </w:t>
      </w:r>
      <w:proofErr w:type="gramStart"/>
      <w:r w:rsidR="002532BC" w:rsidRPr="008F1A7E">
        <w:rPr>
          <w:rFonts w:ascii="Arial" w:hAnsi="Arial" w:cs="Arial"/>
        </w:rPr>
        <w:t>Friday  9:00am</w:t>
      </w:r>
      <w:proofErr w:type="gramEnd"/>
      <w:r w:rsidR="002532BC" w:rsidRPr="008F1A7E">
        <w:rPr>
          <w:rFonts w:ascii="Arial" w:hAnsi="Arial" w:cs="Arial"/>
        </w:rPr>
        <w:t xml:space="preserve">-5:00pm service is unlikely to engage the </w:t>
      </w:r>
      <w:r w:rsidR="004163A2">
        <w:rPr>
          <w:rFonts w:ascii="Arial" w:hAnsi="Arial" w:cs="Arial"/>
        </w:rPr>
        <w:t>client</w:t>
      </w:r>
      <w:r w:rsidR="002532BC" w:rsidRPr="008F1A7E">
        <w:rPr>
          <w:rFonts w:ascii="Arial" w:hAnsi="Arial" w:cs="Arial"/>
        </w:rPr>
        <w:t xml:space="preserve"> we wish to reach</w:t>
      </w:r>
      <w:r w:rsidR="005975EA" w:rsidRPr="008F1A7E">
        <w:rPr>
          <w:rFonts w:ascii="Arial" w:hAnsi="Arial" w:cs="Arial"/>
        </w:rPr>
        <w:t>.</w:t>
      </w:r>
      <w:r w:rsidR="002532BC" w:rsidRPr="008F1A7E">
        <w:rPr>
          <w:rFonts w:ascii="Arial" w:hAnsi="Arial" w:cs="Arial"/>
        </w:rPr>
        <w:t xml:space="preserve"> </w:t>
      </w:r>
    </w:p>
    <w:p w14:paraId="684A158C" w14:textId="510BEA93" w:rsidR="00E84884" w:rsidRPr="008F1A7E" w:rsidRDefault="00E84884" w:rsidP="008F1A7E">
      <w:pPr>
        <w:jc w:val="both"/>
        <w:rPr>
          <w:rFonts w:ascii="Arial" w:hAnsi="Arial" w:cs="Arial"/>
        </w:rPr>
      </w:pPr>
      <w:r w:rsidRPr="008F1A7E">
        <w:rPr>
          <w:rFonts w:ascii="Arial" w:hAnsi="Arial" w:cs="Arial"/>
        </w:rPr>
        <w:t xml:space="preserve"> </w:t>
      </w:r>
    </w:p>
    <w:p w14:paraId="684A158E" w14:textId="77777777" w:rsidR="006B3B3E" w:rsidRPr="008F1A7E" w:rsidRDefault="006B3B3E" w:rsidP="008F1A7E">
      <w:pPr>
        <w:rPr>
          <w:rFonts w:ascii="Arial" w:hAnsi="Arial" w:cs="Arial"/>
          <w:b/>
        </w:rPr>
      </w:pPr>
      <w:r w:rsidRPr="008F1A7E">
        <w:rPr>
          <w:rFonts w:ascii="Arial" w:hAnsi="Arial" w:cs="Arial"/>
          <w:b/>
        </w:rPr>
        <w:t xml:space="preserve">Partnership Engagement </w:t>
      </w:r>
    </w:p>
    <w:p w14:paraId="684A158F" w14:textId="6940BC2D" w:rsidR="005061B6" w:rsidRDefault="00DA517D" w:rsidP="008F1A7E">
      <w:pPr>
        <w:jc w:val="both"/>
        <w:rPr>
          <w:rFonts w:ascii="Arial" w:hAnsi="Arial" w:cs="Arial"/>
        </w:rPr>
      </w:pPr>
      <w:r>
        <w:rPr>
          <w:rFonts w:ascii="Arial" w:hAnsi="Arial" w:cs="Arial"/>
        </w:rPr>
        <w:t xml:space="preserve">5.32 </w:t>
      </w:r>
      <w:r w:rsidR="000A2357" w:rsidRPr="008F1A7E">
        <w:rPr>
          <w:rFonts w:ascii="Arial" w:hAnsi="Arial" w:cs="Arial"/>
        </w:rPr>
        <w:t>Part of the provider</w:t>
      </w:r>
      <w:r w:rsidR="005975EA" w:rsidRPr="008F1A7E">
        <w:rPr>
          <w:rFonts w:ascii="Arial" w:hAnsi="Arial" w:cs="Arial"/>
        </w:rPr>
        <w:t>’</w:t>
      </w:r>
      <w:r w:rsidR="000A2357" w:rsidRPr="008F1A7E">
        <w:rPr>
          <w:rFonts w:ascii="Arial" w:hAnsi="Arial" w:cs="Arial"/>
        </w:rPr>
        <w:t xml:space="preserve">s role will be to set up positive partnerships with all referral partners and also other partners who </w:t>
      </w:r>
      <w:r w:rsidR="00490F56">
        <w:rPr>
          <w:rFonts w:ascii="Arial" w:hAnsi="Arial" w:cs="Arial"/>
        </w:rPr>
        <w:t>may</w:t>
      </w:r>
      <w:r w:rsidR="000A2357" w:rsidRPr="008F1A7E">
        <w:rPr>
          <w:rFonts w:ascii="Arial" w:hAnsi="Arial" w:cs="Arial"/>
        </w:rPr>
        <w:t xml:space="preserve"> be able to provide </w:t>
      </w:r>
      <w:r w:rsidR="005975EA" w:rsidRPr="008F1A7E">
        <w:rPr>
          <w:rFonts w:ascii="Arial" w:hAnsi="Arial" w:cs="Arial"/>
        </w:rPr>
        <w:t>support that the provider cannot facilitate</w:t>
      </w:r>
      <w:r w:rsidR="00490F56">
        <w:rPr>
          <w:rFonts w:ascii="Arial" w:hAnsi="Arial" w:cs="Arial"/>
        </w:rPr>
        <w:t xml:space="preserve"> themselves</w:t>
      </w:r>
      <w:r w:rsidR="000A2357" w:rsidRPr="008F1A7E">
        <w:rPr>
          <w:rFonts w:ascii="Arial" w:hAnsi="Arial" w:cs="Arial"/>
        </w:rPr>
        <w:t xml:space="preserve">. Examples of this might be specific organisations who provide start up business advice. </w:t>
      </w:r>
    </w:p>
    <w:p w14:paraId="10C5187B" w14:textId="77777777" w:rsidR="004737B4" w:rsidRPr="008F1A7E" w:rsidRDefault="004737B4" w:rsidP="008F1A7E">
      <w:pPr>
        <w:jc w:val="both"/>
        <w:rPr>
          <w:rFonts w:ascii="Arial" w:hAnsi="Arial" w:cs="Arial"/>
        </w:rPr>
      </w:pPr>
    </w:p>
    <w:p w14:paraId="684A1591" w14:textId="77777777" w:rsidR="006B3B3E" w:rsidRPr="008F1A7E" w:rsidRDefault="006B3B3E" w:rsidP="008F1A7E">
      <w:pPr>
        <w:rPr>
          <w:rFonts w:ascii="Arial" w:hAnsi="Arial" w:cs="Arial"/>
          <w:b/>
        </w:rPr>
      </w:pPr>
      <w:r w:rsidRPr="008F1A7E">
        <w:rPr>
          <w:rFonts w:ascii="Arial" w:hAnsi="Arial" w:cs="Arial"/>
          <w:b/>
        </w:rPr>
        <w:t xml:space="preserve">Staff Recruitment </w:t>
      </w:r>
    </w:p>
    <w:p w14:paraId="684A1592" w14:textId="345E956D" w:rsidR="002217B5" w:rsidRPr="00A27629" w:rsidRDefault="00DA517D" w:rsidP="008F1A7E">
      <w:pPr>
        <w:jc w:val="both"/>
        <w:rPr>
          <w:rFonts w:ascii="Arial" w:hAnsi="Arial" w:cs="Arial"/>
          <w:color w:val="000000" w:themeColor="text1"/>
        </w:rPr>
      </w:pPr>
      <w:r>
        <w:rPr>
          <w:rFonts w:ascii="Arial" w:hAnsi="Arial" w:cs="Arial"/>
        </w:rPr>
        <w:t xml:space="preserve">5.33 </w:t>
      </w:r>
      <w:r w:rsidR="000A2357" w:rsidRPr="008F1A7E">
        <w:rPr>
          <w:rFonts w:ascii="Arial" w:hAnsi="Arial" w:cs="Arial"/>
        </w:rPr>
        <w:t xml:space="preserve">For this </w:t>
      </w:r>
      <w:r w:rsidR="0007620A" w:rsidRPr="008F1A7E">
        <w:rPr>
          <w:rFonts w:ascii="Arial" w:hAnsi="Arial" w:cs="Arial"/>
        </w:rPr>
        <w:t>service,</w:t>
      </w:r>
      <w:r w:rsidR="000A2357" w:rsidRPr="008F1A7E">
        <w:rPr>
          <w:rFonts w:ascii="Arial" w:hAnsi="Arial" w:cs="Arial"/>
        </w:rPr>
        <w:t xml:space="preserve"> we </w:t>
      </w:r>
      <w:r w:rsidR="0007620A" w:rsidRPr="008F1A7E">
        <w:rPr>
          <w:rFonts w:ascii="Arial" w:hAnsi="Arial" w:cs="Arial"/>
        </w:rPr>
        <w:t>place great importance on</w:t>
      </w:r>
      <w:r w:rsidR="000A2357" w:rsidRPr="008F1A7E">
        <w:rPr>
          <w:rFonts w:ascii="Arial" w:hAnsi="Arial" w:cs="Arial"/>
        </w:rPr>
        <w:t xml:space="preserve"> staff recruitment. Worker</w:t>
      </w:r>
      <w:r w:rsidR="00F251B7" w:rsidRPr="008F1A7E">
        <w:rPr>
          <w:rFonts w:ascii="Arial" w:hAnsi="Arial" w:cs="Arial"/>
        </w:rPr>
        <w:t>s</w:t>
      </w:r>
      <w:r w:rsidR="000A2357" w:rsidRPr="008F1A7E">
        <w:rPr>
          <w:rFonts w:ascii="Arial" w:hAnsi="Arial" w:cs="Arial"/>
        </w:rPr>
        <w:t xml:space="preserve"> will need to be able to prove they have an ability to engage with </w:t>
      </w:r>
      <w:r w:rsidR="00F251B7" w:rsidRPr="008F1A7E">
        <w:rPr>
          <w:rFonts w:ascii="Arial" w:hAnsi="Arial" w:cs="Arial"/>
        </w:rPr>
        <w:t>the target cohort</w:t>
      </w:r>
      <w:r w:rsidR="004737B4">
        <w:rPr>
          <w:rFonts w:ascii="Arial" w:hAnsi="Arial" w:cs="Arial"/>
        </w:rPr>
        <w:t>,</w:t>
      </w:r>
      <w:r w:rsidR="00F251B7" w:rsidRPr="008F1A7E">
        <w:rPr>
          <w:rFonts w:ascii="Arial" w:hAnsi="Arial" w:cs="Arial"/>
        </w:rPr>
        <w:t xml:space="preserve"> in a way which will encourage </w:t>
      </w:r>
      <w:r w:rsidR="002217B5" w:rsidRPr="008F1A7E">
        <w:rPr>
          <w:rFonts w:ascii="Arial" w:hAnsi="Arial" w:cs="Arial"/>
        </w:rPr>
        <w:t>retention</w:t>
      </w:r>
      <w:r w:rsidR="00F251B7" w:rsidRPr="008F1A7E">
        <w:rPr>
          <w:rFonts w:ascii="Arial" w:hAnsi="Arial" w:cs="Arial"/>
        </w:rPr>
        <w:t xml:space="preserve"> of the cohort on </w:t>
      </w:r>
      <w:r w:rsidR="0007620A" w:rsidRPr="008F1A7E">
        <w:rPr>
          <w:rFonts w:ascii="Arial" w:hAnsi="Arial" w:cs="Arial"/>
        </w:rPr>
        <w:t xml:space="preserve">the </w:t>
      </w:r>
      <w:r w:rsidR="00F251B7" w:rsidRPr="008F1A7E">
        <w:rPr>
          <w:rFonts w:ascii="Arial" w:hAnsi="Arial" w:cs="Arial"/>
        </w:rPr>
        <w:t xml:space="preserve">service. </w:t>
      </w:r>
      <w:r w:rsidR="00B72E93" w:rsidRPr="008F1A7E">
        <w:rPr>
          <w:rFonts w:ascii="Arial" w:hAnsi="Arial" w:cs="Arial"/>
        </w:rPr>
        <w:t xml:space="preserve">This will be through engaging with young people in a way which both supports and inspires </w:t>
      </w:r>
      <w:r w:rsidR="00D4578A" w:rsidRPr="008F1A7E">
        <w:rPr>
          <w:rFonts w:ascii="Arial" w:hAnsi="Arial" w:cs="Arial"/>
        </w:rPr>
        <w:t>them</w:t>
      </w:r>
      <w:r w:rsidR="00B72E93" w:rsidRPr="008F1A7E">
        <w:rPr>
          <w:rFonts w:ascii="Arial" w:hAnsi="Arial" w:cs="Arial"/>
        </w:rPr>
        <w:t xml:space="preserve"> to achieve their goals</w:t>
      </w:r>
      <w:r w:rsidR="00992CD3" w:rsidRPr="008F1A7E">
        <w:rPr>
          <w:rFonts w:ascii="Arial" w:hAnsi="Arial" w:cs="Arial"/>
        </w:rPr>
        <w:t>,</w:t>
      </w:r>
      <w:r w:rsidR="00F7725A" w:rsidRPr="008F1A7E">
        <w:rPr>
          <w:rFonts w:ascii="Arial" w:hAnsi="Arial" w:cs="Arial"/>
        </w:rPr>
        <w:t xml:space="preserve"> whilst also allowing the support to be client led. </w:t>
      </w:r>
      <w:r w:rsidR="00B72E93" w:rsidRPr="008F1A7E">
        <w:rPr>
          <w:rFonts w:ascii="Arial" w:hAnsi="Arial" w:cs="Arial"/>
        </w:rPr>
        <w:t xml:space="preserve"> </w:t>
      </w:r>
      <w:r w:rsidR="006A53F5" w:rsidRPr="00A27629">
        <w:rPr>
          <w:rFonts w:ascii="Arial" w:hAnsi="Arial" w:cs="Arial"/>
          <w:color w:val="000000" w:themeColor="text1"/>
        </w:rPr>
        <w:t>Lived Experience staff</w:t>
      </w:r>
      <w:r w:rsidR="00A27629">
        <w:rPr>
          <w:rFonts w:ascii="Arial" w:hAnsi="Arial" w:cs="Arial"/>
          <w:color w:val="000000" w:themeColor="text1"/>
        </w:rPr>
        <w:t xml:space="preserve"> are necessary as part of the team, this will add</w:t>
      </w:r>
      <w:r w:rsidR="006A53F5" w:rsidRPr="00A27629">
        <w:rPr>
          <w:rFonts w:ascii="Arial" w:hAnsi="Arial" w:cs="Arial"/>
          <w:color w:val="000000" w:themeColor="text1"/>
        </w:rPr>
        <w:t xml:space="preserve"> credibility</w:t>
      </w:r>
      <w:r w:rsidR="00A27629">
        <w:rPr>
          <w:rFonts w:ascii="Arial" w:hAnsi="Arial" w:cs="Arial"/>
          <w:color w:val="000000" w:themeColor="text1"/>
        </w:rPr>
        <w:t xml:space="preserve"> when clients are being engaged. </w:t>
      </w:r>
    </w:p>
    <w:p w14:paraId="684A1593" w14:textId="07F6044B" w:rsidR="000A2357" w:rsidRPr="008F1A7E" w:rsidRDefault="00DA517D" w:rsidP="008F1A7E">
      <w:pPr>
        <w:jc w:val="both"/>
        <w:rPr>
          <w:rFonts w:ascii="Arial" w:hAnsi="Arial" w:cs="Arial"/>
        </w:rPr>
      </w:pPr>
      <w:r>
        <w:rPr>
          <w:rFonts w:ascii="Arial" w:hAnsi="Arial" w:cs="Arial"/>
        </w:rPr>
        <w:t xml:space="preserve">5.34 </w:t>
      </w:r>
      <w:r w:rsidR="00F251B7" w:rsidRPr="008F1A7E">
        <w:rPr>
          <w:rFonts w:ascii="Arial" w:hAnsi="Arial" w:cs="Arial"/>
        </w:rPr>
        <w:t xml:space="preserve">This key characteristic will also need to be coupled with an ability to understand the targets and ambitions of the project, engage with different partners and stakeholders and understand IPS fidelity targets </w:t>
      </w:r>
      <w:r w:rsidR="00D4578A" w:rsidRPr="008F1A7E">
        <w:rPr>
          <w:rFonts w:ascii="Arial" w:hAnsi="Arial" w:cs="Arial"/>
        </w:rPr>
        <w:t>in order to</w:t>
      </w:r>
      <w:r w:rsidR="00F251B7" w:rsidRPr="008F1A7E">
        <w:rPr>
          <w:rFonts w:ascii="Arial" w:hAnsi="Arial" w:cs="Arial"/>
        </w:rPr>
        <w:t xml:space="preserve"> actively work towards attaining these. </w:t>
      </w:r>
    </w:p>
    <w:p w14:paraId="684A1594" w14:textId="53757574" w:rsidR="002217B5" w:rsidRPr="008F1A7E" w:rsidRDefault="00DA517D" w:rsidP="008F1A7E">
      <w:pPr>
        <w:jc w:val="both"/>
        <w:rPr>
          <w:rFonts w:ascii="Arial" w:hAnsi="Arial" w:cs="Arial"/>
        </w:rPr>
      </w:pPr>
      <w:r>
        <w:rPr>
          <w:rFonts w:ascii="Arial" w:hAnsi="Arial" w:cs="Arial"/>
        </w:rPr>
        <w:t xml:space="preserve">5.35 </w:t>
      </w:r>
      <w:r w:rsidR="002217B5" w:rsidRPr="008F1A7E">
        <w:rPr>
          <w:rFonts w:ascii="Arial" w:hAnsi="Arial" w:cs="Arial"/>
        </w:rPr>
        <w:t>Fundamentally</w:t>
      </w:r>
      <w:r w:rsidR="00992CD3" w:rsidRPr="008F1A7E">
        <w:rPr>
          <w:rFonts w:ascii="Arial" w:hAnsi="Arial" w:cs="Arial"/>
        </w:rPr>
        <w:t>,</w:t>
      </w:r>
      <w:r w:rsidR="002217B5" w:rsidRPr="008F1A7E">
        <w:rPr>
          <w:rFonts w:ascii="Arial" w:hAnsi="Arial" w:cs="Arial"/>
        </w:rPr>
        <w:t xml:space="preserve"> the workers will need to have practical understanding</w:t>
      </w:r>
      <w:r w:rsidR="00D4578A" w:rsidRPr="008F1A7E">
        <w:rPr>
          <w:rFonts w:ascii="Arial" w:hAnsi="Arial" w:cs="Arial"/>
        </w:rPr>
        <w:t>, and the agency to utilise this understanding,</w:t>
      </w:r>
      <w:r w:rsidR="002217B5" w:rsidRPr="008F1A7E">
        <w:rPr>
          <w:rFonts w:ascii="Arial" w:hAnsi="Arial" w:cs="Arial"/>
        </w:rPr>
        <w:t xml:space="preserve"> </w:t>
      </w:r>
      <w:r w:rsidR="00522C70" w:rsidRPr="008F1A7E">
        <w:rPr>
          <w:rFonts w:ascii="Arial" w:hAnsi="Arial" w:cs="Arial"/>
        </w:rPr>
        <w:t>to best support the target cohort</w:t>
      </w:r>
      <w:r w:rsidR="00D4578A" w:rsidRPr="008F1A7E">
        <w:rPr>
          <w:rFonts w:ascii="Arial" w:hAnsi="Arial" w:cs="Arial"/>
        </w:rPr>
        <w:t xml:space="preserve"> into employment/business</w:t>
      </w:r>
      <w:r w:rsidR="00B72E93" w:rsidRPr="008F1A7E">
        <w:rPr>
          <w:rFonts w:ascii="Arial" w:hAnsi="Arial" w:cs="Arial"/>
        </w:rPr>
        <w:t xml:space="preserve"> whilst also having the emotional ability to engage with </w:t>
      </w:r>
      <w:r w:rsidR="004163A2">
        <w:rPr>
          <w:rFonts w:ascii="Arial" w:hAnsi="Arial" w:cs="Arial"/>
        </w:rPr>
        <w:t>client</w:t>
      </w:r>
      <w:r w:rsidR="00B72E93" w:rsidRPr="008F1A7E">
        <w:rPr>
          <w:rFonts w:ascii="Arial" w:hAnsi="Arial" w:cs="Arial"/>
        </w:rPr>
        <w:t xml:space="preserve"> and motivate them. </w:t>
      </w:r>
    </w:p>
    <w:p w14:paraId="684A1595" w14:textId="5FCE2566" w:rsidR="009E4702" w:rsidRPr="008F1A7E" w:rsidRDefault="00DA517D" w:rsidP="008F1A7E">
      <w:pPr>
        <w:jc w:val="both"/>
        <w:rPr>
          <w:rFonts w:ascii="Arial" w:hAnsi="Arial" w:cs="Arial"/>
        </w:rPr>
      </w:pPr>
      <w:r>
        <w:rPr>
          <w:rFonts w:ascii="Arial" w:hAnsi="Arial" w:cs="Arial"/>
        </w:rPr>
        <w:t xml:space="preserve">5.36 </w:t>
      </w:r>
      <w:r w:rsidR="009E4702" w:rsidRPr="008F1A7E">
        <w:rPr>
          <w:rFonts w:ascii="Arial" w:hAnsi="Arial" w:cs="Arial"/>
        </w:rPr>
        <w:t xml:space="preserve">The service provider will need to show how they will structure the team which will carry out the programme. The organisation of this </w:t>
      </w:r>
      <w:r w:rsidR="00110904" w:rsidRPr="008F1A7E">
        <w:rPr>
          <w:rFonts w:ascii="Arial" w:hAnsi="Arial" w:cs="Arial"/>
        </w:rPr>
        <w:t xml:space="preserve">team is subject to negotiation between the OPCC and the service provider. </w:t>
      </w:r>
    </w:p>
    <w:p w14:paraId="6E4995DD" w14:textId="77777777" w:rsidR="00DA517D" w:rsidRDefault="00DA517D" w:rsidP="008F1A7E">
      <w:pPr>
        <w:jc w:val="both"/>
        <w:rPr>
          <w:rFonts w:ascii="Arial" w:hAnsi="Arial" w:cs="Arial"/>
        </w:rPr>
      </w:pPr>
    </w:p>
    <w:p w14:paraId="684A1596" w14:textId="79DFCD03" w:rsidR="006B3B3E" w:rsidRPr="008F1A7E" w:rsidRDefault="005F45B7" w:rsidP="008F1A7E">
      <w:pPr>
        <w:jc w:val="both"/>
        <w:rPr>
          <w:rFonts w:ascii="Arial" w:hAnsi="Arial" w:cs="Arial"/>
          <w:b/>
        </w:rPr>
      </w:pPr>
      <w:r w:rsidRPr="008F1A7E">
        <w:rPr>
          <w:rFonts w:ascii="Arial" w:hAnsi="Arial" w:cs="Arial"/>
          <w:b/>
        </w:rPr>
        <w:t xml:space="preserve">Allotted </w:t>
      </w:r>
      <w:r w:rsidR="00992CD3" w:rsidRPr="008F1A7E">
        <w:rPr>
          <w:rFonts w:ascii="Arial" w:hAnsi="Arial" w:cs="Arial"/>
          <w:b/>
        </w:rPr>
        <w:t>F</w:t>
      </w:r>
      <w:r w:rsidRPr="008F1A7E">
        <w:rPr>
          <w:rFonts w:ascii="Arial" w:hAnsi="Arial" w:cs="Arial"/>
          <w:b/>
        </w:rPr>
        <w:t xml:space="preserve">unding </w:t>
      </w:r>
      <w:r w:rsidR="00992CD3" w:rsidRPr="008F1A7E">
        <w:rPr>
          <w:rFonts w:ascii="Arial" w:hAnsi="Arial" w:cs="Arial"/>
          <w:b/>
        </w:rPr>
        <w:t>P</w:t>
      </w:r>
      <w:r w:rsidRPr="008F1A7E">
        <w:rPr>
          <w:rFonts w:ascii="Arial" w:hAnsi="Arial" w:cs="Arial"/>
          <w:b/>
        </w:rPr>
        <w:t>ot for Service Users</w:t>
      </w:r>
    </w:p>
    <w:p w14:paraId="684A1597" w14:textId="4988A8BD" w:rsidR="00E71D20" w:rsidRPr="008F1A7E" w:rsidRDefault="00DA517D" w:rsidP="008F1A7E">
      <w:pPr>
        <w:jc w:val="both"/>
        <w:rPr>
          <w:rFonts w:ascii="Arial" w:hAnsi="Arial" w:cs="Arial"/>
        </w:rPr>
      </w:pPr>
      <w:r>
        <w:rPr>
          <w:rFonts w:ascii="Arial" w:hAnsi="Arial" w:cs="Arial"/>
        </w:rPr>
        <w:t>5.37 We</w:t>
      </w:r>
      <w:r w:rsidR="00A65102" w:rsidRPr="008F1A7E">
        <w:rPr>
          <w:rFonts w:ascii="Arial" w:hAnsi="Arial" w:cs="Arial"/>
        </w:rPr>
        <w:t xml:space="preserve"> want young people who are starting their own business, as part of this project, to have the opportunity to access additional financial support. </w:t>
      </w:r>
      <w:r w:rsidR="00E71D20" w:rsidRPr="008F1A7E">
        <w:rPr>
          <w:rFonts w:ascii="Arial" w:hAnsi="Arial" w:cs="Arial"/>
        </w:rPr>
        <w:t>It is expected that as part of the project</w:t>
      </w:r>
      <w:r w:rsidR="00992CD3" w:rsidRPr="008F1A7E">
        <w:rPr>
          <w:rFonts w:ascii="Arial" w:hAnsi="Arial" w:cs="Arial"/>
        </w:rPr>
        <w:t>,</w:t>
      </w:r>
      <w:r w:rsidR="00E71D20" w:rsidRPr="008F1A7E">
        <w:rPr>
          <w:rFonts w:ascii="Arial" w:hAnsi="Arial" w:cs="Arial"/>
        </w:rPr>
        <w:t xml:space="preserve"> the provider wil</w:t>
      </w:r>
      <w:r w:rsidR="007C3B0C" w:rsidRPr="008F1A7E">
        <w:rPr>
          <w:rFonts w:ascii="Arial" w:hAnsi="Arial" w:cs="Arial"/>
        </w:rPr>
        <w:t xml:space="preserve">l maintain a </w:t>
      </w:r>
      <w:r w:rsidR="00522C70" w:rsidRPr="008F1A7E">
        <w:rPr>
          <w:rFonts w:ascii="Arial" w:hAnsi="Arial" w:cs="Arial"/>
        </w:rPr>
        <w:t xml:space="preserve">distinct </w:t>
      </w:r>
      <w:r w:rsidR="007C3B0C" w:rsidRPr="008F1A7E">
        <w:rPr>
          <w:rFonts w:ascii="Arial" w:hAnsi="Arial" w:cs="Arial"/>
        </w:rPr>
        <w:t>funding pot to help support service users</w:t>
      </w:r>
      <w:r w:rsidR="00522C70" w:rsidRPr="008F1A7E">
        <w:rPr>
          <w:rFonts w:ascii="Arial" w:hAnsi="Arial" w:cs="Arial"/>
        </w:rPr>
        <w:t xml:space="preserve"> wanting to set up their own businesses</w:t>
      </w:r>
      <w:r w:rsidR="007C3B0C" w:rsidRPr="008F1A7E">
        <w:rPr>
          <w:rFonts w:ascii="Arial" w:hAnsi="Arial" w:cs="Arial"/>
        </w:rPr>
        <w:t xml:space="preserve">. We </w:t>
      </w:r>
      <w:r w:rsidR="00522C70" w:rsidRPr="008F1A7E">
        <w:rPr>
          <w:rFonts w:ascii="Arial" w:hAnsi="Arial" w:cs="Arial"/>
        </w:rPr>
        <w:t>expect</w:t>
      </w:r>
      <w:r w:rsidR="007C3B0C" w:rsidRPr="008F1A7E">
        <w:rPr>
          <w:rFonts w:ascii="Arial" w:hAnsi="Arial" w:cs="Arial"/>
        </w:rPr>
        <w:t xml:space="preserve"> that this amount will be £25k-£75k of the £200k grant. </w:t>
      </w:r>
      <w:r w:rsidR="00522C70" w:rsidRPr="008F1A7E">
        <w:rPr>
          <w:rFonts w:ascii="Arial" w:hAnsi="Arial" w:cs="Arial"/>
        </w:rPr>
        <w:t>The provider</w:t>
      </w:r>
      <w:r w:rsidR="007C3B0C" w:rsidRPr="008F1A7E">
        <w:rPr>
          <w:rFonts w:ascii="Arial" w:hAnsi="Arial" w:cs="Arial"/>
        </w:rPr>
        <w:t xml:space="preserve"> will be expected to articulate how they will manage this pot,</w:t>
      </w:r>
      <w:r w:rsidR="004737B4">
        <w:rPr>
          <w:rFonts w:ascii="Arial" w:hAnsi="Arial" w:cs="Arial"/>
        </w:rPr>
        <w:t xml:space="preserve"> including</w:t>
      </w:r>
      <w:r w:rsidR="007C3B0C" w:rsidRPr="008F1A7E">
        <w:rPr>
          <w:rFonts w:ascii="Arial" w:hAnsi="Arial" w:cs="Arial"/>
        </w:rPr>
        <w:t xml:space="preserve"> the amount they will allocate to this aspect of the project and how service users will bid for funding from this pot. </w:t>
      </w:r>
    </w:p>
    <w:p w14:paraId="684A1598" w14:textId="77777777" w:rsidR="000F2FD1" w:rsidRPr="008F1A7E" w:rsidRDefault="000F2FD1" w:rsidP="008F1A7E">
      <w:pPr>
        <w:jc w:val="both"/>
        <w:rPr>
          <w:rFonts w:ascii="Arial" w:hAnsi="Arial" w:cs="Arial"/>
        </w:rPr>
      </w:pPr>
    </w:p>
    <w:p w14:paraId="684A1599" w14:textId="1ABE2FC8" w:rsidR="000F2FD1" w:rsidRPr="008F1A7E" w:rsidRDefault="00032B0B" w:rsidP="008F1A7E">
      <w:pPr>
        <w:jc w:val="both"/>
        <w:rPr>
          <w:rFonts w:ascii="Arial" w:hAnsi="Arial" w:cs="Arial"/>
          <w:b/>
        </w:rPr>
      </w:pPr>
      <w:r w:rsidRPr="008F1A7E">
        <w:rPr>
          <w:rFonts w:ascii="Arial" w:hAnsi="Arial" w:cs="Arial"/>
          <w:b/>
        </w:rPr>
        <w:t>6</w:t>
      </w:r>
      <w:r w:rsidR="00EC345D" w:rsidRPr="008F1A7E">
        <w:rPr>
          <w:rFonts w:ascii="Arial" w:hAnsi="Arial" w:cs="Arial"/>
          <w:b/>
        </w:rPr>
        <w:t>.</w:t>
      </w:r>
      <w:r w:rsidR="00EC345D" w:rsidRPr="008F1A7E">
        <w:rPr>
          <w:rFonts w:ascii="Arial" w:hAnsi="Arial" w:cs="Arial"/>
          <w:b/>
        </w:rPr>
        <w:tab/>
      </w:r>
      <w:r w:rsidR="000F2FD1" w:rsidRPr="008F1A7E">
        <w:rPr>
          <w:rFonts w:ascii="Arial" w:hAnsi="Arial" w:cs="Arial"/>
          <w:b/>
        </w:rPr>
        <w:t xml:space="preserve">Evaluation </w:t>
      </w:r>
    </w:p>
    <w:p w14:paraId="26A55632" w14:textId="4A1A3643" w:rsidR="004737B4" w:rsidRPr="008F1A7E" w:rsidRDefault="00032B0B" w:rsidP="008F1A7E">
      <w:pPr>
        <w:jc w:val="both"/>
        <w:rPr>
          <w:rFonts w:ascii="Arial" w:hAnsi="Arial" w:cs="Arial"/>
        </w:rPr>
      </w:pPr>
      <w:r>
        <w:rPr>
          <w:rFonts w:ascii="Arial" w:hAnsi="Arial" w:cs="Arial"/>
        </w:rPr>
        <w:t>6</w:t>
      </w:r>
      <w:r w:rsidR="000F2FD1" w:rsidRPr="008F1A7E">
        <w:rPr>
          <w:rFonts w:ascii="Arial" w:hAnsi="Arial" w:cs="Arial"/>
        </w:rPr>
        <w:t>.1 The OPCC will be commissioning an evaluation of this service, from academics at Birmingham City University. The provider must maintain a</w:t>
      </w:r>
      <w:r w:rsidR="004737B4">
        <w:rPr>
          <w:rFonts w:ascii="Arial" w:hAnsi="Arial" w:cs="Arial"/>
        </w:rPr>
        <w:t xml:space="preserve"> close</w:t>
      </w:r>
      <w:r w:rsidR="000F2FD1" w:rsidRPr="008F1A7E">
        <w:rPr>
          <w:rFonts w:ascii="Arial" w:hAnsi="Arial" w:cs="Arial"/>
        </w:rPr>
        <w:t xml:space="preserve"> relationship with the evaluators to facilitate their work.</w:t>
      </w:r>
      <w:r w:rsidR="00D24058" w:rsidRPr="008F1A7E">
        <w:rPr>
          <w:rFonts w:ascii="Arial" w:hAnsi="Arial" w:cs="Arial"/>
        </w:rPr>
        <w:t xml:space="preserve"> Specific information will need to be collected throughout service delivery. This information will be specified by the evaluator on awarding of the grant. </w:t>
      </w:r>
    </w:p>
    <w:p w14:paraId="684A159B" w14:textId="77777777" w:rsidR="005F45B7" w:rsidRPr="008F1A7E" w:rsidRDefault="005F45B7" w:rsidP="008F1A7E">
      <w:pPr>
        <w:jc w:val="both"/>
        <w:rPr>
          <w:rFonts w:ascii="Arial" w:hAnsi="Arial" w:cs="Arial"/>
        </w:rPr>
      </w:pPr>
    </w:p>
    <w:p w14:paraId="684A159C" w14:textId="2B27AAF4" w:rsidR="000F2FD1" w:rsidRPr="008F1A7E" w:rsidRDefault="00032B0B" w:rsidP="008F1A7E">
      <w:pPr>
        <w:jc w:val="both"/>
        <w:rPr>
          <w:rFonts w:ascii="Arial" w:hAnsi="Arial" w:cs="Arial"/>
          <w:b/>
        </w:rPr>
      </w:pPr>
      <w:r w:rsidRPr="008F1A7E">
        <w:rPr>
          <w:rFonts w:ascii="Arial" w:hAnsi="Arial" w:cs="Arial"/>
          <w:b/>
        </w:rPr>
        <w:t>7</w:t>
      </w:r>
      <w:r w:rsidR="000F2FD1" w:rsidRPr="008F1A7E">
        <w:rPr>
          <w:rFonts w:ascii="Arial" w:hAnsi="Arial" w:cs="Arial"/>
          <w:b/>
        </w:rPr>
        <w:t xml:space="preserve">. </w:t>
      </w:r>
      <w:r w:rsidR="00610674">
        <w:rPr>
          <w:rFonts w:ascii="Arial" w:hAnsi="Arial" w:cs="Arial"/>
          <w:b/>
        </w:rPr>
        <w:tab/>
      </w:r>
      <w:r w:rsidR="000F2FD1" w:rsidRPr="008F1A7E">
        <w:rPr>
          <w:rFonts w:ascii="Arial" w:hAnsi="Arial" w:cs="Arial"/>
          <w:b/>
        </w:rPr>
        <w:t xml:space="preserve">Governance </w:t>
      </w:r>
    </w:p>
    <w:p w14:paraId="684A159D" w14:textId="2BD61867" w:rsidR="000F2FD1" w:rsidRPr="008F1A7E" w:rsidRDefault="00032B0B" w:rsidP="008F1A7E">
      <w:pPr>
        <w:jc w:val="both"/>
        <w:rPr>
          <w:rFonts w:ascii="Arial" w:hAnsi="Arial" w:cs="Arial"/>
        </w:rPr>
      </w:pPr>
      <w:r>
        <w:rPr>
          <w:rFonts w:ascii="Arial" w:hAnsi="Arial" w:cs="Arial"/>
        </w:rPr>
        <w:t>7</w:t>
      </w:r>
      <w:r w:rsidR="000F2FD1" w:rsidRPr="008F1A7E">
        <w:rPr>
          <w:rFonts w:ascii="Arial" w:hAnsi="Arial" w:cs="Arial"/>
        </w:rPr>
        <w:t xml:space="preserve">.1 The successful service provider must be able to demonstrate sufficient levels of internal and external governance that clearly demonstrate clarity of accountability.  </w:t>
      </w:r>
    </w:p>
    <w:p w14:paraId="684A159E" w14:textId="77777777" w:rsidR="00D24058" w:rsidRPr="008F1A7E" w:rsidRDefault="00D24058" w:rsidP="008F1A7E">
      <w:pPr>
        <w:jc w:val="both"/>
        <w:rPr>
          <w:rFonts w:ascii="Arial" w:hAnsi="Arial" w:cs="Arial"/>
        </w:rPr>
      </w:pPr>
    </w:p>
    <w:p w14:paraId="684A159F" w14:textId="04E26DC1" w:rsidR="000F2FD1" w:rsidRPr="008F1A7E" w:rsidRDefault="00032B0B" w:rsidP="008F1A7E">
      <w:pPr>
        <w:jc w:val="both"/>
        <w:rPr>
          <w:rFonts w:ascii="Arial" w:hAnsi="Arial" w:cs="Arial"/>
        </w:rPr>
      </w:pPr>
      <w:r>
        <w:rPr>
          <w:rFonts w:ascii="Arial" w:hAnsi="Arial" w:cs="Arial"/>
        </w:rPr>
        <w:t>8</w:t>
      </w:r>
      <w:r w:rsidR="000F2FD1" w:rsidRPr="008F1A7E">
        <w:rPr>
          <w:rFonts w:ascii="Arial" w:hAnsi="Arial" w:cs="Arial"/>
        </w:rPr>
        <w:t>.</w:t>
      </w:r>
      <w:r w:rsidR="00610674">
        <w:rPr>
          <w:rFonts w:ascii="Arial" w:hAnsi="Arial" w:cs="Arial"/>
        </w:rPr>
        <w:tab/>
      </w:r>
      <w:r w:rsidR="000F2FD1" w:rsidRPr="008F1A7E">
        <w:rPr>
          <w:rFonts w:ascii="Arial" w:hAnsi="Arial" w:cs="Arial"/>
          <w:b/>
        </w:rPr>
        <w:t>Performance Management</w:t>
      </w:r>
      <w:r w:rsidR="000F2FD1" w:rsidRPr="008F1A7E">
        <w:rPr>
          <w:rFonts w:ascii="Arial" w:hAnsi="Arial" w:cs="Arial"/>
        </w:rPr>
        <w:t xml:space="preserve">  </w:t>
      </w:r>
    </w:p>
    <w:p w14:paraId="684A15A0" w14:textId="7D993BA8" w:rsidR="000F2FD1" w:rsidRPr="008F1A7E" w:rsidRDefault="00032B0B" w:rsidP="008F1A7E">
      <w:pPr>
        <w:jc w:val="both"/>
        <w:rPr>
          <w:rFonts w:ascii="Arial" w:hAnsi="Arial" w:cs="Arial"/>
        </w:rPr>
      </w:pPr>
      <w:r>
        <w:rPr>
          <w:rFonts w:ascii="Arial" w:hAnsi="Arial" w:cs="Arial"/>
        </w:rPr>
        <w:t>8</w:t>
      </w:r>
      <w:r w:rsidR="000F2FD1" w:rsidRPr="008F1A7E">
        <w:rPr>
          <w:rFonts w:ascii="Arial" w:hAnsi="Arial" w:cs="Arial"/>
        </w:rPr>
        <w:t xml:space="preserve">.1 The OPCC expects on a quarterly basis: </w:t>
      </w:r>
    </w:p>
    <w:p w14:paraId="684A15A1" w14:textId="77777777" w:rsidR="000F2FD1" w:rsidRPr="008F1A7E" w:rsidRDefault="000F2FD1" w:rsidP="008F1A7E">
      <w:pPr>
        <w:ind w:left="720" w:hanging="720"/>
        <w:jc w:val="both"/>
        <w:rPr>
          <w:rFonts w:ascii="Arial" w:hAnsi="Arial" w:cs="Arial"/>
        </w:rPr>
      </w:pPr>
      <w:r w:rsidRPr="008F1A7E">
        <w:rPr>
          <w:rFonts w:ascii="Arial" w:hAnsi="Arial" w:cs="Arial"/>
        </w:rPr>
        <w:t>•</w:t>
      </w:r>
      <w:r w:rsidRPr="008F1A7E">
        <w:rPr>
          <w:rFonts w:ascii="Arial" w:hAnsi="Arial" w:cs="Arial"/>
        </w:rPr>
        <w:tab/>
        <w:t xml:space="preserve">A consolidated, comprehensive written update in a prescribed format on each case, detailing outcomes, if objectives were achieved and any recommendations including transformation opportunities/needs assessment. </w:t>
      </w:r>
    </w:p>
    <w:p w14:paraId="684A15A2" w14:textId="77777777" w:rsidR="000F2FD1" w:rsidRPr="008F1A7E" w:rsidRDefault="000F2FD1" w:rsidP="008F1A7E">
      <w:pPr>
        <w:jc w:val="both"/>
        <w:rPr>
          <w:rFonts w:ascii="Arial" w:hAnsi="Arial" w:cs="Arial"/>
        </w:rPr>
      </w:pPr>
      <w:r w:rsidRPr="008F1A7E">
        <w:rPr>
          <w:rFonts w:ascii="Arial" w:hAnsi="Arial" w:cs="Arial"/>
        </w:rPr>
        <w:t>•</w:t>
      </w:r>
      <w:r w:rsidRPr="008F1A7E">
        <w:rPr>
          <w:rFonts w:ascii="Arial" w:hAnsi="Arial" w:cs="Arial"/>
        </w:rPr>
        <w:tab/>
        <w:t xml:space="preserve">A breakdown of face to face and admin hours utilised </w:t>
      </w:r>
    </w:p>
    <w:p w14:paraId="684A15A3" w14:textId="77777777" w:rsidR="000F2FD1" w:rsidRPr="008F1A7E" w:rsidRDefault="000F2FD1" w:rsidP="008F1A7E">
      <w:pPr>
        <w:ind w:left="720" w:hanging="720"/>
        <w:jc w:val="both"/>
        <w:rPr>
          <w:rFonts w:ascii="Arial" w:hAnsi="Arial" w:cs="Arial"/>
        </w:rPr>
      </w:pPr>
      <w:r w:rsidRPr="008F1A7E">
        <w:rPr>
          <w:rFonts w:ascii="Arial" w:hAnsi="Arial" w:cs="Arial"/>
        </w:rPr>
        <w:t>•</w:t>
      </w:r>
      <w:r w:rsidRPr="008F1A7E">
        <w:rPr>
          <w:rFonts w:ascii="Arial" w:hAnsi="Arial" w:cs="Arial"/>
        </w:rPr>
        <w:tab/>
        <w:t xml:space="preserve">Progress made since last quarter along with a realistic appraisal of challenges and obstacles to be overcome. </w:t>
      </w:r>
    </w:p>
    <w:p w14:paraId="22C8780E" w14:textId="7A92A539" w:rsidR="004737B4" w:rsidRDefault="00032B0B" w:rsidP="008F1A7E">
      <w:pPr>
        <w:jc w:val="both"/>
        <w:rPr>
          <w:rFonts w:ascii="Arial" w:hAnsi="Arial" w:cs="Arial"/>
        </w:rPr>
      </w:pPr>
      <w:r>
        <w:rPr>
          <w:rFonts w:ascii="Arial" w:hAnsi="Arial" w:cs="Arial"/>
        </w:rPr>
        <w:t>8</w:t>
      </w:r>
      <w:r w:rsidR="000F2FD1" w:rsidRPr="008F1A7E">
        <w:rPr>
          <w:rFonts w:ascii="Arial" w:hAnsi="Arial" w:cs="Arial"/>
        </w:rPr>
        <w:t>.2 The success of the service will be measured using IPS Grow’s ‘IPS key performance and outcomes framework’. (</w:t>
      </w:r>
      <w:hyperlink r:id="rId11" w:history="1">
        <w:r w:rsidR="004737B4" w:rsidRPr="008F1A7E">
          <w:rPr>
            <w:rStyle w:val="Hyperlink"/>
            <w:rFonts w:ascii="Arial" w:hAnsi="Arial" w:cs="Arial"/>
          </w:rPr>
          <w:t>http://ipsgrow.org.uk/uploads/pdf/IPS-Grow-Recommended-Key-Performance-Indicators-and-Outcomes-framework-28.8.19.pdf</w:t>
        </w:r>
      </w:hyperlink>
      <w:r w:rsidR="000F2FD1" w:rsidRPr="008F1A7E">
        <w:rPr>
          <w:rFonts w:ascii="Arial" w:hAnsi="Arial" w:cs="Arial"/>
        </w:rPr>
        <w:t xml:space="preserve">) </w:t>
      </w:r>
    </w:p>
    <w:p w14:paraId="684A15A5" w14:textId="66D96C06" w:rsidR="000F2FD1" w:rsidRPr="008F1A7E" w:rsidRDefault="00032B0B" w:rsidP="008F1A7E">
      <w:pPr>
        <w:jc w:val="both"/>
        <w:rPr>
          <w:rFonts w:ascii="Arial" w:hAnsi="Arial" w:cs="Arial"/>
        </w:rPr>
      </w:pPr>
      <w:r>
        <w:rPr>
          <w:rFonts w:ascii="Arial" w:hAnsi="Arial" w:cs="Arial"/>
        </w:rPr>
        <w:t>8</w:t>
      </w:r>
      <w:r w:rsidR="000F2FD1" w:rsidRPr="008F1A7E">
        <w:rPr>
          <w:rFonts w:ascii="Arial" w:hAnsi="Arial" w:cs="Arial"/>
        </w:rPr>
        <w:t>.3 Example Metric(s) of success for people accessing IPS services who are unemployed at point of referral</w:t>
      </w:r>
      <w:r w:rsidR="00992CD3" w:rsidRPr="008F1A7E">
        <w:rPr>
          <w:rFonts w:ascii="Arial" w:hAnsi="Arial" w:cs="Arial"/>
        </w:rPr>
        <w:t xml:space="preserve"> include</w:t>
      </w:r>
      <w:r w:rsidR="000F2FD1" w:rsidRPr="008F1A7E">
        <w:rPr>
          <w:rFonts w:ascii="Arial" w:hAnsi="Arial" w:cs="Arial"/>
        </w:rPr>
        <w:t xml:space="preserve">: </w:t>
      </w:r>
    </w:p>
    <w:p w14:paraId="684A15A6" w14:textId="77777777" w:rsidR="000F2FD1" w:rsidRPr="008F1A7E" w:rsidRDefault="000F2FD1" w:rsidP="008F1A7E">
      <w:pPr>
        <w:jc w:val="both"/>
        <w:rPr>
          <w:rFonts w:ascii="Arial" w:hAnsi="Arial" w:cs="Arial"/>
        </w:rPr>
      </w:pPr>
      <w:r w:rsidRPr="008F1A7E">
        <w:rPr>
          <w:rFonts w:ascii="Arial" w:hAnsi="Arial" w:cs="Arial"/>
        </w:rPr>
        <w:t>•</w:t>
      </w:r>
      <w:r w:rsidRPr="008F1A7E">
        <w:rPr>
          <w:rFonts w:ascii="Arial" w:hAnsi="Arial" w:cs="Arial"/>
        </w:rPr>
        <w:tab/>
        <w:t>Number of referrals to the service</w:t>
      </w:r>
    </w:p>
    <w:p w14:paraId="684A15A7" w14:textId="77777777" w:rsidR="000F2FD1" w:rsidRPr="008F1A7E" w:rsidRDefault="000F2FD1" w:rsidP="008F1A7E">
      <w:pPr>
        <w:ind w:left="720" w:hanging="720"/>
        <w:jc w:val="both"/>
        <w:rPr>
          <w:rFonts w:ascii="Arial" w:hAnsi="Arial" w:cs="Arial"/>
        </w:rPr>
      </w:pPr>
      <w:r w:rsidRPr="008F1A7E">
        <w:rPr>
          <w:rFonts w:ascii="Arial" w:hAnsi="Arial" w:cs="Arial"/>
        </w:rPr>
        <w:t>•</w:t>
      </w:r>
      <w:r w:rsidRPr="008F1A7E">
        <w:rPr>
          <w:rFonts w:ascii="Arial" w:hAnsi="Arial" w:cs="Arial"/>
        </w:rPr>
        <w:tab/>
        <w:t>Number of new referrals to the service during the financial year that become actively engaged with the service.</w:t>
      </w:r>
    </w:p>
    <w:p w14:paraId="684A15A8" w14:textId="77777777" w:rsidR="000F2FD1" w:rsidRPr="008F1A7E" w:rsidRDefault="000F2FD1" w:rsidP="008F1A7E">
      <w:pPr>
        <w:jc w:val="both"/>
        <w:rPr>
          <w:rFonts w:ascii="Arial" w:hAnsi="Arial" w:cs="Arial"/>
        </w:rPr>
      </w:pPr>
      <w:r w:rsidRPr="008F1A7E">
        <w:rPr>
          <w:rFonts w:ascii="Arial" w:hAnsi="Arial" w:cs="Arial"/>
        </w:rPr>
        <w:lastRenderedPageBreak/>
        <w:t>•</w:t>
      </w:r>
      <w:r w:rsidRPr="008F1A7E">
        <w:rPr>
          <w:rFonts w:ascii="Arial" w:hAnsi="Arial" w:cs="Arial"/>
        </w:rPr>
        <w:tab/>
        <w:t>No of active cases carried over from the previous financial year</w:t>
      </w:r>
    </w:p>
    <w:p w14:paraId="684A15A9" w14:textId="77777777" w:rsidR="000F2FD1" w:rsidRPr="008F1A7E" w:rsidRDefault="000F2FD1" w:rsidP="008F1A7E">
      <w:pPr>
        <w:jc w:val="both"/>
        <w:rPr>
          <w:rFonts w:ascii="Arial" w:hAnsi="Arial" w:cs="Arial"/>
        </w:rPr>
      </w:pPr>
      <w:r w:rsidRPr="008F1A7E">
        <w:rPr>
          <w:rFonts w:ascii="Arial" w:hAnsi="Arial" w:cs="Arial"/>
        </w:rPr>
        <w:t>•</w:t>
      </w:r>
      <w:r w:rsidRPr="008F1A7E">
        <w:rPr>
          <w:rFonts w:ascii="Arial" w:hAnsi="Arial" w:cs="Arial"/>
        </w:rPr>
        <w:tab/>
        <w:t>Number of people on the active caseload at any one time</w:t>
      </w:r>
    </w:p>
    <w:p w14:paraId="684A15AA" w14:textId="08D2591C" w:rsidR="000F2FD1" w:rsidRPr="008F1A7E" w:rsidRDefault="000F2FD1" w:rsidP="008F1A7E">
      <w:pPr>
        <w:jc w:val="both"/>
        <w:rPr>
          <w:rFonts w:ascii="Arial" w:hAnsi="Arial" w:cs="Arial"/>
        </w:rPr>
      </w:pPr>
      <w:r w:rsidRPr="008F1A7E">
        <w:rPr>
          <w:rFonts w:ascii="Arial" w:hAnsi="Arial" w:cs="Arial"/>
        </w:rPr>
        <w:t>•</w:t>
      </w:r>
      <w:r w:rsidRPr="008F1A7E">
        <w:rPr>
          <w:rFonts w:ascii="Arial" w:hAnsi="Arial" w:cs="Arial"/>
        </w:rPr>
        <w:tab/>
        <w:t>Number of people starting paid employment</w:t>
      </w:r>
      <w:r w:rsidR="00710327">
        <w:rPr>
          <w:rFonts w:ascii="Arial" w:hAnsi="Arial" w:cs="Arial"/>
        </w:rPr>
        <w:t xml:space="preserve">/starting their own business </w:t>
      </w:r>
    </w:p>
    <w:p w14:paraId="684A15AB" w14:textId="0BF8936C" w:rsidR="000F2FD1" w:rsidRDefault="000F2FD1" w:rsidP="008F1A7E">
      <w:pPr>
        <w:jc w:val="both"/>
        <w:rPr>
          <w:rFonts w:ascii="Arial" w:hAnsi="Arial" w:cs="Arial"/>
        </w:rPr>
      </w:pPr>
      <w:r w:rsidRPr="008F1A7E">
        <w:rPr>
          <w:rFonts w:ascii="Arial" w:hAnsi="Arial" w:cs="Arial"/>
        </w:rPr>
        <w:t>•</w:t>
      </w:r>
      <w:r w:rsidRPr="008F1A7E">
        <w:rPr>
          <w:rFonts w:ascii="Arial" w:hAnsi="Arial" w:cs="Arial"/>
        </w:rPr>
        <w:tab/>
        <w:t>Number of jobs for indiv</w:t>
      </w:r>
      <w:r w:rsidR="00710327">
        <w:rPr>
          <w:rFonts w:ascii="Arial" w:hAnsi="Arial" w:cs="Arial"/>
        </w:rPr>
        <w:t>iduals achieving paid employment</w:t>
      </w:r>
    </w:p>
    <w:p w14:paraId="145C38E7" w14:textId="2236D0D5" w:rsidR="004737B4" w:rsidRPr="008F1A7E" w:rsidRDefault="004737B4" w:rsidP="008F1A7E">
      <w:pPr>
        <w:jc w:val="both"/>
        <w:rPr>
          <w:rFonts w:ascii="Arial" w:hAnsi="Arial" w:cs="Arial"/>
        </w:rPr>
      </w:pPr>
    </w:p>
    <w:tbl>
      <w:tblPr>
        <w:tblW w:w="10368" w:type="dxa"/>
        <w:tblInd w:w="-108" w:type="dxa"/>
        <w:tblBorders>
          <w:top w:val="nil"/>
          <w:left w:val="nil"/>
          <w:bottom w:val="nil"/>
          <w:right w:val="nil"/>
        </w:tblBorders>
        <w:tblLayout w:type="fixed"/>
        <w:tblLook w:val="0000" w:firstRow="0" w:lastRow="0" w:firstColumn="0" w:lastColumn="0" w:noHBand="0" w:noVBand="0"/>
      </w:tblPr>
      <w:tblGrid>
        <w:gridCol w:w="10368"/>
      </w:tblGrid>
      <w:tr w:rsidR="002A533B" w:rsidRPr="006714EB" w14:paraId="684A15BB" w14:textId="77777777" w:rsidTr="00FD1FDE">
        <w:trPr>
          <w:trHeight w:val="700"/>
        </w:trPr>
        <w:tc>
          <w:tcPr>
            <w:tcW w:w="10368" w:type="dxa"/>
          </w:tcPr>
          <w:p w14:paraId="684A15AC" w14:textId="2255CC5B" w:rsidR="002A533B" w:rsidRPr="006714EB" w:rsidRDefault="00032B0B">
            <w:pPr>
              <w:spacing w:after="5" w:line="271" w:lineRule="auto"/>
              <w:ind w:left="10" w:right="24" w:hanging="10"/>
              <w:jc w:val="both"/>
              <w:rPr>
                <w:rFonts w:ascii="Arial" w:eastAsia="Arial" w:hAnsi="Arial" w:cs="Arial"/>
                <w:b/>
                <w:color w:val="000000"/>
                <w:lang w:eastAsia="en-GB"/>
              </w:rPr>
            </w:pPr>
            <w:r>
              <w:rPr>
                <w:rFonts w:ascii="Arial" w:eastAsia="Arial" w:hAnsi="Arial" w:cs="Arial"/>
                <w:b/>
                <w:color w:val="000000"/>
                <w:lang w:eastAsia="en-GB"/>
              </w:rPr>
              <w:t>8</w:t>
            </w:r>
            <w:r w:rsidR="00FF5330" w:rsidRPr="006714EB">
              <w:rPr>
                <w:rFonts w:ascii="Arial" w:eastAsia="Arial" w:hAnsi="Arial" w:cs="Arial"/>
                <w:b/>
                <w:color w:val="000000"/>
                <w:lang w:eastAsia="en-GB"/>
              </w:rPr>
              <w:t xml:space="preserve">.4 </w:t>
            </w:r>
            <w:r w:rsidR="00132254">
              <w:rPr>
                <w:rFonts w:ascii="Arial" w:eastAsia="Arial" w:hAnsi="Arial" w:cs="Arial"/>
                <w:b/>
                <w:color w:val="000000"/>
                <w:lang w:eastAsia="en-GB"/>
              </w:rPr>
              <w:t>Key Performance Indicator Example</w:t>
            </w:r>
            <w:r w:rsidR="002A533B" w:rsidRPr="006714EB">
              <w:rPr>
                <w:rFonts w:ascii="Arial" w:eastAsia="Arial" w:hAnsi="Arial" w:cs="Arial"/>
                <w:b/>
                <w:color w:val="000000"/>
                <w:lang w:eastAsia="en-GB"/>
              </w:rPr>
              <w:t xml:space="preserve"> for Individual Employment Specialists </w:t>
            </w:r>
          </w:p>
          <w:p w14:paraId="684A15AD" w14:textId="77777777" w:rsidR="00722EA0" w:rsidRPr="006714EB" w:rsidRDefault="00722EA0">
            <w:pPr>
              <w:spacing w:after="5" w:line="271" w:lineRule="auto"/>
              <w:ind w:left="10" w:right="24" w:hanging="10"/>
              <w:jc w:val="both"/>
              <w:rPr>
                <w:rFonts w:ascii="Arial" w:eastAsia="Arial" w:hAnsi="Arial" w:cs="Arial"/>
                <w:color w:val="000000"/>
                <w:lang w:eastAsia="en-GB"/>
              </w:rPr>
            </w:pPr>
          </w:p>
          <w:p w14:paraId="684A15AE" w14:textId="77777777" w:rsidR="002A533B" w:rsidRPr="008F1A7E" w:rsidRDefault="002A533B">
            <w:pPr>
              <w:spacing w:after="5" w:line="271" w:lineRule="auto"/>
              <w:ind w:left="10" w:right="24" w:hanging="10"/>
              <w:jc w:val="both"/>
              <w:rPr>
                <w:rFonts w:ascii="Arial" w:eastAsia="Arial" w:hAnsi="Arial" w:cs="Arial"/>
                <w:i/>
                <w:color w:val="000000"/>
                <w:lang w:eastAsia="en-GB"/>
              </w:rPr>
            </w:pPr>
            <w:r w:rsidRPr="008F1A7E">
              <w:rPr>
                <w:rFonts w:ascii="Arial" w:eastAsia="Arial" w:hAnsi="Arial" w:cs="Arial"/>
                <w:i/>
                <w:color w:val="000000"/>
                <w:lang w:eastAsia="en-GB"/>
              </w:rPr>
              <w:t xml:space="preserve">Year 1 – based on 1.0 </w:t>
            </w:r>
            <w:proofErr w:type="spellStart"/>
            <w:r w:rsidRPr="008F1A7E">
              <w:rPr>
                <w:rFonts w:ascii="Arial" w:eastAsia="Arial" w:hAnsi="Arial" w:cs="Arial"/>
                <w:i/>
                <w:color w:val="000000"/>
                <w:lang w:eastAsia="en-GB"/>
              </w:rPr>
              <w:t>wte</w:t>
            </w:r>
            <w:proofErr w:type="spellEnd"/>
          </w:p>
          <w:p w14:paraId="684A15AF" w14:textId="77777777" w:rsidR="002A533B" w:rsidRPr="006714EB" w:rsidRDefault="002A533B">
            <w:pPr>
              <w:spacing w:after="5" w:line="271" w:lineRule="auto"/>
              <w:ind w:left="10" w:right="24" w:hanging="10"/>
              <w:jc w:val="both"/>
              <w:rPr>
                <w:rFonts w:ascii="Arial" w:eastAsia="Arial" w:hAnsi="Arial" w:cs="Arial"/>
                <w:b/>
                <w:i/>
                <w:color w:val="000000"/>
                <w:lang w:eastAsia="en-GB"/>
              </w:rPr>
            </w:pPr>
          </w:p>
          <w:p w14:paraId="684A15B0" w14:textId="77777777" w:rsidR="002A533B" w:rsidRPr="006714EB" w:rsidRDefault="002A533B">
            <w:pPr>
              <w:numPr>
                <w:ilvl w:val="0"/>
                <w:numId w:val="4"/>
              </w:numPr>
              <w:tabs>
                <w:tab w:val="num" w:pos="720"/>
              </w:tabs>
              <w:spacing w:after="0" w:line="360" w:lineRule="auto"/>
              <w:ind w:right="24" w:hanging="293"/>
              <w:jc w:val="both"/>
              <w:rPr>
                <w:rFonts w:ascii="Arial" w:eastAsia="Arial" w:hAnsi="Arial" w:cs="Arial"/>
                <w:color w:val="000000"/>
                <w:lang w:eastAsia="en-GB"/>
              </w:rPr>
            </w:pPr>
            <w:r w:rsidRPr="006714EB">
              <w:rPr>
                <w:rFonts w:ascii="Arial" w:eastAsia="Arial" w:hAnsi="Arial" w:cs="Arial"/>
                <w:color w:val="000000"/>
                <w:lang w:eastAsia="en-GB"/>
              </w:rPr>
              <w:t>At least 35 people to access the service per annum (</w:t>
            </w:r>
            <w:proofErr w:type="spellStart"/>
            <w:r w:rsidRPr="006714EB">
              <w:rPr>
                <w:rFonts w:ascii="Arial" w:eastAsia="Arial" w:hAnsi="Arial" w:cs="Arial"/>
                <w:color w:val="000000"/>
                <w:lang w:eastAsia="en-GB"/>
              </w:rPr>
              <w:t>pro rated</w:t>
            </w:r>
            <w:proofErr w:type="spellEnd"/>
            <w:r w:rsidRPr="006714EB">
              <w:rPr>
                <w:rFonts w:ascii="Arial" w:eastAsia="Arial" w:hAnsi="Arial" w:cs="Arial"/>
                <w:color w:val="000000"/>
                <w:lang w:eastAsia="en-GB"/>
              </w:rPr>
              <w:t xml:space="preserve"> based on when the ES starts in the financial year.</w:t>
            </w:r>
          </w:p>
          <w:p w14:paraId="684A15B1" w14:textId="77777777" w:rsidR="002A533B" w:rsidRPr="006714EB" w:rsidRDefault="002A533B">
            <w:pPr>
              <w:numPr>
                <w:ilvl w:val="0"/>
                <w:numId w:val="4"/>
              </w:numPr>
              <w:tabs>
                <w:tab w:val="num" w:pos="720"/>
              </w:tabs>
              <w:spacing w:after="0" w:line="360" w:lineRule="auto"/>
              <w:ind w:right="24" w:hanging="293"/>
              <w:jc w:val="both"/>
              <w:rPr>
                <w:rFonts w:ascii="Arial" w:eastAsia="Arial" w:hAnsi="Arial" w:cs="Arial"/>
                <w:color w:val="000000"/>
                <w:lang w:eastAsia="en-GB"/>
              </w:rPr>
            </w:pPr>
            <w:r w:rsidRPr="006714EB">
              <w:rPr>
                <w:rFonts w:ascii="Arial" w:eastAsia="Arial" w:hAnsi="Arial" w:cs="Arial"/>
                <w:color w:val="000000"/>
                <w:lang w:eastAsia="en-GB"/>
              </w:rPr>
              <w:t>At least 17 paid outcomes to be achieved (based on multiple outcomes)</w:t>
            </w:r>
          </w:p>
          <w:p w14:paraId="684A15B2" w14:textId="77777777" w:rsidR="002A533B" w:rsidRPr="006714EB" w:rsidRDefault="002A533B">
            <w:pPr>
              <w:tabs>
                <w:tab w:val="num" w:pos="720"/>
              </w:tabs>
              <w:spacing w:after="5" w:line="271" w:lineRule="auto"/>
              <w:ind w:left="10" w:right="24" w:hanging="10"/>
              <w:jc w:val="both"/>
              <w:rPr>
                <w:rFonts w:ascii="Arial" w:eastAsia="Arial" w:hAnsi="Arial" w:cs="Arial"/>
                <w:color w:val="000000"/>
                <w:lang w:eastAsia="en-GB"/>
              </w:rPr>
            </w:pPr>
          </w:p>
          <w:p w14:paraId="684A15B3" w14:textId="77777777" w:rsidR="002A533B" w:rsidRPr="008F1A7E" w:rsidRDefault="002A533B">
            <w:pPr>
              <w:spacing w:after="5" w:line="271" w:lineRule="auto"/>
              <w:ind w:left="10" w:right="24" w:hanging="10"/>
              <w:jc w:val="both"/>
              <w:rPr>
                <w:rFonts w:ascii="Arial" w:eastAsia="Arial" w:hAnsi="Arial" w:cs="Arial"/>
                <w:color w:val="000000"/>
                <w:lang w:eastAsia="en-GB"/>
              </w:rPr>
            </w:pPr>
            <w:r w:rsidRPr="008F1A7E">
              <w:rPr>
                <w:rFonts w:ascii="Arial" w:eastAsia="Arial" w:hAnsi="Arial" w:cs="Arial"/>
                <w:color w:val="000000"/>
                <w:lang w:eastAsia="en-GB"/>
              </w:rPr>
              <w:t xml:space="preserve">Year 2 – based 1.0 </w:t>
            </w:r>
            <w:proofErr w:type="spellStart"/>
            <w:r w:rsidRPr="008F1A7E">
              <w:rPr>
                <w:rFonts w:ascii="Arial" w:eastAsia="Arial" w:hAnsi="Arial" w:cs="Arial"/>
                <w:color w:val="000000"/>
                <w:lang w:eastAsia="en-GB"/>
              </w:rPr>
              <w:t>wte</w:t>
            </w:r>
            <w:proofErr w:type="spellEnd"/>
          </w:p>
          <w:p w14:paraId="684A15B4" w14:textId="77777777" w:rsidR="002A533B" w:rsidRPr="006714EB" w:rsidRDefault="002A533B">
            <w:pPr>
              <w:spacing w:after="5" w:line="271" w:lineRule="auto"/>
              <w:ind w:left="10" w:right="24" w:hanging="10"/>
              <w:jc w:val="both"/>
              <w:rPr>
                <w:rFonts w:ascii="Arial" w:eastAsia="Arial" w:hAnsi="Arial" w:cs="Arial"/>
                <w:color w:val="000000"/>
                <w:lang w:eastAsia="en-GB"/>
              </w:rPr>
            </w:pPr>
          </w:p>
          <w:p w14:paraId="684A15B5" w14:textId="77777777" w:rsidR="002A533B" w:rsidRPr="008F1A7E" w:rsidRDefault="002A533B">
            <w:pPr>
              <w:numPr>
                <w:ilvl w:val="0"/>
                <w:numId w:val="5"/>
              </w:numPr>
              <w:spacing w:after="0" w:line="360" w:lineRule="auto"/>
              <w:ind w:right="24"/>
              <w:jc w:val="both"/>
              <w:rPr>
                <w:rFonts w:ascii="Arial" w:eastAsia="Arial" w:hAnsi="Arial" w:cs="Arial"/>
                <w:color w:val="000000"/>
                <w:lang w:eastAsia="en-GB"/>
              </w:rPr>
            </w:pPr>
            <w:r w:rsidRPr="008F1A7E">
              <w:rPr>
                <w:rFonts w:ascii="Arial" w:eastAsia="Arial" w:hAnsi="Arial" w:cs="Arial"/>
                <w:color w:val="000000"/>
                <w:lang w:eastAsia="en-GB"/>
              </w:rPr>
              <w:t>At least 45 people access the service</w:t>
            </w:r>
          </w:p>
          <w:p w14:paraId="684A15B6" w14:textId="77777777" w:rsidR="002A533B" w:rsidRPr="008F1A7E" w:rsidRDefault="002A533B">
            <w:pPr>
              <w:numPr>
                <w:ilvl w:val="0"/>
                <w:numId w:val="5"/>
              </w:numPr>
              <w:spacing w:after="0" w:line="360" w:lineRule="auto"/>
              <w:ind w:right="24"/>
              <w:jc w:val="both"/>
              <w:rPr>
                <w:rFonts w:ascii="Arial" w:eastAsia="Arial" w:hAnsi="Arial" w:cs="Arial"/>
                <w:color w:val="000000"/>
                <w:lang w:eastAsia="en-GB"/>
              </w:rPr>
            </w:pPr>
            <w:r w:rsidRPr="008F1A7E">
              <w:rPr>
                <w:rFonts w:ascii="Arial" w:eastAsia="Arial" w:hAnsi="Arial" w:cs="Arial"/>
                <w:color w:val="000000"/>
                <w:lang w:eastAsia="en-GB"/>
              </w:rPr>
              <w:t>At least 22 paid outcomes are achieved (based on multiple outcomes)</w:t>
            </w:r>
          </w:p>
          <w:p w14:paraId="684A15B7" w14:textId="77777777" w:rsidR="002A533B" w:rsidRPr="008F1A7E" w:rsidRDefault="002A533B" w:rsidP="008F1A7E">
            <w:pPr>
              <w:autoSpaceDE w:val="0"/>
              <w:autoSpaceDN w:val="0"/>
              <w:adjustRightInd w:val="0"/>
              <w:spacing w:after="0" w:line="240" w:lineRule="auto"/>
              <w:jc w:val="both"/>
              <w:rPr>
                <w:rFonts w:ascii="Arial" w:hAnsi="Arial" w:cs="Arial"/>
                <w:color w:val="000000"/>
              </w:rPr>
            </w:pPr>
          </w:p>
          <w:p w14:paraId="684A15B8" w14:textId="549C0ADD" w:rsidR="00FF5330" w:rsidRPr="008F1A7E" w:rsidRDefault="00032B0B" w:rsidP="008F1A7E">
            <w:pPr>
              <w:autoSpaceDE w:val="0"/>
              <w:autoSpaceDN w:val="0"/>
              <w:adjustRightInd w:val="0"/>
              <w:spacing w:after="0" w:line="240" w:lineRule="auto"/>
              <w:ind w:left="10" w:hanging="10"/>
              <w:jc w:val="both"/>
              <w:rPr>
                <w:rFonts w:ascii="Arial" w:hAnsi="Arial" w:cs="Arial"/>
                <w:color w:val="000000"/>
              </w:rPr>
            </w:pPr>
            <w:r>
              <w:rPr>
                <w:rFonts w:ascii="Arial" w:hAnsi="Arial" w:cs="Arial"/>
                <w:color w:val="000000"/>
              </w:rPr>
              <w:t>8</w:t>
            </w:r>
            <w:r w:rsidR="00FF5330" w:rsidRPr="008F1A7E">
              <w:rPr>
                <w:rFonts w:ascii="Arial" w:hAnsi="Arial" w:cs="Arial"/>
                <w:color w:val="000000"/>
              </w:rPr>
              <w:t>.5</w:t>
            </w:r>
            <w:r w:rsidR="002A533B" w:rsidRPr="008F1A7E">
              <w:rPr>
                <w:rFonts w:ascii="Arial" w:hAnsi="Arial" w:cs="Arial"/>
                <w:color w:val="000000"/>
              </w:rPr>
              <w:t xml:space="preserve"> Fidelity must be maintained between this service and fully fledged IPS models.</w:t>
            </w:r>
          </w:p>
          <w:p w14:paraId="684A15B9" w14:textId="77777777" w:rsidR="00FF5330" w:rsidRDefault="00FF5330" w:rsidP="008F1A7E">
            <w:pPr>
              <w:autoSpaceDE w:val="0"/>
              <w:autoSpaceDN w:val="0"/>
              <w:adjustRightInd w:val="0"/>
              <w:spacing w:after="0" w:line="240" w:lineRule="auto"/>
              <w:ind w:left="10" w:hanging="10"/>
              <w:jc w:val="both"/>
              <w:rPr>
                <w:rFonts w:ascii="Arial" w:hAnsi="Arial" w:cs="Arial"/>
                <w:color w:val="000000"/>
              </w:rPr>
            </w:pPr>
          </w:p>
          <w:p w14:paraId="2235C0DC" w14:textId="77777777" w:rsidR="00610674" w:rsidRDefault="00610674" w:rsidP="008F1A7E">
            <w:pPr>
              <w:autoSpaceDE w:val="0"/>
              <w:autoSpaceDN w:val="0"/>
              <w:adjustRightInd w:val="0"/>
              <w:spacing w:after="0" w:line="240" w:lineRule="auto"/>
              <w:ind w:left="10" w:hanging="10"/>
              <w:jc w:val="both"/>
              <w:rPr>
                <w:rFonts w:ascii="Arial" w:hAnsi="Arial" w:cs="Arial"/>
                <w:color w:val="000000"/>
              </w:rPr>
            </w:pPr>
          </w:p>
          <w:p w14:paraId="03347CEF" w14:textId="77777777" w:rsidR="00610674" w:rsidRDefault="00610674" w:rsidP="008F1A7E">
            <w:pPr>
              <w:autoSpaceDE w:val="0"/>
              <w:autoSpaceDN w:val="0"/>
              <w:adjustRightInd w:val="0"/>
              <w:spacing w:after="0" w:line="240" w:lineRule="auto"/>
              <w:ind w:left="10" w:hanging="10"/>
              <w:jc w:val="both"/>
              <w:rPr>
                <w:rFonts w:ascii="Arial" w:hAnsi="Arial" w:cs="Arial"/>
                <w:color w:val="000000"/>
              </w:rPr>
            </w:pPr>
          </w:p>
          <w:p w14:paraId="0FA99B78" w14:textId="77777777" w:rsidR="00610674" w:rsidRPr="008F1A7E" w:rsidRDefault="00610674" w:rsidP="008F1A7E">
            <w:pPr>
              <w:autoSpaceDE w:val="0"/>
              <w:autoSpaceDN w:val="0"/>
              <w:adjustRightInd w:val="0"/>
              <w:spacing w:after="0" w:line="240" w:lineRule="auto"/>
              <w:ind w:left="10" w:hanging="10"/>
              <w:jc w:val="both"/>
              <w:rPr>
                <w:rFonts w:ascii="Arial" w:hAnsi="Arial" w:cs="Arial"/>
                <w:color w:val="000000"/>
              </w:rPr>
            </w:pPr>
          </w:p>
          <w:p w14:paraId="684A15BA" w14:textId="0159AE0F" w:rsidR="002A533B" w:rsidRPr="008F1A7E" w:rsidRDefault="00032B0B" w:rsidP="008F1A7E">
            <w:pPr>
              <w:autoSpaceDE w:val="0"/>
              <w:autoSpaceDN w:val="0"/>
              <w:adjustRightInd w:val="0"/>
              <w:spacing w:after="0" w:line="240" w:lineRule="auto"/>
              <w:ind w:left="10" w:hanging="10"/>
              <w:jc w:val="both"/>
              <w:rPr>
                <w:rFonts w:ascii="Arial" w:hAnsi="Arial" w:cs="Arial"/>
                <w:color w:val="000000"/>
              </w:rPr>
            </w:pPr>
            <w:r>
              <w:rPr>
                <w:rFonts w:ascii="Arial" w:hAnsi="Arial" w:cs="Arial"/>
                <w:color w:val="000000"/>
              </w:rPr>
              <w:t>8</w:t>
            </w:r>
            <w:r w:rsidR="00FF5330" w:rsidRPr="008F1A7E">
              <w:rPr>
                <w:rFonts w:ascii="Arial" w:hAnsi="Arial" w:cs="Arial"/>
                <w:color w:val="000000"/>
              </w:rPr>
              <w:t>.6</w:t>
            </w:r>
            <w:r w:rsidR="002A533B" w:rsidRPr="008F1A7E">
              <w:rPr>
                <w:rFonts w:ascii="Arial" w:hAnsi="Arial" w:cs="Arial"/>
                <w:color w:val="000000"/>
              </w:rPr>
              <w:t xml:space="preserve"> Fidelity Indicators to be tracked:</w:t>
            </w:r>
          </w:p>
        </w:tc>
      </w:tr>
    </w:tbl>
    <w:tbl>
      <w:tblPr>
        <w:tblpPr w:leftFromText="180" w:rightFromText="180" w:vertAnchor="page" w:horzAnchor="margin" w:tblpY="4297"/>
        <w:tblW w:w="10569" w:type="dxa"/>
        <w:tblBorders>
          <w:top w:val="nil"/>
          <w:left w:val="nil"/>
          <w:bottom w:val="nil"/>
          <w:right w:val="nil"/>
        </w:tblBorders>
        <w:tblLayout w:type="fixed"/>
        <w:tblLook w:val="0000" w:firstRow="0" w:lastRow="0" w:firstColumn="0" w:lastColumn="0" w:noHBand="0" w:noVBand="0"/>
      </w:tblPr>
      <w:tblGrid>
        <w:gridCol w:w="3523"/>
        <w:gridCol w:w="3565"/>
        <w:gridCol w:w="3481"/>
      </w:tblGrid>
      <w:tr w:rsidR="002A533B" w:rsidRPr="006714EB" w14:paraId="684A15BF" w14:textId="77777777" w:rsidTr="00FD1FDE">
        <w:trPr>
          <w:trHeight w:val="268"/>
        </w:trPr>
        <w:tc>
          <w:tcPr>
            <w:tcW w:w="3523" w:type="dxa"/>
          </w:tcPr>
          <w:p w14:paraId="684A15BC" w14:textId="77777777" w:rsidR="002A533B" w:rsidRPr="008F1A7E" w:rsidRDefault="002A533B" w:rsidP="0016378C">
            <w:pPr>
              <w:spacing w:after="5" w:line="271" w:lineRule="auto"/>
              <w:ind w:left="10" w:right="14" w:hanging="10"/>
              <w:jc w:val="both"/>
              <w:rPr>
                <w:rFonts w:ascii="Arial" w:eastAsia="Arial" w:hAnsi="Arial" w:cs="Arial"/>
                <w:color w:val="000000"/>
                <w:u w:val="single"/>
                <w:lang w:eastAsia="en-GB"/>
              </w:rPr>
            </w:pPr>
            <w:r w:rsidRPr="008F1A7E">
              <w:rPr>
                <w:rFonts w:ascii="Arial" w:eastAsia="Arial" w:hAnsi="Arial" w:cs="Arial"/>
                <w:color w:val="000000"/>
                <w:u w:val="single"/>
                <w:lang w:eastAsia="en-GB"/>
              </w:rPr>
              <w:lastRenderedPageBreak/>
              <w:t xml:space="preserve">Priority fidelity Indictors to track </w:t>
            </w:r>
          </w:p>
        </w:tc>
        <w:tc>
          <w:tcPr>
            <w:tcW w:w="3565" w:type="dxa"/>
          </w:tcPr>
          <w:p w14:paraId="684A15BD" w14:textId="77777777" w:rsidR="002A533B" w:rsidRPr="008F1A7E" w:rsidRDefault="002A533B" w:rsidP="0016378C">
            <w:pPr>
              <w:spacing w:after="5" w:line="271" w:lineRule="auto"/>
              <w:ind w:left="10" w:right="14" w:hanging="10"/>
              <w:jc w:val="both"/>
              <w:rPr>
                <w:rFonts w:ascii="Arial" w:eastAsia="Arial" w:hAnsi="Arial" w:cs="Arial"/>
                <w:color w:val="000000"/>
                <w:u w:val="single"/>
                <w:lang w:eastAsia="en-GB"/>
              </w:rPr>
            </w:pPr>
            <w:r w:rsidRPr="008F1A7E">
              <w:rPr>
                <w:rFonts w:ascii="Arial" w:eastAsia="Arial" w:hAnsi="Arial" w:cs="Arial"/>
                <w:color w:val="000000"/>
                <w:u w:val="single"/>
                <w:lang w:eastAsia="en-GB"/>
              </w:rPr>
              <w:t xml:space="preserve">Definition and rationale </w:t>
            </w:r>
          </w:p>
        </w:tc>
        <w:tc>
          <w:tcPr>
            <w:tcW w:w="3481" w:type="dxa"/>
          </w:tcPr>
          <w:p w14:paraId="684A15BE" w14:textId="77777777" w:rsidR="002A533B" w:rsidRPr="008F1A7E" w:rsidRDefault="002A533B" w:rsidP="0016378C">
            <w:pPr>
              <w:spacing w:after="5" w:line="271" w:lineRule="auto"/>
              <w:ind w:left="10" w:right="14" w:hanging="10"/>
              <w:jc w:val="both"/>
              <w:rPr>
                <w:rFonts w:ascii="Arial" w:eastAsia="Arial" w:hAnsi="Arial" w:cs="Arial"/>
                <w:color w:val="000000"/>
                <w:u w:val="single"/>
                <w:lang w:eastAsia="en-GB"/>
              </w:rPr>
            </w:pPr>
            <w:r w:rsidRPr="008F1A7E">
              <w:rPr>
                <w:rFonts w:ascii="Arial" w:eastAsia="Arial" w:hAnsi="Arial" w:cs="Arial"/>
                <w:color w:val="000000"/>
                <w:u w:val="single"/>
                <w:lang w:eastAsia="en-GB"/>
              </w:rPr>
              <w:t xml:space="preserve">Recommended evidence </w:t>
            </w:r>
          </w:p>
        </w:tc>
      </w:tr>
      <w:tr w:rsidR="002A533B" w:rsidRPr="006714EB" w14:paraId="684A15C3" w14:textId="77777777" w:rsidTr="00FD1FDE">
        <w:trPr>
          <w:trHeight w:val="268"/>
        </w:trPr>
        <w:tc>
          <w:tcPr>
            <w:tcW w:w="3523" w:type="dxa"/>
          </w:tcPr>
          <w:p w14:paraId="684A15C0" w14:textId="77777777" w:rsidR="002A533B" w:rsidRPr="008F1A7E" w:rsidRDefault="002A533B" w:rsidP="0016378C">
            <w:pPr>
              <w:spacing w:after="5" w:line="271" w:lineRule="auto"/>
              <w:ind w:right="14"/>
              <w:jc w:val="both"/>
              <w:rPr>
                <w:rFonts w:ascii="Arial" w:eastAsia="Arial" w:hAnsi="Arial" w:cs="Arial"/>
                <w:color w:val="000000"/>
                <w:u w:val="single"/>
                <w:lang w:eastAsia="en-GB"/>
              </w:rPr>
            </w:pPr>
          </w:p>
        </w:tc>
        <w:tc>
          <w:tcPr>
            <w:tcW w:w="3565" w:type="dxa"/>
          </w:tcPr>
          <w:p w14:paraId="684A15C1" w14:textId="77777777" w:rsidR="002A533B" w:rsidRPr="008F1A7E" w:rsidRDefault="002A533B" w:rsidP="0016378C">
            <w:pPr>
              <w:spacing w:after="5" w:line="271" w:lineRule="auto"/>
              <w:ind w:left="10" w:right="14" w:hanging="10"/>
              <w:jc w:val="both"/>
              <w:rPr>
                <w:rFonts w:ascii="Arial" w:eastAsia="Arial" w:hAnsi="Arial" w:cs="Arial"/>
                <w:color w:val="000000"/>
                <w:u w:val="single"/>
                <w:lang w:eastAsia="en-GB"/>
              </w:rPr>
            </w:pPr>
          </w:p>
        </w:tc>
        <w:tc>
          <w:tcPr>
            <w:tcW w:w="3481" w:type="dxa"/>
          </w:tcPr>
          <w:p w14:paraId="684A15C2" w14:textId="77777777" w:rsidR="002A533B" w:rsidRPr="008F1A7E" w:rsidRDefault="002A533B" w:rsidP="0016378C">
            <w:pPr>
              <w:spacing w:after="5" w:line="271" w:lineRule="auto"/>
              <w:ind w:left="10" w:right="14" w:hanging="10"/>
              <w:jc w:val="both"/>
              <w:rPr>
                <w:rFonts w:ascii="Arial" w:eastAsia="Arial" w:hAnsi="Arial" w:cs="Arial"/>
                <w:color w:val="000000"/>
                <w:u w:val="single"/>
                <w:lang w:eastAsia="en-GB"/>
              </w:rPr>
            </w:pPr>
          </w:p>
        </w:tc>
      </w:tr>
      <w:tr w:rsidR="002A533B" w:rsidRPr="006714EB" w14:paraId="684A15CC" w14:textId="77777777" w:rsidTr="00FD1FDE">
        <w:trPr>
          <w:trHeight w:val="5591"/>
        </w:trPr>
        <w:tc>
          <w:tcPr>
            <w:tcW w:w="3523" w:type="dxa"/>
          </w:tcPr>
          <w:p w14:paraId="684A15C4" w14:textId="77777777" w:rsidR="002A533B" w:rsidRPr="008F1A7E" w:rsidRDefault="002A533B" w:rsidP="0016378C">
            <w:pPr>
              <w:spacing w:after="5" w:line="271" w:lineRule="auto"/>
              <w:ind w:right="14"/>
              <w:jc w:val="both"/>
              <w:rPr>
                <w:rFonts w:ascii="Arial" w:eastAsia="Arial" w:hAnsi="Arial" w:cs="Arial"/>
                <w:color w:val="000000"/>
                <w:lang w:eastAsia="en-GB"/>
              </w:rPr>
            </w:pPr>
            <w:r w:rsidRPr="008F1A7E">
              <w:rPr>
                <w:rFonts w:ascii="Arial" w:eastAsia="Arial" w:hAnsi="Arial" w:cs="Arial"/>
                <w:color w:val="000000"/>
                <w:lang w:eastAsia="en-GB"/>
              </w:rPr>
              <w:t xml:space="preserve">Caseload size at any one time </w:t>
            </w:r>
          </w:p>
        </w:tc>
        <w:tc>
          <w:tcPr>
            <w:tcW w:w="3565" w:type="dxa"/>
          </w:tcPr>
          <w:p w14:paraId="684A15C5"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20-25 active cases </w:t>
            </w:r>
          </w:p>
          <w:p w14:paraId="684A15C6"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To score 5 on the fidelity scale, ES need to have a caseload of 20. However, it should be noted that many high performing IPS services suggest a caseload of 20-25, given some cases may be in transition, so by maintaining 20-25 it is more likely that there will be 20 active cases at any one time which in turn strengthens performance. </w:t>
            </w:r>
          </w:p>
          <w:p w14:paraId="684A15C7"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Once on programme an active client is defined as someone who has been in contact with the service in the last 4 weeks, and continues to be engaged in their Vocational Action Plan1 </w:t>
            </w:r>
          </w:p>
          <w:p w14:paraId="684A15C8"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p w14:paraId="684A15C9" w14:textId="77777777" w:rsidR="002A533B" w:rsidRPr="008F1A7E" w:rsidRDefault="002A533B" w:rsidP="00A142DF">
            <w:pPr>
              <w:spacing w:after="5" w:line="271" w:lineRule="auto"/>
              <w:ind w:left="10" w:right="14" w:hanging="10"/>
              <w:jc w:val="both"/>
              <w:rPr>
                <w:rFonts w:ascii="Arial" w:eastAsia="Arial" w:hAnsi="Arial" w:cs="Arial"/>
                <w:color w:val="000000"/>
                <w:lang w:eastAsia="en-GB"/>
              </w:rPr>
            </w:pPr>
          </w:p>
        </w:tc>
        <w:tc>
          <w:tcPr>
            <w:tcW w:w="3481" w:type="dxa"/>
          </w:tcPr>
          <w:p w14:paraId="684A15CA" w14:textId="77777777" w:rsidR="002A533B" w:rsidRPr="008F1A7E" w:rsidRDefault="002A533B" w:rsidP="000D3489">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Data system </w:t>
            </w:r>
          </w:p>
          <w:p w14:paraId="684A15CB" w14:textId="77777777" w:rsidR="002A533B" w:rsidRPr="008F1A7E" w:rsidRDefault="002A533B" w:rsidP="00CF011F">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Caseload reviews </w:t>
            </w:r>
          </w:p>
        </w:tc>
      </w:tr>
      <w:tr w:rsidR="002A533B" w:rsidRPr="006714EB" w14:paraId="684A15D1" w14:textId="77777777" w:rsidTr="00FD1FDE">
        <w:trPr>
          <w:trHeight w:val="868"/>
        </w:trPr>
        <w:tc>
          <w:tcPr>
            <w:tcW w:w="3523" w:type="dxa"/>
          </w:tcPr>
          <w:p w14:paraId="684A15CD"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Average time from initial assessment to first face to face employer contact </w:t>
            </w:r>
          </w:p>
        </w:tc>
        <w:tc>
          <w:tcPr>
            <w:tcW w:w="3565" w:type="dxa"/>
          </w:tcPr>
          <w:p w14:paraId="684A15CE"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High fidelity is defined as: </w:t>
            </w:r>
          </w:p>
          <w:p w14:paraId="684A15CF"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First face-to-face employer contact (which can be an informational interview by the client or ES about a competitive job) occurs within 30 days of starting the vocational profile </w:t>
            </w:r>
          </w:p>
        </w:tc>
        <w:tc>
          <w:tcPr>
            <w:tcW w:w="3481" w:type="dxa"/>
          </w:tcPr>
          <w:p w14:paraId="684A15D0"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Recorded via the service data tool, and caseload summaries </w:t>
            </w:r>
          </w:p>
        </w:tc>
      </w:tr>
      <w:tr w:rsidR="002A533B" w:rsidRPr="006714EB" w14:paraId="684A15D5" w14:textId="77777777" w:rsidTr="00FD1FDE">
        <w:trPr>
          <w:trHeight w:val="868"/>
        </w:trPr>
        <w:tc>
          <w:tcPr>
            <w:tcW w:w="3523" w:type="dxa"/>
          </w:tcPr>
          <w:p w14:paraId="684A15D2"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c>
          <w:tcPr>
            <w:tcW w:w="3565" w:type="dxa"/>
          </w:tcPr>
          <w:p w14:paraId="684A15D3"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c>
          <w:tcPr>
            <w:tcW w:w="3481" w:type="dxa"/>
          </w:tcPr>
          <w:p w14:paraId="684A15D4"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r>
      <w:tr w:rsidR="002A533B" w:rsidRPr="006714EB" w14:paraId="684A15D9" w14:textId="77777777" w:rsidTr="00FD1FDE">
        <w:trPr>
          <w:trHeight w:val="868"/>
        </w:trPr>
        <w:tc>
          <w:tcPr>
            <w:tcW w:w="3523" w:type="dxa"/>
            <w:tcBorders>
              <w:left w:val="nil"/>
            </w:tcBorders>
          </w:tcPr>
          <w:p w14:paraId="684A15D6"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New employment starts by time spent in IPS services from initial assessment to employment </w:t>
            </w:r>
          </w:p>
        </w:tc>
        <w:tc>
          <w:tcPr>
            <w:tcW w:w="3565" w:type="dxa"/>
          </w:tcPr>
          <w:p w14:paraId="684A15D7"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 of clients finding employment within 6 months, 6-12 months and over 12 months </w:t>
            </w:r>
          </w:p>
        </w:tc>
        <w:tc>
          <w:tcPr>
            <w:tcW w:w="3481" w:type="dxa"/>
            <w:tcBorders>
              <w:right w:val="nil"/>
            </w:tcBorders>
          </w:tcPr>
          <w:p w14:paraId="684A15D8"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As above </w:t>
            </w:r>
          </w:p>
        </w:tc>
      </w:tr>
      <w:tr w:rsidR="002A533B" w:rsidRPr="006714EB" w14:paraId="684A15DD" w14:textId="77777777" w:rsidTr="00FD1FDE">
        <w:trPr>
          <w:trHeight w:val="868"/>
        </w:trPr>
        <w:tc>
          <w:tcPr>
            <w:tcW w:w="3523" w:type="dxa"/>
            <w:tcBorders>
              <w:left w:val="nil"/>
            </w:tcBorders>
          </w:tcPr>
          <w:p w14:paraId="684A15DA" w14:textId="77777777" w:rsidR="002A533B" w:rsidRPr="008F1A7E" w:rsidRDefault="002A533B" w:rsidP="0016378C">
            <w:pPr>
              <w:spacing w:after="5" w:line="271" w:lineRule="auto"/>
              <w:ind w:right="14"/>
              <w:jc w:val="both"/>
              <w:rPr>
                <w:rFonts w:ascii="Arial" w:eastAsia="Arial" w:hAnsi="Arial" w:cs="Arial"/>
                <w:color w:val="000000"/>
                <w:lang w:eastAsia="en-GB"/>
              </w:rPr>
            </w:pPr>
          </w:p>
        </w:tc>
        <w:tc>
          <w:tcPr>
            <w:tcW w:w="3565" w:type="dxa"/>
          </w:tcPr>
          <w:p w14:paraId="684A15DB"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c>
          <w:tcPr>
            <w:tcW w:w="3481" w:type="dxa"/>
            <w:tcBorders>
              <w:right w:val="nil"/>
            </w:tcBorders>
          </w:tcPr>
          <w:p w14:paraId="684A15DC"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r>
      <w:tr w:rsidR="002A533B" w:rsidRPr="006714EB" w14:paraId="684A15E1" w14:textId="77777777" w:rsidTr="00FD1FDE">
        <w:trPr>
          <w:trHeight w:val="60"/>
        </w:trPr>
        <w:tc>
          <w:tcPr>
            <w:tcW w:w="3523" w:type="dxa"/>
            <w:tcBorders>
              <w:left w:val="nil"/>
            </w:tcBorders>
          </w:tcPr>
          <w:p w14:paraId="684A15DE"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c>
          <w:tcPr>
            <w:tcW w:w="3565" w:type="dxa"/>
          </w:tcPr>
          <w:p w14:paraId="684A15DF"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c>
          <w:tcPr>
            <w:tcW w:w="3481" w:type="dxa"/>
            <w:tcBorders>
              <w:right w:val="nil"/>
            </w:tcBorders>
          </w:tcPr>
          <w:p w14:paraId="684A15E0" w14:textId="77777777" w:rsidR="002A533B" w:rsidRPr="008F1A7E" w:rsidRDefault="002A533B" w:rsidP="0016378C">
            <w:pPr>
              <w:spacing w:after="5" w:line="271" w:lineRule="auto"/>
              <w:ind w:left="10" w:right="14" w:hanging="10"/>
              <w:jc w:val="both"/>
              <w:rPr>
                <w:rFonts w:ascii="Arial" w:eastAsia="Arial" w:hAnsi="Arial" w:cs="Arial"/>
                <w:color w:val="000000"/>
                <w:lang w:eastAsia="en-GB"/>
              </w:rPr>
            </w:pPr>
          </w:p>
        </w:tc>
      </w:tr>
      <w:tr w:rsidR="002A533B" w:rsidRPr="006714EB" w14:paraId="684A15EB" w14:textId="77777777" w:rsidTr="00FD1FDE">
        <w:trPr>
          <w:trHeight w:val="868"/>
        </w:trPr>
        <w:tc>
          <w:tcPr>
            <w:tcW w:w="3523" w:type="dxa"/>
            <w:tcBorders>
              <w:left w:val="nil"/>
              <w:bottom w:val="nil"/>
            </w:tcBorders>
          </w:tcPr>
          <w:p w14:paraId="684A15E2" w14:textId="77777777" w:rsidR="002A533B" w:rsidRPr="008F1A7E" w:rsidRDefault="002A533B" w:rsidP="0016378C">
            <w:pPr>
              <w:spacing w:after="5" w:line="271" w:lineRule="auto"/>
              <w:ind w:right="14"/>
              <w:jc w:val="both"/>
              <w:rPr>
                <w:rFonts w:ascii="Arial" w:eastAsia="Arial" w:hAnsi="Arial" w:cs="Arial"/>
                <w:color w:val="000000"/>
                <w:lang w:eastAsia="en-GB"/>
              </w:rPr>
            </w:pPr>
            <w:r w:rsidRPr="008F1A7E">
              <w:rPr>
                <w:rFonts w:ascii="Arial" w:eastAsia="Arial" w:hAnsi="Arial" w:cs="Arial"/>
                <w:color w:val="000000"/>
                <w:lang w:eastAsia="en-GB"/>
              </w:rPr>
              <w:lastRenderedPageBreak/>
              <w:t xml:space="preserve">Number of face to face meetings per week </w:t>
            </w:r>
          </w:p>
          <w:p w14:paraId="684A15E3" w14:textId="77777777" w:rsidR="002A533B" w:rsidRPr="008F1A7E" w:rsidRDefault="002A533B" w:rsidP="0016378C">
            <w:pPr>
              <w:spacing w:after="5" w:line="271" w:lineRule="auto"/>
              <w:ind w:right="14"/>
              <w:jc w:val="both"/>
              <w:rPr>
                <w:rFonts w:ascii="Arial" w:eastAsia="Arial" w:hAnsi="Arial" w:cs="Arial"/>
                <w:color w:val="000000"/>
                <w:lang w:eastAsia="en-GB"/>
              </w:rPr>
            </w:pPr>
          </w:p>
          <w:p w14:paraId="684A15E4" w14:textId="77777777" w:rsidR="002A533B" w:rsidRPr="008F1A7E" w:rsidRDefault="002A533B" w:rsidP="0016378C">
            <w:pPr>
              <w:spacing w:after="5" w:line="271" w:lineRule="auto"/>
              <w:ind w:right="14"/>
              <w:jc w:val="both"/>
              <w:rPr>
                <w:rFonts w:ascii="Arial" w:eastAsia="Arial" w:hAnsi="Arial" w:cs="Arial"/>
                <w:color w:val="000000"/>
                <w:lang w:eastAsia="en-GB"/>
              </w:rPr>
            </w:pPr>
          </w:p>
          <w:p w14:paraId="684A15E5" w14:textId="77777777" w:rsidR="002A533B" w:rsidRPr="006714EB" w:rsidRDefault="002A533B" w:rsidP="0016378C">
            <w:pPr>
              <w:tabs>
                <w:tab w:val="num" w:pos="720"/>
              </w:tabs>
              <w:spacing w:after="0" w:line="240" w:lineRule="auto"/>
              <w:ind w:left="10" w:hanging="10"/>
              <w:jc w:val="both"/>
              <w:rPr>
                <w:rFonts w:ascii="Arial" w:eastAsia="Arial" w:hAnsi="Arial" w:cs="Arial"/>
                <w:b/>
                <w:color w:val="000000"/>
                <w:lang w:eastAsia="en-GB"/>
              </w:rPr>
            </w:pPr>
            <w:r w:rsidRPr="006714EB">
              <w:rPr>
                <w:rFonts w:ascii="Arial" w:eastAsia="Arial" w:hAnsi="Arial" w:cs="Arial"/>
                <w:color w:val="000000"/>
                <w:lang w:eastAsia="en-GB"/>
              </w:rPr>
              <w:t xml:space="preserve">Number of sustained employment outcomes </w:t>
            </w:r>
          </w:p>
          <w:p w14:paraId="684A15E6" w14:textId="77777777" w:rsidR="002A533B" w:rsidRPr="008F1A7E" w:rsidRDefault="002A533B" w:rsidP="0016378C">
            <w:pPr>
              <w:spacing w:after="5" w:line="271" w:lineRule="auto"/>
              <w:ind w:right="14"/>
              <w:jc w:val="both"/>
              <w:rPr>
                <w:rFonts w:ascii="Arial" w:eastAsia="Arial" w:hAnsi="Arial" w:cs="Arial"/>
                <w:color w:val="000000"/>
                <w:lang w:eastAsia="en-GB"/>
              </w:rPr>
            </w:pPr>
          </w:p>
        </w:tc>
        <w:tc>
          <w:tcPr>
            <w:tcW w:w="3565" w:type="dxa"/>
            <w:tcBorders>
              <w:bottom w:val="nil"/>
            </w:tcBorders>
          </w:tcPr>
          <w:p w14:paraId="684A15E7" w14:textId="77777777" w:rsidR="002A533B" w:rsidRPr="008F1A7E" w:rsidRDefault="002A533B" w:rsidP="00A142DF">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High fidelity would include 6 face to face meetings per week for a full-time ES </w:t>
            </w:r>
          </w:p>
          <w:p w14:paraId="684A15E8" w14:textId="77777777" w:rsidR="002A533B" w:rsidRPr="008F1A7E" w:rsidRDefault="002A533B" w:rsidP="000D3489">
            <w:pPr>
              <w:spacing w:after="5" w:line="271" w:lineRule="auto"/>
              <w:ind w:left="10" w:right="14" w:hanging="10"/>
              <w:jc w:val="both"/>
              <w:rPr>
                <w:rFonts w:ascii="Arial" w:eastAsia="Arial" w:hAnsi="Arial" w:cs="Arial"/>
                <w:color w:val="000000"/>
                <w:lang w:eastAsia="en-GB"/>
              </w:rPr>
            </w:pPr>
          </w:p>
          <w:p w14:paraId="684A15E9" w14:textId="77777777" w:rsidR="002A533B" w:rsidRPr="008F1A7E" w:rsidRDefault="002A533B" w:rsidP="00CF011F">
            <w:pPr>
              <w:spacing w:after="5" w:line="271" w:lineRule="auto"/>
              <w:ind w:left="10" w:right="14" w:hanging="10"/>
              <w:jc w:val="both"/>
              <w:rPr>
                <w:rFonts w:ascii="Arial" w:eastAsia="Arial" w:hAnsi="Arial" w:cs="Arial"/>
                <w:color w:val="000000"/>
                <w:lang w:eastAsia="en-GB"/>
              </w:rPr>
            </w:pPr>
            <w:proofErr w:type="spellStart"/>
            <w:proofErr w:type="gramStart"/>
            <w:r w:rsidRPr="006714EB">
              <w:rPr>
                <w:rFonts w:ascii="Arial" w:eastAsia="Arial" w:hAnsi="Arial" w:cs="Arial"/>
                <w:color w:val="000000"/>
                <w:lang w:eastAsia="en-GB"/>
              </w:rPr>
              <w:t>ie</w:t>
            </w:r>
            <w:proofErr w:type="spellEnd"/>
            <w:proofErr w:type="gramEnd"/>
            <w:r w:rsidRPr="006714EB">
              <w:rPr>
                <w:rFonts w:ascii="Arial" w:eastAsia="Arial" w:hAnsi="Arial" w:cs="Arial"/>
                <w:color w:val="000000"/>
                <w:lang w:eastAsia="en-GB"/>
              </w:rPr>
              <w:t xml:space="preserve"> % of service users who stay in work for less than 13 weeks and more than 13 weeks.</w:t>
            </w:r>
          </w:p>
        </w:tc>
        <w:tc>
          <w:tcPr>
            <w:tcW w:w="3481" w:type="dxa"/>
            <w:tcBorders>
              <w:bottom w:val="nil"/>
              <w:right w:val="nil"/>
            </w:tcBorders>
          </w:tcPr>
          <w:p w14:paraId="684A15EA" w14:textId="77777777" w:rsidR="002A533B" w:rsidRPr="008F1A7E" w:rsidRDefault="002A533B" w:rsidP="00CF011F">
            <w:pPr>
              <w:spacing w:after="5" w:line="271" w:lineRule="auto"/>
              <w:ind w:left="10" w:right="14" w:hanging="10"/>
              <w:jc w:val="both"/>
              <w:rPr>
                <w:rFonts w:ascii="Arial" w:eastAsia="Arial" w:hAnsi="Arial" w:cs="Arial"/>
                <w:color w:val="000000"/>
                <w:lang w:eastAsia="en-GB"/>
              </w:rPr>
            </w:pPr>
            <w:r w:rsidRPr="008F1A7E">
              <w:rPr>
                <w:rFonts w:ascii="Arial" w:eastAsia="Arial" w:hAnsi="Arial" w:cs="Arial"/>
                <w:color w:val="000000"/>
                <w:lang w:eastAsia="en-GB"/>
              </w:rPr>
              <w:t xml:space="preserve">Tracking system in place </w:t>
            </w:r>
          </w:p>
        </w:tc>
      </w:tr>
    </w:tbl>
    <w:p w14:paraId="684A15EC" w14:textId="77777777" w:rsidR="002A533B" w:rsidRPr="008F1A7E" w:rsidRDefault="002A533B">
      <w:pPr>
        <w:spacing w:after="0" w:line="404" w:lineRule="auto"/>
        <w:ind w:right="180"/>
        <w:jc w:val="both"/>
        <w:rPr>
          <w:rFonts w:ascii="Arial" w:eastAsia="Arial" w:hAnsi="Arial" w:cs="Arial"/>
          <w:lang w:eastAsia="en-GB"/>
        </w:rPr>
      </w:pPr>
    </w:p>
    <w:p w14:paraId="3DBCA395" w14:textId="4E1F8311" w:rsidR="00BC0B17" w:rsidRDefault="002A533B">
      <w:pPr>
        <w:spacing w:after="5" w:line="271" w:lineRule="auto"/>
        <w:ind w:right="24"/>
        <w:jc w:val="both"/>
        <w:rPr>
          <w:rFonts w:ascii="Arial" w:eastAsia="Arial" w:hAnsi="Arial" w:cs="Arial"/>
          <w:color w:val="000000"/>
          <w:lang w:eastAsia="en-GB"/>
        </w:rPr>
      </w:pPr>
      <w:r w:rsidRPr="008F1A7E">
        <w:rPr>
          <w:rFonts w:ascii="Arial" w:eastAsia="Arial" w:hAnsi="Arial" w:cs="Arial"/>
          <w:color w:val="000000"/>
          <w:lang w:eastAsia="en-GB"/>
        </w:rPr>
        <w:t xml:space="preserve">Full information can be found in the IPS Grow document above. </w:t>
      </w:r>
    </w:p>
    <w:p w14:paraId="508D8DE2" w14:textId="77777777" w:rsidR="00132254" w:rsidRDefault="00132254">
      <w:pPr>
        <w:spacing w:after="5" w:line="271" w:lineRule="auto"/>
        <w:ind w:right="24"/>
        <w:jc w:val="both"/>
        <w:rPr>
          <w:rFonts w:ascii="Arial" w:eastAsia="Arial" w:hAnsi="Arial" w:cs="Arial"/>
          <w:color w:val="000000"/>
          <w:lang w:eastAsia="en-GB"/>
        </w:rPr>
      </w:pPr>
    </w:p>
    <w:p w14:paraId="6188F43C" w14:textId="2B231E71" w:rsidR="00132254" w:rsidRPr="008F1A7E" w:rsidRDefault="00132254">
      <w:pPr>
        <w:spacing w:after="5" w:line="271" w:lineRule="auto"/>
        <w:ind w:right="24"/>
        <w:jc w:val="both"/>
        <w:rPr>
          <w:rFonts w:ascii="Arial" w:eastAsia="Arial" w:hAnsi="Arial" w:cs="Arial"/>
          <w:color w:val="000000"/>
          <w:lang w:eastAsia="en-GB"/>
        </w:rPr>
      </w:pPr>
      <w:r>
        <w:rPr>
          <w:rFonts w:ascii="Arial" w:eastAsia="Arial" w:hAnsi="Arial" w:cs="Arial"/>
          <w:color w:val="000000"/>
          <w:lang w:eastAsia="en-GB"/>
        </w:rPr>
        <w:t>8.7</w:t>
      </w:r>
      <w:r w:rsidRPr="00132254">
        <w:rPr>
          <w:rFonts w:ascii="Arial" w:eastAsia="Arial" w:hAnsi="Arial" w:cs="Arial"/>
          <w:color w:val="000000"/>
          <w:lang w:eastAsia="en-GB"/>
        </w:rPr>
        <w:t xml:space="preserve"> This is not a specific IPS model. It borrows heavily from the IPS programme, but with a specific enterprising element and a focus on people involved in criminality. Performance metrics will therefore be decided on between the OPCC and the chosen provider.</w:t>
      </w:r>
    </w:p>
    <w:p w14:paraId="684A15EE" w14:textId="77777777" w:rsidR="005F45B7" w:rsidRPr="008F1A7E" w:rsidRDefault="005F45B7">
      <w:pPr>
        <w:spacing w:after="5" w:line="271" w:lineRule="auto"/>
        <w:ind w:right="24"/>
        <w:jc w:val="both"/>
        <w:rPr>
          <w:rFonts w:ascii="Arial" w:eastAsia="Arial" w:hAnsi="Arial" w:cs="Arial"/>
          <w:b/>
          <w:color w:val="000000"/>
          <w:lang w:eastAsia="en-GB"/>
        </w:rPr>
      </w:pPr>
    </w:p>
    <w:p w14:paraId="684A15EF" w14:textId="68772CE5" w:rsidR="000F2FD1" w:rsidRPr="008F1A7E" w:rsidRDefault="00032B0B" w:rsidP="008F1A7E">
      <w:pPr>
        <w:jc w:val="both"/>
        <w:rPr>
          <w:rFonts w:ascii="Arial" w:hAnsi="Arial" w:cs="Arial"/>
          <w:b/>
        </w:rPr>
      </w:pPr>
      <w:r w:rsidRPr="008F1A7E">
        <w:rPr>
          <w:rFonts w:ascii="Arial" w:hAnsi="Arial" w:cs="Arial"/>
          <w:b/>
        </w:rPr>
        <w:t>9</w:t>
      </w:r>
      <w:r w:rsidR="000F2FD1" w:rsidRPr="008F1A7E">
        <w:rPr>
          <w:rFonts w:ascii="Arial" w:hAnsi="Arial" w:cs="Arial"/>
          <w:b/>
        </w:rPr>
        <w:t xml:space="preserve">.         Meetings </w:t>
      </w:r>
    </w:p>
    <w:p w14:paraId="4B99A083" w14:textId="65B9CC98" w:rsidR="004737B4" w:rsidRDefault="00032B0B" w:rsidP="008F1A7E">
      <w:pPr>
        <w:jc w:val="both"/>
        <w:rPr>
          <w:rFonts w:ascii="Arial" w:hAnsi="Arial" w:cs="Arial"/>
        </w:rPr>
      </w:pPr>
      <w:r>
        <w:rPr>
          <w:rFonts w:ascii="Arial" w:hAnsi="Arial" w:cs="Arial"/>
        </w:rPr>
        <w:t>9</w:t>
      </w:r>
      <w:r w:rsidR="000F2FD1" w:rsidRPr="008F1A7E">
        <w:rPr>
          <w:rFonts w:ascii="Arial" w:hAnsi="Arial" w:cs="Arial"/>
        </w:rPr>
        <w:t xml:space="preserve">.1 It is expected that the successful service provider will attend </w:t>
      </w:r>
      <w:r w:rsidR="00A27629">
        <w:rPr>
          <w:rFonts w:ascii="Arial" w:hAnsi="Arial" w:cs="Arial"/>
        </w:rPr>
        <w:t>the formal steering group set up by the OPCC. This meeting will involve</w:t>
      </w:r>
      <w:r w:rsidR="000F2FD1" w:rsidRPr="008F1A7E">
        <w:rPr>
          <w:rFonts w:ascii="Arial" w:hAnsi="Arial" w:cs="Arial"/>
        </w:rPr>
        <w:t xml:space="preserve"> the OPCC, </w:t>
      </w:r>
      <w:r w:rsidR="004737B4">
        <w:rPr>
          <w:rFonts w:ascii="Arial" w:hAnsi="Arial" w:cs="Arial"/>
        </w:rPr>
        <w:t>e</w:t>
      </w:r>
      <w:r w:rsidR="000F2FD1" w:rsidRPr="008F1A7E">
        <w:rPr>
          <w:rFonts w:ascii="Arial" w:hAnsi="Arial" w:cs="Arial"/>
        </w:rPr>
        <w:t>valuators, Commission, and partners where relevant, to maintain a close working relationship and provide updates on the</w:t>
      </w:r>
      <w:r w:rsidR="00A27629">
        <w:rPr>
          <w:rFonts w:ascii="Arial" w:hAnsi="Arial" w:cs="Arial"/>
        </w:rPr>
        <w:t xml:space="preserve"> progression of live referrals.</w:t>
      </w:r>
    </w:p>
    <w:p w14:paraId="684A15F0" w14:textId="6ED67D89" w:rsidR="000F2FD1" w:rsidRPr="008F1A7E" w:rsidRDefault="000F2FD1" w:rsidP="008F1A7E">
      <w:pPr>
        <w:jc w:val="both"/>
        <w:rPr>
          <w:rFonts w:ascii="Arial" w:hAnsi="Arial" w:cs="Arial"/>
        </w:rPr>
      </w:pPr>
      <w:r w:rsidRPr="008F1A7E">
        <w:rPr>
          <w:rFonts w:ascii="Arial" w:hAnsi="Arial" w:cs="Arial"/>
        </w:rPr>
        <w:t>The successful service provider will also be required, on occasion, to attend urgent meetings at very short notice</w:t>
      </w:r>
      <w:r w:rsidR="004737B4">
        <w:rPr>
          <w:rFonts w:ascii="Arial" w:hAnsi="Arial" w:cs="Arial"/>
        </w:rPr>
        <w:t>,</w:t>
      </w:r>
      <w:r w:rsidRPr="008F1A7E">
        <w:rPr>
          <w:rFonts w:ascii="Arial" w:hAnsi="Arial" w:cs="Arial"/>
        </w:rPr>
        <w:t xml:space="preserve"> where there is a defined operational need or when they are needed by the evaluators.  </w:t>
      </w:r>
    </w:p>
    <w:p w14:paraId="684A15F2" w14:textId="0998AD7C" w:rsidR="000F2FD1" w:rsidRPr="008F1A7E" w:rsidRDefault="00032B0B" w:rsidP="008F1A7E">
      <w:pPr>
        <w:jc w:val="both"/>
        <w:rPr>
          <w:rFonts w:ascii="Arial" w:hAnsi="Arial" w:cs="Arial"/>
        </w:rPr>
      </w:pPr>
      <w:r>
        <w:rPr>
          <w:rFonts w:ascii="Arial" w:hAnsi="Arial" w:cs="Arial"/>
        </w:rPr>
        <w:t>9</w:t>
      </w:r>
      <w:r w:rsidR="000F2FD1" w:rsidRPr="008F1A7E">
        <w:rPr>
          <w:rFonts w:ascii="Arial" w:hAnsi="Arial" w:cs="Arial"/>
        </w:rPr>
        <w:t xml:space="preserve">.2 The anticipated frequency of meetings and the content to be discussed is outlined below:  </w:t>
      </w:r>
    </w:p>
    <w:p w14:paraId="684A15F3" w14:textId="2FE9D0CC" w:rsidR="000F2FD1" w:rsidRDefault="000F2FD1" w:rsidP="008F1A7E">
      <w:pPr>
        <w:ind w:left="720" w:hanging="720"/>
        <w:jc w:val="both"/>
        <w:rPr>
          <w:rFonts w:ascii="Arial" w:hAnsi="Arial" w:cs="Arial"/>
        </w:rPr>
      </w:pPr>
      <w:r w:rsidRPr="008F1A7E">
        <w:rPr>
          <w:rFonts w:ascii="Arial" w:hAnsi="Arial" w:cs="Arial"/>
        </w:rPr>
        <w:t>-</w:t>
      </w:r>
      <w:r w:rsidRPr="008F1A7E">
        <w:rPr>
          <w:rFonts w:ascii="Arial" w:hAnsi="Arial" w:cs="Arial"/>
        </w:rPr>
        <w:tab/>
        <w:t>Quarterly</w:t>
      </w:r>
      <w:r w:rsidR="00BD2828">
        <w:rPr>
          <w:rFonts w:ascii="Arial" w:hAnsi="Arial" w:cs="Arial"/>
        </w:rPr>
        <w:t xml:space="preserve"> Meetings with the OPCC</w:t>
      </w:r>
      <w:r w:rsidRPr="008F1A7E">
        <w:rPr>
          <w:rFonts w:ascii="Arial" w:hAnsi="Arial" w:cs="Arial"/>
        </w:rPr>
        <w:t xml:space="preserve"> - proposed agenda to include review of the commissioned service, summary of performance and case outcome, review of hours used, organisational learning and development.  </w:t>
      </w:r>
    </w:p>
    <w:p w14:paraId="59C3C206" w14:textId="30AFBF22" w:rsidR="00BD2828" w:rsidRDefault="00BD2828" w:rsidP="008F1A7E">
      <w:pPr>
        <w:ind w:left="720" w:hanging="720"/>
        <w:jc w:val="both"/>
        <w:rPr>
          <w:rFonts w:ascii="Arial" w:hAnsi="Arial" w:cs="Arial"/>
        </w:rPr>
      </w:pPr>
      <w:r>
        <w:rPr>
          <w:rFonts w:ascii="Arial" w:hAnsi="Arial" w:cs="Arial"/>
        </w:rPr>
        <w:t xml:space="preserve">- </w:t>
      </w:r>
      <w:r>
        <w:rPr>
          <w:rFonts w:ascii="Arial" w:hAnsi="Arial" w:cs="Arial"/>
        </w:rPr>
        <w:tab/>
        <w:t>Regular meetings between evaluator and provider – to be decided between the two parties.</w:t>
      </w:r>
    </w:p>
    <w:p w14:paraId="23EACCDF" w14:textId="77777777" w:rsidR="00A27629" w:rsidRPr="004163A2" w:rsidRDefault="00A27629" w:rsidP="008F1A7E">
      <w:pPr>
        <w:ind w:left="720" w:hanging="720"/>
        <w:jc w:val="both"/>
        <w:rPr>
          <w:rFonts w:ascii="Arial" w:hAnsi="Arial" w:cs="Arial"/>
          <w:b/>
        </w:rPr>
      </w:pPr>
    </w:p>
    <w:p w14:paraId="01C23ED6" w14:textId="13F15796" w:rsidR="00A27629" w:rsidRPr="004163A2" w:rsidRDefault="00A27629" w:rsidP="008F1A7E">
      <w:pPr>
        <w:ind w:left="720" w:hanging="720"/>
        <w:jc w:val="both"/>
        <w:rPr>
          <w:rFonts w:ascii="Arial" w:hAnsi="Arial" w:cs="Arial"/>
          <w:b/>
        </w:rPr>
      </w:pPr>
      <w:r w:rsidRPr="004163A2">
        <w:rPr>
          <w:rFonts w:ascii="Arial" w:hAnsi="Arial" w:cs="Arial"/>
          <w:b/>
        </w:rPr>
        <w:t xml:space="preserve">10. </w:t>
      </w:r>
      <w:r w:rsidRPr="004163A2">
        <w:rPr>
          <w:rFonts w:ascii="Arial" w:hAnsi="Arial" w:cs="Arial"/>
          <w:b/>
        </w:rPr>
        <w:tab/>
        <w:t>Application Process</w:t>
      </w:r>
    </w:p>
    <w:p w14:paraId="6C5F6F57" w14:textId="68F762EA" w:rsidR="000407EB" w:rsidRDefault="00A27629" w:rsidP="000407EB">
      <w:pPr>
        <w:ind w:left="720" w:hanging="720"/>
        <w:jc w:val="both"/>
        <w:rPr>
          <w:rFonts w:ascii="Arial" w:hAnsi="Arial" w:cs="Arial"/>
        </w:rPr>
      </w:pPr>
      <w:r w:rsidRPr="004163A2">
        <w:rPr>
          <w:rFonts w:ascii="Arial" w:hAnsi="Arial" w:cs="Arial"/>
        </w:rPr>
        <w:t xml:space="preserve">Potential applicants will be expected to apply through a two stage process. </w:t>
      </w:r>
    </w:p>
    <w:p w14:paraId="40EF8014" w14:textId="1BA4AB2B" w:rsidR="000407EB" w:rsidRDefault="000407EB" w:rsidP="000407EB">
      <w:pPr>
        <w:ind w:left="720" w:hanging="720"/>
        <w:jc w:val="both"/>
        <w:rPr>
          <w:rFonts w:ascii="Arial" w:hAnsi="Arial" w:cs="Arial"/>
        </w:rPr>
      </w:pPr>
      <w:r>
        <w:rPr>
          <w:rFonts w:ascii="Arial" w:hAnsi="Arial" w:cs="Arial"/>
        </w:rPr>
        <w:t xml:space="preserve">10.1 </w:t>
      </w:r>
      <w:r w:rsidR="00A27629" w:rsidRPr="004163A2">
        <w:rPr>
          <w:rFonts w:ascii="Arial" w:hAnsi="Arial" w:cs="Arial"/>
        </w:rPr>
        <w:t>Th</w:t>
      </w:r>
      <w:r w:rsidR="004163A2" w:rsidRPr="004163A2">
        <w:rPr>
          <w:rFonts w:ascii="Arial" w:hAnsi="Arial" w:cs="Arial"/>
        </w:rPr>
        <w:t>e</w:t>
      </w:r>
      <w:r w:rsidR="00A27629" w:rsidRPr="004163A2">
        <w:rPr>
          <w:rFonts w:ascii="Arial" w:hAnsi="Arial" w:cs="Arial"/>
        </w:rPr>
        <w:t xml:space="preserve"> first stage of this process will be </w:t>
      </w:r>
      <w:r w:rsidR="004163A2" w:rsidRPr="004163A2">
        <w:rPr>
          <w:rFonts w:ascii="Arial" w:hAnsi="Arial" w:cs="Arial"/>
        </w:rPr>
        <w:t xml:space="preserve">a written application. Applicants will be expected to fill in the attached application form and return it to the email address specified on the </w:t>
      </w:r>
      <w:r w:rsidR="00AA76BB">
        <w:rPr>
          <w:rFonts w:ascii="Arial" w:hAnsi="Arial" w:cs="Arial"/>
        </w:rPr>
        <w:t xml:space="preserve">PCC website grant advertisement page by the </w:t>
      </w:r>
      <w:r w:rsidR="0052783A">
        <w:rPr>
          <w:rFonts w:ascii="Arial" w:hAnsi="Arial" w:cs="Arial"/>
        </w:rPr>
        <w:t>3rd</w:t>
      </w:r>
      <w:r w:rsidR="00AA76BB">
        <w:rPr>
          <w:rFonts w:ascii="Arial" w:hAnsi="Arial" w:cs="Arial"/>
        </w:rPr>
        <w:t xml:space="preserve"> </w:t>
      </w:r>
      <w:r w:rsidR="004163A2" w:rsidRPr="004163A2">
        <w:rPr>
          <w:rFonts w:ascii="Arial" w:hAnsi="Arial" w:cs="Arial"/>
        </w:rPr>
        <w:t xml:space="preserve">of </w:t>
      </w:r>
      <w:r w:rsidR="0052783A">
        <w:rPr>
          <w:rFonts w:ascii="Arial" w:hAnsi="Arial" w:cs="Arial"/>
        </w:rPr>
        <w:t>April</w:t>
      </w:r>
      <w:r w:rsidR="00DA49F6">
        <w:rPr>
          <w:rFonts w:ascii="Arial" w:hAnsi="Arial" w:cs="Arial"/>
        </w:rPr>
        <w:t xml:space="preserve"> 2020</w:t>
      </w:r>
      <w:r w:rsidR="004163A2" w:rsidRPr="004163A2">
        <w:rPr>
          <w:rFonts w:ascii="Arial" w:hAnsi="Arial" w:cs="Arial"/>
        </w:rPr>
        <w:t xml:space="preserve">. </w:t>
      </w:r>
    </w:p>
    <w:p w14:paraId="6CFB4ACD" w14:textId="7C65D05C" w:rsidR="00A27629" w:rsidRDefault="000407EB" w:rsidP="000407EB">
      <w:pPr>
        <w:ind w:left="720" w:hanging="720"/>
        <w:jc w:val="both"/>
        <w:rPr>
          <w:rFonts w:ascii="Arial" w:hAnsi="Arial" w:cs="Arial"/>
        </w:rPr>
      </w:pPr>
      <w:r>
        <w:rPr>
          <w:rFonts w:ascii="Arial" w:hAnsi="Arial" w:cs="Arial"/>
        </w:rPr>
        <w:t xml:space="preserve">10.2 </w:t>
      </w:r>
      <w:r w:rsidR="004163A2" w:rsidRPr="004163A2">
        <w:rPr>
          <w:rFonts w:ascii="Arial" w:hAnsi="Arial" w:cs="Arial"/>
        </w:rPr>
        <w:t xml:space="preserve">Applicants who are successful at the first stage of the application process will then be invited to an in person interview. After this stage a successful provider will be chosen. </w:t>
      </w:r>
      <w:r w:rsidR="00A27629" w:rsidRPr="004163A2">
        <w:rPr>
          <w:rFonts w:ascii="Arial" w:hAnsi="Arial" w:cs="Arial"/>
        </w:rPr>
        <w:t xml:space="preserve"> </w:t>
      </w:r>
    </w:p>
    <w:p w14:paraId="684A15F6" w14:textId="77777777" w:rsidR="000F652A" w:rsidRPr="008F1A7E" w:rsidRDefault="000F652A" w:rsidP="008F1A7E">
      <w:pPr>
        <w:jc w:val="both"/>
        <w:rPr>
          <w:rFonts w:ascii="Arial" w:hAnsi="Arial" w:cs="Arial"/>
          <w:highlight w:val="red"/>
        </w:rPr>
      </w:pPr>
    </w:p>
    <w:sectPr w:rsidR="000F652A" w:rsidRPr="008F1A7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EB0AF" w14:textId="77777777" w:rsidR="00064F7D" w:rsidRDefault="00064F7D" w:rsidP="00522C70">
      <w:pPr>
        <w:spacing w:after="0" w:line="240" w:lineRule="auto"/>
      </w:pPr>
      <w:r>
        <w:separator/>
      </w:r>
    </w:p>
  </w:endnote>
  <w:endnote w:type="continuationSeparator" w:id="0">
    <w:p w14:paraId="29802B92" w14:textId="77777777" w:rsidR="00064F7D" w:rsidRDefault="00064F7D" w:rsidP="0052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DAB19" w14:textId="77777777" w:rsidR="00064F7D" w:rsidRDefault="00064F7D" w:rsidP="00522C70">
      <w:pPr>
        <w:spacing w:after="0" w:line="240" w:lineRule="auto"/>
      </w:pPr>
      <w:r>
        <w:separator/>
      </w:r>
    </w:p>
  </w:footnote>
  <w:footnote w:type="continuationSeparator" w:id="0">
    <w:p w14:paraId="638FBF0A" w14:textId="77777777" w:rsidR="00064F7D" w:rsidRDefault="00064F7D" w:rsidP="00522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B052" w14:textId="56A20E01" w:rsidR="006714EB" w:rsidRDefault="006714EB">
    <w:pPr>
      <w:pStyle w:val="Header"/>
    </w:pPr>
    <w:r>
      <w:rPr>
        <w:noProof/>
        <w:lang w:eastAsia="en-GB"/>
      </w:rPr>
      <w:drawing>
        <wp:anchor distT="0" distB="0" distL="114300" distR="114300" simplePos="0" relativeHeight="251658240" behindDoc="1" locked="0" layoutInCell="1" allowOverlap="1" wp14:anchorId="76117ECE" wp14:editId="1699E33E">
          <wp:simplePos x="0" y="0"/>
          <wp:positionH relativeFrom="margin">
            <wp:align>center</wp:align>
          </wp:positionH>
          <wp:positionV relativeFrom="paragraph">
            <wp:posOffset>-265430</wp:posOffset>
          </wp:positionV>
          <wp:extent cx="7114540" cy="969645"/>
          <wp:effectExtent l="0" t="0" r="0" b="1905"/>
          <wp:wrapTight wrapText="bothSides">
            <wp:wrapPolygon edited="0">
              <wp:start x="0" y="0"/>
              <wp:lineTo x="0" y="21218"/>
              <wp:lineTo x="21515" y="21218"/>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540" cy="969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440"/>
    <w:multiLevelType w:val="hybridMultilevel"/>
    <w:tmpl w:val="9BFA6672"/>
    <w:lvl w:ilvl="0" w:tplc="9E4062F2">
      <w:start w:val="1"/>
      <w:numFmt w:val="bullet"/>
      <w:lvlText w:val="-"/>
      <w:lvlJc w:val="left"/>
      <w:pPr>
        <w:tabs>
          <w:tab w:val="num" w:pos="473"/>
        </w:tabs>
        <w:ind w:left="473"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D1F4C"/>
    <w:multiLevelType w:val="multilevel"/>
    <w:tmpl w:val="B0CE724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FF76B9"/>
    <w:multiLevelType w:val="multilevel"/>
    <w:tmpl w:val="EA541C0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BF78CF"/>
    <w:multiLevelType w:val="hybridMultilevel"/>
    <w:tmpl w:val="B7B4F6A0"/>
    <w:lvl w:ilvl="0" w:tplc="AEE2A2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F012E"/>
    <w:multiLevelType w:val="multilevel"/>
    <w:tmpl w:val="CADE2F74"/>
    <w:lvl w:ilvl="0">
      <w:start w:val="5"/>
      <w:numFmt w:val="decimal"/>
      <w:lvlText w:val="%1"/>
      <w:lvlJc w:val="left"/>
      <w:pPr>
        <w:ind w:left="420" w:hanging="420"/>
      </w:pPr>
      <w:rPr>
        <w:rFonts w:hint="default"/>
      </w:rPr>
    </w:lvl>
    <w:lvl w:ilvl="1">
      <w:start w:val="3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C624F0"/>
    <w:multiLevelType w:val="hybridMultilevel"/>
    <w:tmpl w:val="F49234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A26E0"/>
    <w:multiLevelType w:val="hybridMultilevel"/>
    <w:tmpl w:val="1FDC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F6D40"/>
    <w:multiLevelType w:val="hybridMultilevel"/>
    <w:tmpl w:val="FF2A929C"/>
    <w:lvl w:ilvl="0" w:tplc="8CCAB8C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E10EC"/>
    <w:multiLevelType w:val="hybridMultilevel"/>
    <w:tmpl w:val="30BAB632"/>
    <w:lvl w:ilvl="0" w:tplc="90B277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3E"/>
    <w:rsid w:val="00001CCD"/>
    <w:rsid w:val="00032B0B"/>
    <w:rsid w:val="000407EB"/>
    <w:rsid w:val="00064F7D"/>
    <w:rsid w:val="000700B5"/>
    <w:rsid w:val="0007620A"/>
    <w:rsid w:val="000A2357"/>
    <w:rsid w:val="000D3489"/>
    <w:rsid w:val="000E4799"/>
    <w:rsid w:val="000F2FD1"/>
    <w:rsid w:val="000F652A"/>
    <w:rsid w:val="00110904"/>
    <w:rsid w:val="00132254"/>
    <w:rsid w:val="00140A3D"/>
    <w:rsid w:val="0016378C"/>
    <w:rsid w:val="001C4064"/>
    <w:rsid w:val="001D7043"/>
    <w:rsid w:val="002217B5"/>
    <w:rsid w:val="002532BC"/>
    <w:rsid w:val="002A533B"/>
    <w:rsid w:val="002D4B17"/>
    <w:rsid w:val="00316EA5"/>
    <w:rsid w:val="0037496F"/>
    <w:rsid w:val="00387AB1"/>
    <w:rsid w:val="003A2DB0"/>
    <w:rsid w:val="003C291F"/>
    <w:rsid w:val="003D003C"/>
    <w:rsid w:val="003E23DA"/>
    <w:rsid w:val="003E4E95"/>
    <w:rsid w:val="004163A2"/>
    <w:rsid w:val="00417C5C"/>
    <w:rsid w:val="00455ED7"/>
    <w:rsid w:val="004737B4"/>
    <w:rsid w:val="00490F56"/>
    <w:rsid w:val="005061B6"/>
    <w:rsid w:val="00522C70"/>
    <w:rsid w:val="0052783A"/>
    <w:rsid w:val="005975EA"/>
    <w:rsid w:val="005B3C97"/>
    <w:rsid w:val="005D23F7"/>
    <w:rsid w:val="005E0346"/>
    <w:rsid w:val="005F45B7"/>
    <w:rsid w:val="00610674"/>
    <w:rsid w:val="00622458"/>
    <w:rsid w:val="0063497C"/>
    <w:rsid w:val="006714EB"/>
    <w:rsid w:val="00687A46"/>
    <w:rsid w:val="006966FD"/>
    <w:rsid w:val="006A53F5"/>
    <w:rsid w:val="006B367B"/>
    <w:rsid w:val="006B3B3E"/>
    <w:rsid w:val="00710327"/>
    <w:rsid w:val="00722EA0"/>
    <w:rsid w:val="0072630F"/>
    <w:rsid w:val="007722A8"/>
    <w:rsid w:val="007812F0"/>
    <w:rsid w:val="007A712D"/>
    <w:rsid w:val="007B2CFE"/>
    <w:rsid w:val="007C3B0C"/>
    <w:rsid w:val="007C4EAA"/>
    <w:rsid w:val="007D51BE"/>
    <w:rsid w:val="0083533F"/>
    <w:rsid w:val="00857EC9"/>
    <w:rsid w:val="008F1A7E"/>
    <w:rsid w:val="00992CD3"/>
    <w:rsid w:val="009A7DE6"/>
    <w:rsid w:val="009B706C"/>
    <w:rsid w:val="009C0ADA"/>
    <w:rsid w:val="009C3E95"/>
    <w:rsid w:val="009E4702"/>
    <w:rsid w:val="00A11ECB"/>
    <w:rsid w:val="00A142DF"/>
    <w:rsid w:val="00A27629"/>
    <w:rsid w:val="00A53BF2"/>
    <w:rsid w:val="00A65102"/>
    <w:rsid w:val="00A67796"/>
    <w:rsid w:val="00A76820"/>
    <w:rsid w:val="00A802AE"/>
    <w:rsid w:val="00A94C55"/>
    <w:rsid w:val="00A970A4"/>
    <w:rsid w:val="00A97C50"/>
    <w:rsid w:val="00AA76BB"/>
    <w:rsid w:val="00AA779C"/>
    <w:rsid w:val="00AC5192"/>
    <w:rsid w:val="00AF0B1B"/>
    <w:rsid w:val="00B13D05"/>
    <w:rsid w:val="00B72E93"/>
    <w:rsid w:val="00B73DE8"/>
    <w:rsid w:val="00B8046E"/>
    <w:rsid w:val="00BC0B17"/>
    <w:rsid w:val="00BD2828"/>
    <w:rsid w:val="00BF0180"/>
    <w:rsid w:val="00C0604A"/>
    <w:rsid w:val="00C17395"/>
    <w:rsid w:val="00C4089C"/>
    <w:rsid w:val="00C4741B"/>
    <w:rsid w:val="00C64EC5"/>
    <w:rsid w:val="00C76194"/>
    <w:rsid w:val="00C81765"/>
    <w:rsid w:val="00CF011F"/>
    <w:rsid w:val="00D24058"/>
    <w:rsid w:val="00D36E73"/>
    <w:rsid w:val="00D40DD3"/>
    <w:rsid w:val="00D4578A"/>
    <w:rsid w:val="00D84BC8"/>
    <w:rsid w:val="00D95729"/>
    <w:rsid w:val="00DA4992"/>
    <w:rsid w:val="00DA49F6"/>
    <w:rsid w:val="00DA517D"/>
    <w:rsid w:val="00DC3F3A"/>
    <w:rsid w:val="00DE0165"/>
    <w:rsid w:val="00DE0AC5"/>
    <w:rsid w:val="00DE5CE2"/>
    <w:rsid w:val="00E2197F"/>
    <w:rsid w:val="00E400DE"/>
    <w:rsid w:val="00E71D20"/>
    <w:rsid w:val="00E84884"/>
    <w:rsid w:val="00EC345D"/>
    <w:rsid w:val="00EE037E"/>
    <w:rsid w:val="00F251B7"/>
    <w:rsid w:val="00F26477"/>
    <w:rsid w:val="00F355EA"/>
    <w:rsid w:val="00F7725A"/>
    <w:rsid w:val="00FF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A153D"/>
  <w15:chartTrackingRefBased/>
  <w15:docId w15:val="{9DB2825A-030E-4AF8-8341-F059D0C3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3E"/>
    <w:pPr>
      <w:ind w:left="720"/>
      <w:contextualSpacing/>
    </w:pPr>
  </w:style>
  <w:style w:type="character" w:styleId="Hyperlink">
    <w:name w:val="Hyperlink"/>
    <w:basedOn w:val="DefaultParagraphFont"/>
    <w:uiPriority w:val="99"/>
    <w:unhideWhenUsed/>
    <w:rsid w:val="009E4702"/>
    <w:rPr>
      <w:color w:val="0563C1" w:themeColor="hyperlink"/>
      <w:u w:val="single"/>
    </w:rPr>
  </w:style>
  <w:style w:type="paragraph" w:styleId="Header">
    <w:name w:val="header"/>
    <w:basedOn w:val="Normal"/>
    <w:link w:val="HeaderChar"/>
    <w:uiPriority w:val="99"/>
    <w:unhideWhenUsed/>
    <w:rsid w:val="0052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70"/>
  </w:style>
  <w:style w:type="paragraph" w:styleId="Footer">
    <w:name w:val="footer"/>
    <w:basedOn w:val="Normal"/>
    <w:link w:val="FooterChar"/>
    <w:uiPriority w:val="99"/>
    <w:unhideWhenUsed/>
    <w:rsid w:val="0052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70"/>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Revision">
    <w:name w:val="Revision"/>
    <w:hidden/>
    <w:uiPriority w:val="99"/>
    <w:semiHidden/>
    <w:rsid w:val="006714EB"/>
    <w:pPr>
      <w:spacing w:after="0" w:line="240" w:lineRule="auto"/>
    </w:pPr>
  </w:style>
  <w:style w:type="character" w:styleId="CommentReference">
    <w:name w:val="annotation reference"/>
    <w:basedOn w:val="DefaultParagraphFont"/>
    <w:uiPriority w:val="99"/>
    <w:semiHidden/>
    <w:unhideWhenUsed/>
    <w:rsid w:val="0016378C"/>
    <w:rPr>
      <w:sz w:val="16"/>
      <w:szCs w:val="16"/>
    </w:rPr>
  </w:style>
  <w:style w:type="paragraph" w:styleId="CommentText">
    <w:name w:val="annotation text"/>
    <w:basedOn w:val="Normal"/>
    <w:link w:val="CommentTextChar"/>
    <w:uiPriority w:val="99"/>
    <w:semiHidden/>
    <w:unhideWhenUsed/>
    <w:rsid w:val="0016378C"/>
    <w:pPr>
      <w:spacing w:line="240" w:lineRule="auto"/>
    </w:pPr>
    <w:rPr>
      <w:sz w:val="20"/>
      <w:szCs w:val="20"/>
    </w:rPr>
  </w:style>
  <w:style w:type="character" w:customStyle="1" w:styleId="CommentTextChar">
    <w:name w:val="Comment Text Char"/>
    <w:basedOn w:val="DefaultParagraphFont"/>
    <w:link w:val="CommentText"/>
    <w:uiPriority w:val="99"/>
    <w:semiHidden/>
    <w:rsid w:val="0016378C"/>
    <w:rPr>
      <w:sz w:val="20"/>
      <w:szCs w:val="20"/>
    </w:rPr>
  </w:style>
  <w:style w:type="paragraph" w:styleId="CommentSubject">
    <w:name w:val="annotation subject"/>
    <w:basedOn w:val="CommentText"/>
    <w:next w:val="CommentText"/>
    <w:link w:val="CommentSubjectChar"/>
    <w:uiPriority w:val="99"/>
    <w:semiHidden/>
    <w:unhideWhenUsed/>
    <w:rsid w:val="0016378C"/>
    <w:rPr>
      <w:b/>
      <w:bCs/>
    </w:rPr>
  </w:style>
  <w:style w:type="character" w:customStyle="1" w:styleId="CommentSubjectChar">
    <w:name w:val="Comment Subject Char"/>
    <w:basedOn w:val="CommentTextChar"/>
    <w:link w:val="CommentSubject"/>
    <w:uiPriority w:val="99"/>
    <w:semiHidden/>
    <w:rsid w:val="00163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psgrow.org.uk/uploads/pdf/IPS-Grow-Recommended-Key-Performance-Indicators-and-Outcomes-framework-28.8.19.pdf" TargetMode="External"/><Relationship Id="rId5" Type="http://schemas.openxmlformats.org/officeDocument/2006/relationships/styles" Target="styles.xml"/><Relationship Id="rId10" Type="http://schemas.openxmlformats.org/officeDocument/2006/relationships/hyperlink" Target="https://www.westmidlands-pcc.gov.uk/wp-content/uploads/2019/04/Gangs-and-Violence-Commission-Full-Report.pdf?x5653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D93BAFEEE9F94AACF7CEB08A035BA2" ma:contentTypeVersion="1" ma:contentTypeDescription="Create a new document." ma:contentTypeScope="" ma:versionID="8b82553c0ba43ab4c9c1dbab49daaacc">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612FA-555F-4FC8-9C2A-B2969ABACD4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5F995DA0-F856-40F1-A255-F09F12C0B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42327-4B81-4C50-8D72-2D859AB66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Warner-Southwell;Daniel Gordon</dc:creator>
  <cp:keywords/>
  <dc:description/>
  <cp:lastModifiedBy>Andrew Yates</cp:lastModifiedBy>
  <cp:revision>2</cp:revision>
  <dcterms:created xsi:type="dcterms:W3CDTF">2020-05-18T09:20:00Z</dcterms:created>
  <dcterms:modified xsi:type="dcterms:W3CDTF">2020-05-18T09:20:00Z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0x010100AFD93BAFEEE9F94AACF7CEB08A035BA2</vt:lpwstr>
  </property>
</Properties>
</file>