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C600" w14:textId="77777777" w:rsidR="00972E6F" w:rsidRPr="00CC382E" w:rsidRDefault="00972E6F" w:rsidP="00972E6F">
      <w:pPr>
        <w:jc w:val="right"/>
        <w:rPr>
          <w:sz w:val="28"/>
          <w:szCs w:val="28"/>
        </w:rPr>
      </w:pPr>
      <w:r w:rsidRPr="00CC382E">
        <w:rPr>
          <w:noProof/>
          <w:sz w:val="28"/>
          <w:szCs w:val="28"/>
          <w:lang w:eastAsia="en-GB"/>
        </w:rPr>
        <w:drawing>
          <wp:inline distT="0" distB="0" distL="0" distR="0" wp14:anchorId="24B4D819" wp14:editId="48D2FE1D">
            <wp:extent cx="2228850" cy="704850"/>
            <wp:effectExtent l="0" t="0" r="0" b="0"/>
            <wp:docPr id="1" name="Picture 21" descr="cid:image001.png@01D3C067.C132C210"/>
            <wp:cNvGraphicFramePr/>
            <a:graphic xmlns:a="http://schemas.openxmlformats.org/drawingml/2006/main">
              <a:graphicData uri="http://schemas.openxmlformats.org/drawingml/2006/picture">
                <pic:pic xmlns:pic="http://schemas.openxmlformats.org/drawingml/2006/picture">
                  <pic:nvPicPr>
                    <pic:cNvPr id="1" name="Picture 21" descr="cid:image001.png@01D3C067.C132C2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inline>
        </w:drawing>
      </w:r>
    </w:p>
    <w:p w14:paraId="2CA2ED4C" w14:textId="77777777" w:rsidR="005A63E4" w:rsidRPr="00CC382E" w:rsidRDefault="00972E6F" w:rsidP="00CC382E">
      <w:pPr>
        <w:spacing w:after="0" w:line="360" w:lineRule="auto"/>
        <w:jc w:val="center"/>
        <w:rPr>
          <w:rFonts w:ascii="Arial" w:hAnsi="Arial" w:cs="Arial"/>
          <w:b/>
          <w:sz w:val="28"/>
          <w:szCs w:val="28"/>
        </w:rPr>
      </w:pPr>
      <w:r w:rsidRPr="00CC382E">
        <w:rPr>
          <w:rFonts w:ascii="Arial" w:hAnsi="Arial" w:cs="Arial"/>
          <w:b/>
          <w:sz w:val="28"/>
          <w:szCs w:val="28"/>
        </w:rPr>
        <w:t xml:space="preserve">Hate </w:t>
      </w:r>
      <w:r w:rsidR="00BC2F8D" w:rsidRPr="00CC382E">
        <w:rPr>
          <w:rFonts w:ascii="Arial" w:hAnsi="Arial" w:cs="Arial"/>
          <w:b/>
          <w:sz w:val="28"/>
          <w:szCs w:val="28"/>
        </w:rPr>
        <w:t>C</w:t>
      </w:r>
      <w:r w:rsidRPr="00CC382E">
        <w:rPr>
          <w:rFonts w:ascii="Arial" w:hAnsi="Arial" w:cs="Arial"/>
          <w:b/>
          <w:sz w:val="28"/>
          <w:szCs w:val="28"/>
        </w:rPr>
        <w:t>rime</w:t>
      </w:r>
    </w:p>
    <w:p w14:paraId="0176382E" w14:textId="77777777" w:rsidR="00646795" w:rsidRPr="00CC382E" w:rsidRDefault="005A63E4" w:rsidP="00CC382E">
      <w:pPr>
        <w:spacing w:after="0" w:line="360" w:lineRule="auto"/>
        <w:jc w:val="center"/>
        <w:rPr>
          <w:rFonts w:ascii="Arial" w:hAnsi="Arial" w:cs="Arial"/>
          <w:b/>
          <w:sz w:val="28"/>
          <w:szCs w:val="28"/>
        </w:rPr>
      </w:pPr>
      <w:r w:rsidRPr="00CC382E">
        <w:rPr>
          <w:rFonts w:ascii="Arial" w:hAnsi="Arial" w:cs="Arial"/>
          <w:b/>
          <w:sz w:val="28"/>
          <w:szCs w:val="28"/>
        </w:rPr>
        <w:t>S</w:t>
      </w:r>
      <w:r w:rsidR="00BC2F8D" w:rsidRPr="00CC382E">
        <w:rPr>
          <w:rFonts w:ascii="Arial" w:hAnsi="Arial" w:cs="Arial"/>
          <w:b/>
          <w:sz w:val="28"/>
          <w:szCs w:val="28"/>
        </w:rPr>
        <w:t>ervice S</w:t>
      </w:r>
      <w:r w:rsidR="00972E6F" w:rsidRPr="00CC382E">
        <w:rPr>
          <w:rFonts w:ascii="Arial" w:hAnsi="Arial" w:cs="Arial"/>
          <w:b/>
          <w:sz w:val="28"/>
          <w:szCs w:val="28"/>
        </w:rPr>
        <w:t>pecification</w:t>
      </w:r>
    </w:p>
    <w:p w14:paraId="2F55FFB3" w14:textId="77777777" w:rsidR="00BC2F8D" w:rsidRPr="00CC382E" w:rsidRDefault="00BC2F8D" w:rsidP="00CC382E">
      <w:pPr>
        <w:spacing w:after="0" w:line="360" w:lineRule="auto"/>
        <w:rPr>
          <w:rFonts w:ascii="Arial" w:hAnsi="Arial" w:cs="Arial"/>
        </w:rPr>
      </w:pPr>
    </w:p>
    <w:tbl>
      <w:tblPr>
        <w:tblStyle w:val="TableGrid"/>
        <w:tblW w:w="0" w:type="auto"/>
        <w:shd w:val="clear" w:color="auto" w:fill="D9E2F3" w:themeFill="accent5" w:themeFillTint="33"/>
        <w:tblLook w:val="04A0" w:firstRow="1" w:lastRow="0" w:firstColumn="1" w:lastColumn="0" w:noHBand="0" w:noVBand="1"/>
      </w:tblPr>
      <w:tblGrid>
        <w:gridCol w:w="3256"/>
        <w:gridCol w:w="5760"/>
      </w:tblGrid>
      <w:tr w:rsidR="005A63E4" w:rsidRPr="00CC382E" w14:paraId="4A7E82A9" w14:textId="77777777" w:rsidTr="00A61617">
        <w:tc>
          <w:tcPr>
            <w:tcW w:w="3256" w:type="dxa"/>
            <w:shd w:val="clear" w:color="auto" w:fill="D9E2F3" w:themeFill="accent5" w:themeFillTint="33"/>
          </w:tcPr>
          <w:p w14:paraId="113F3858" w14:textId="77777777" w:rsidR="005A63E4" w:rsidRPr="00CC382E" w:rsidRDefault="005A63E4" w:rsidP="00CC382E">
            <w:pPr>
              <w:spacing w:line="360" w:lineRule="auto"/>
              <w:rPr>
                <w:rFonts w:ascii="Arial" w:hAnsi="Arial" w:cs="Arial"/>
              </w:rPr>
            </w:pPr>
            <w:r w:rsidRPr="00CC382E">
              <w:rPr>
                <w:rFonts w:ascii="Arial" w:hAnsi="Arial" w:cs="Arial"/>
              </w:rPr>
              <w:t>Service</w:t>
            </w:r>
          </w:p>
        </w:tc>
        <w:tc>
          <w:tcPr>
            <w:tcW w:w="5760" w:type="dxa"/>
            <w:shd w:val="clear" w:color="auto" w:fill="D9E2F3" w:themeFill="accent5" w:themeFillTint="33"/>
          </w:tcPr>
          <w:p w14:paraId="41613D6E" w14:textId="77777777" w:rsidR="005A63E4" w:rsidRPr="00CC382E" w:rsidRDefault="005A63E4" w:rsidP="00CC382E">
            <w:pPr>
              <w:spacing w:line="360" w:lineRule="auto"/>
              <w:rPr>
                <w:rFonts w:ascii="Arial" w:hAnsi="Arial" w:cs="Arial"/>
              </w:rPr>
            </w:pPr>
            <w:r w:rsidRPr="00CC382E">
              <w:rPr>
                <w:rFonts w:ascii="Arial" w:hAnsi="Arial" w:cs="Arial"/>
              </w:rPr>
              <w:t xml:space="preserve">Regional Hate Crime </w:t>
            </w:r>
            <w:r w:rsidR="00182490" w:rsidRPr="00CC382E">
              <w:rPr>
                <w:rFonts w:ascii="Arial" w:hAnsi="Arial" w:cs="Arial"/>
              </w:rPr>
              <w:t xml:space="preserve">Support </w:t>
            </w:r>
            <w:r w:rsidRPr="00CC382E">
              <w:rPr>
                <w:rFonts w:ascii="Arial" w:hAnsi="Arial" w:cs="Arial"/>
              </w:rPr>
              <w:t>Service</w:t>
            </w:r>
          </w:p>
        </w:tc>
      </w:tr>
      <w:tr w:rsidR="005A63E4" w:rsidRPr="00CC382E" w14:paraId="5DAA3511" w14:textId="77777777" w:rsidTr="00A61617">
        <w:tc>
          <w:tcPr>
            <w:tcW w:w="3256" w:type="dxa"/>
            <w:shd w:val="clear" w:color="auto" w:fill="D9E2F3" w:themeFill="accent5" w:themeFillTint="33"/>
          </w:tcPr>
          <w:p w14:paraId="72675985" w14:textId="77777777" w:rsidR="005A63E4" w:rsidRPr="00CC382E" w:rsidRDefault="005A63E4" w:rsidP="00CC382E">
            <w:pPr>
              <w:spacing w:line="360" w:lineRule="auto"/>
              <w:rPr>
                <w:rFonts w:ascii="Arial" w:hAnsi="Arial" w:cs="Arial"/>
              </w:rPr>
            </w:pPr>
            <w:r w:rsidRPr="00CC382E">
              <w:rPr>
                <w:rFonts w:ascii="Arial" w:hAnsi="Arial" w:cs="Arial"/>
              </w:rPr>
              <w:t>C</w:t>
            </w:r>
            <w:r w:rsidR="008D2CFC" w:rsidRPr="00CC382E">
              <w:rPr>
                <w:rFonts w:ascii="Arial" w:hAnsi="Arial" w:cs="Arial"/>
              </w:rPr>
              <w:t>ommissioning Lead</w:t>
            </w:r>
          </w:p>
        </w:tc>
        <w:tc>
          <w:tcPr>
            <w:tcW w:w="5760" w:type="dxa"/>
            <w:shd w:val="clear" w:color="auto" w:fill="D9E2F3" w:themeFill="accent5" w:themeFillTint="33"/>
          </w:tcPr>
          <w:p w14:paraId="01E23224" w14:textId="77777777" w:rsidR="005A63E4" w:rsidRPr="00CC382E" w:rsidRDefault="00182490" w:rsidP="00CC382E">
            <w:pPr>
              <w:spacing w:line="360" w:lineRule="auto"/>
              <w:rPr>
                <w:rFonts w:ascii="Arial" w:hAnsi="Arial" w:cs="Arial"/>
              </w:rPr>
            </w:pPr>
            <w:r w:rsidRPr="00CC382E">
              <w:rPr>
                <w:rFonts w:ascii="Arial" w:hAnsi="Arial" w:cs="Arial"/>
              </w:rPr>
              <w:t xml:space="preserve">Alethea Fuller </w:t>
            </w:r>
          </w:p>
        </w:tc>
      </w:tr>
      <w:tr w:rsidR="005A63E4" w:rsidRPr="00CC382E" w14:paraId="63538C2C" w14:textId="77777777" w:rsidTr="00A61617">
        <w:tc>
          <w:tcPr>
            <w:tcW w:w="3256" w:type="dxa"/>
            <w:shd w:val="clear" w:color="auto" w:fill="D9E2F3" w:themeFill="accent5" w:themeFillTint="33"/>
          </w:tcPr>
          <w:p w14:paraId="65C2AA89" w14:textId="77777777" w:rsidR="005A63E4" w:rsidRPr="00CC382E" w:rsidRDefault="005A63E4" w:rsidP="00CC382E">
            <w:pPr>
              <w:spacing w:line="360" w:lineRule="auto"/>
              <w:rPr>
                <w:rFonts w:ascii="Arial" w:hAnsi="Arial" w:cs="Arial"/>
              </w:rPr>
            </w:pPr>
            <w:r w:rsidRPr="00CC382E">
              <w:rPr>
                <w:rFonts w:ascii="Arial" w:hAnsi="Arial" w:cs="Arial"/>
              </w:rPr>
              <w:t>Period</w:t>
            </w:r>
          </w:p>
        </w:tc>
        <w:tc>
          <w:tcPr>
            <w:tcW w:w="5760" w:type="dxa"/>
            <w:shd w:val="clear" w:color="auto" w:fill="D9E2F3" w:themeFill="accent5" w:themeFillTint="33"/>
          </w:tcPr>
          <w:p w14:paraId="7815470C" w14:textId="40B9F6CB" w:rsidR="005A63E4" w:rsidRPr="00CC382E" w:rsidRDefault="00BC2F8D" w:rsidP="00CC382E">
            <w:pPr>
              <w:spacing w:line="360" w:lineRule="auto"/>
              <w:rPr>
                <w:rFonts w:ascii="Arial" w:hAnsi="Arial" w:cs="Arial"/>
              </w:rPr>
            </w:pPr>
            <w:r w:rsidRPr="00CC382E">
              <w:rPr>
                <w:rFonts w:ascii="Arial" w:hAnsi="Arial" w:cs="Arial"/>
              </w:rPr>
              <w:t>1</w:t>
            </w:r>
            <w:r w:rsidRPr="00CC382E">
              <w:rPr>
                <w:rFonts w:ascii="Arial" w:hAnsi="Arial" w:cs="Arial"/>
                <w:vertAlign w:val="superscript"/>
              </w:rPr>
              <w:t>st</w:t>
            </w:r>
            <w:r w:rsidR="008D0107">
              <w:rPr>
                <w:rFonts w:ascii="Arial" w:hAnsi="Arial" w:cs="Arial"/>
              </w:rPr>
              <w:t xml:space="preserve"> April 2021</w:t>
            </w:r>
            <w:r w:rsidRPr="00CC382E">
              <w:rPr>
                <w:rFonts w:ascii="Arial" w:hAnsi="Arial" w:cs="Arial"/>
              </w:rPr>
              <w:t>-31</w:t>
            </w:r>
            <w:r w:rsidRPr="00CC382E">
              <w:rPr>
                <w:rFonts w:ascii="Arial" w:hAnsi="Arial" w:cs="Arial"/>
                <w:vertAlign w:val="superscript"/>
              </w:rPr>
              <w:t>st</w:t>
            </w:r>
            <w:r w:rsidR="008D0107">
              <w:rPr>
                <w:rFonts w:ascii="Arial" w:hAnsi="Arial" w:cs="Arial"/>
              </w:rPr>
              <w:t xml:space="preserve"> March 2022</w:t>
            </w:r>
          </w:p>
        </w:tc>
      </w:tr>
    </w:tbl>
    <w:p w14:paraId="173554B8" w14:textId="77777777" w:rsidR="005A63E4" w:rsidRPr="003539E4" w:rsidRDefault="005A63E4">
      <w:pPr>
        <w:rPr>
          <w:rFonts w:ascii="Ebrima" w:hAnsi="Ebrima"/>
          <w:b/>
        </w:rPr>
      </w:pPr>
    </w:p>
    <w:tbl>
      <w:tblPr>
        <w:tblStyle w:val="TableGrid"/>
        <w:tblW w:w="0" w:type="auto"/>
        <w:tblLook w:val="04A0" w:firstRow="1" w:lastRow="0" w:firstColumn="1" w:lastColumn="0" w:noHBand="0" w:noVBand="1"/>
      </w:tblPr>
      <w:tblGrid>
        <w:gridCol w:w="9016"/>
      </w:tblGrid>
      <w:tr w:rsidR="005A63E4" w:rsidRPr="00CC382E" w14:paraId="275A6B74" w14:textId="77777777" w:rsidTr="00A61617">
        <w:tc>
          <w:tcPr>
            <w:tcW w:w="9016" w:type="dxa"/>
            <w:shd w:val="clear" w:color="auto" w:fill="D9E2F3" w:themeFill="accent5" w:themeFillTint="33"/>
          </w:tcPr>
          <w:p w14:paraId="73FFDD6C" w14:textId="77777777" w:rsidR="005A63E4" w:rsidRPr="00CC382E" w:rsidRDefault="005A63E4" w:rsidP="00CC382E">
            <w:pPr>
              <w:pStyle w:val="ListParagraph"/>
              <w:numPr>
                <w:ilvl w:val="0"/>
                <w:numId w:val="2"/>
              </w:numPr>
              <w:spacing w:line="360" w:lineRule="auto"/>
              <w:rPr>
                <w:rFonts w:ascii="Arial" w:hAnsi="Arial" w:cs="Arial"/>
                <w:b/>
              </w:rPr>
            </w:pPr>
            <w:r w:rsidRPr="00CC382E">
              <w:rPr>
                <w:rFonts w:ascii="Arial" w:hAnsi="Arial" w:cs="Arial"/>
                <w:b/>
              </w:rPr>
              <w:t>Population needs</w:t>
            </w:r>
          </w:p>
          <w:p w14:paraId="39DE7C7C" w14:textId="77777777" w:rsidR="005A63E4" w:rsidRPr="00CC382E" w:rsidRDefault="005A63E4" w:rsidP="00CC382E">
            <w:pPr>
              <w:spacing w:line="360" w:lineRule="auto"/>
              <w:rPr>
                <w:rFonts w:ascii="Arial" w:hAnsi="Arial" w:cs="Arial"/>
                <w:b/>
              </w:rPr>
            </w:pPr>
          </w:p>
        </w:tc>
      </w:tr>
      <w:tr w:rsidR="005A63E4" w:rsidRPr="00CC382E" w14:paraId="4321113E" w14:textId="77777777" w:rsidTr="005A63E4">
        <w:tc>
          <w:tcPr>
            <w:tcW w:w="9016" w:type="dxa"/>
          </w:tcPr>
          <w:p w14:paraId="52D902C7" w14:textId="666D5736" w:rsidR="00BE24D9" w:rsidRPr="00CC382E" w:rsidRDefault="00BC2F8D" w:rsidP="00CC382E">
            <w:pPr>
              <w:pStyle w:val="ListParagraph"/>
              <w:numPr>
                <w:ilvl w:val="1"/>
                <w:numId w:val="2"/>
              </w:numPr>
              <w:spacing w:line="360" w:lineRule="auto"/>
              <w:rPr>
                <w:rFonts w:ascii="Arial" w:hAnsi="Arial" w:cs="Arial"/>
                <w:b/>
              </w:rPr>
            </w:pPr>
            <w:r w:rsidRPr="00CC382E">
              <w:rPr>
                <w:rFonts w:ascii="Arial" w:hAnsi="Arial" w:cs="Arial"/>
                <w:b/>
              </w:rPr>
              <w:t>About the service</w:t>
            </w:r>
          </w:p>
          <w:p w14:paraId="6A4C6AA0" w14:textId="77777777" w:rsidR="005A63E4" w:rsidRPr="00CC382E" w:rsidRDefault="005A63E4" w:rsidP="00CC382E">
            <w:pPr>
              <w:spacing w:line="360" w:lineRule="auto"/>
              <w:rPr>
                <w:rFonts w:ascii="Arial" w:hAnsi="Arial" w:cs="Arial"/>
              </w:rPr>
            </w:pPr>
          </w:p>
          <w:p w14:paraId="10A37044" w14:textId="0EB04F14" w:rsidR="007E0C3C" w:rsidRPr="00CC382E" w:rsidRDefault="00312306" w:rsidP="00CC382E">
            <w:pPr>
              <w:spacing w:line="360" w:lineRule="auto"/>
              <w:rPr>
                <w:rFonts w:ascii="Arial" w:hAnsi="Arial" w:cs="Arial"/>
              </w:rPr>
            </w:pPr>
            <w:r w:rsidRPr="00CC382E">
              <w:rPr>
                <w:rFonts w:ascii="Arial" w:hAnsi="Arial" w:cs="Arial"/>
              </w:rPr>
              <w:t xml:space="preserve">A budget of up to </w:t>
            </w:r>
            <w:r w:rsidR="0088201A" w:rsidRPr="0088201A">
              <w:rPr>
                <w:rFonts w:ascii="Arial" w:hAnsi="Arial" w:cs="Arial"/>
              </w:rPr>
              <w:t xml:space="preserve">£200,000.00 </w:t>
            </w:r>
            <w:r w:rsidR="00B17C7E" w:rsidRPr="00CC382E">
              <w:rPr>
                <w:rFonts w:ascii="Arial" w:hAnsi="Arial" w:cs="Arial"/>
              </w:rPr>
              <w:t xml:space="preserve">will be made available for </w:t>
            </w:r>
            <w:r w:rsidR="007E0C3C" w:rsidRPr="00CC382E">
              <w:rPr>
                <w:rFonts w:ascii="Arial" w:hAnsi="Arial" w:cs="Arial"/>
              </w:rPr>
              <w:t>a regional Hate Crime service, organisations supporting vulnerable individuals within the West Midlands are eligible to apply.</w:t>
            </w:r>
          </w:p>
          <w:p w14:paraId="6916A902" w14:textId="77777777" w:rsidR="007E0C3C" w:rsidRPr="00CC382E" w:rsidRDefault="007E0C3C" w:rsidP="00CC382E">
            <w:pPr>
              <w:spacing w:line="360" w:lineRule="auto"/>
              <w:rPr>
                <w:rFonts w:ascii="Arial" w:hAnsi="Arial" w:cs="Arial"/>
              </w:rPr>
            </w:pPr>
          </w:p>
          <w:p w14:paraId="255E966F" w14:textId="77777777" w:rsidR="00312306" w:rsidRPr="00CC382E" w:rsidRDefault="00312306" w:rsidP="00CC382E">
            <w:pPr>
              <w:spacing w:line="360" w:lineRule="auto"/>
              <w:rPr>
                <w:rFonts w:ascii="Arial" w:hAnsi="Arial" w:cs="Arial"/>
              </w:rPr>
            </w:pPr>
            <w:r w:rsidRPr="00CC382E">
              <w:rPr>
                <w:rFonts w:ascii="Arial" w:hAnsi="Arial" w:cs="Arial"/>
              </w:rPr>
              <w:t>All information supplied in this specification should be treated as confidential and disseminated only on a ‘need to know’ basis.</w:t>
            </w:r>
          </w:p>
          <w:p w14:paraId="38BDD899" w14:textId="77777777" w:rsidR="00312306" w:rsidRPr="00CC382E" w:rsidRDefault="00312306" w:rsidP="00CC382E">
            <w:pPr>
              <w:spacing w:line="360" w:lineRule="auto"/>
              <w:rPr>
                <w:rFonts w:ascii="Arial" w:hAnsi="Arial" w:cs="Arial"/>
              </w:rPr>
            </w:pPr>
          </w:p>
          <w:p w14:paraId="662B28DE" w14:textId="58062727" w:rsidR="005A63E4" w:rsidRPr="00CC382E" w:rsidRDefault="005A63E4" w:rsidP="00CC382E">
            <w:pPr>
              <w:spacing w:line="360" w:lineRule="auto"/>
              <w:rPr>
                <w:rFonts w:ascii="Arial" w:hAnsi="Arial" w:cs="Arial"/>
              </w:rPr>
            </w:pPr>
            <w:r w:rsidRPr="00CC382E">
              <w:rPr>
                <w:rFonts w:ascii="Arial" w:hAnsi="Arial" w:cs="Arial"/>
              </w:rPr>
              <w:t xml:space="preserve">This specification sets out the </w:t>
            </w:r>
            <w:r w:rsidR="00C02805" w:rsidRPr="00CC382E">
              <w:rPr>
                <w:rFonts w:ascii="Arial" w:hAnsi="Arial" w:cs="Arial"/>
              </w:rPr>
              <w:t xml:space="preserve">key </w:t>
            </w:r>
            <w:r w:rsidRPr="00CC382E">
              <w:rPr>
                <w:rFonts w:ascii="Arial" w:hAnsi="Arial" w:cs="Arial"/>
              </w:rPr>
              <w:t xml:space="preserve">deliverables for a highly specialised service for </w:t>
            </w:r>
            <w:r w:rsidR="00C02805" w:rsidRPr="00CC382E">
              <w:rPr>
                <w:rFonts w:ascii="Arial" w:hAnsi="Arial" w:cs="Arial"/>
              </w:rPr>
              <w:t xml:space="preserve">victims of </w:t>
            </w:r>
            <w:r w:rsidR="00182490" w:rsidRPr="00CC382E">
              <w:rPr>
                <w:rFonts w:ascii="Arial" w:hAnsi="Arial" w:cs="Arial"/>
              </w:rPr>
              <w:t xml:space="preserve">Hate Crime </w:t>
            </w:r>
            <w:r w:rsidR="00C02805" w:rsidRPr="00CC382E">
              <w:rPr>
                <w:rFonts w:ascii="Arial" w:hAnsi="Arial" w:cs="Arial"/>
              </w:rPr>
              <w:t xml:space="preserve">living in the West Midlands.  </w:t>
            </w:r>
            <w:r w:rsidR="00FE795B" w:rsidRPr="00CC382E">
              <w:rPr>
                <w:rFonts w:ascii="Arial" w:hAnsi="Arial" w:cs="Arial"/>
              </w:rPr>
              <w:t>The specification has been informed by feedback from partners</w:t>
            </w:r>
            <w:r w:rsidR="00C02805" w:rsidRPr="00CC382E">
              <w:rPr>
                <w:rFonts w:ascii="Arial" w:hAnsi="Arial" w:cs="Arial"/>
              </w:rPr>
              <w:t xml:space="preserve"> and stakeholders</w:t>
            </w:r>
            <w:r w:rsidR="00182490" w:rsidRPr="00CC382E">
              <w:rPr>
                <w:rFonts w:ascii="Arial" w:hAnsi="Arial" w:cs="Arial"/>
              </w:rPr>
              <w:t xml:space="preserve"> who attended the </w:t>
            </w:r>
            <w:r w:rsidR="00A04ADA">
              <w:rPr>
                <w:rFonts w:ascii="Arial" w:hAnsi="Arial" w:cs="Arial"/>
              </w:rPr>
              <w:t xml:space="preserve">West Midlands </w:t>
            </w:r>
            <w:r w:rsidR="00182490" w:rsidRPr="00CC382E">
              <w:rPr>
                <w:rFonts w:ascii="Arial" w:hAnsi="Arial" w:cs="Arial"/>
              </w:rPr>
              <w:t>O</w:t>
            </w:r>
            <w:r w:rsidR="00A04ADA">
              <w:rPr>
                <w:rFonts w:ascii="Arial" w:hAnsi="Arial" w:cs="Arial"/>
              </w:rPr>
              <w:t xml:space="preserve">ffice of the </w:t>
            </w:r>
            <w:r w:rsidR="00182490" w:rsidRPr="00CC382E">
              <w:rPr>
                <w:rFonts w:ascii="Arial" w:hAnsi="Arial" w:cs="Arial"/>
              </w:rPr>
              <w:t>P</w:t>
            </w:r>
            <w:r w:rsidR="00A04ADA">
              <w:rPr>
                <w:rFonts w:ascii="Arial" w:hAnsi="Arial" w:cs="Arial"/>
              </w:rPr>
              <w:t xml:space="preserve">olice and Crime Commissioner (OPCC) </w:t>
            </w:r>
            <w:r w:rsidR="00182490" w:rsidRPr="00CC382E">
              <w:rPr>
                <w:rFonts w:ascii="Arial" w:hAnsi="Arial" w:cs="Arial"/>
              </w:rPr>
              <w:t>Hate Crime S</w:t>
            </w:r>
            <w:r w:rsidR="00FE795B" w:rsidRPr="00CC382E">
              <w:rPr>
                <w:rFonts w:ascii="Arial" w:hAnsi="Arial" w:cs="Arial"/>
              </w:rPr>
              <w:t xml:space="preserve">ymposium </w:t>
            </w:r>
            <w:r w:rsidR="00182490" w:rsidRPr="00CC382E">
              <w:rPr>
                <w:rFonts w:ascii="Arial" w:hAnsi="Arial" w:cs="Arial"/>
              </w:rPr>
              <w:t>(</w:t>
            </w:r>
            <w:r w:rsidR="00182490" w:rsidRPr="00CC382E">
              <w:rPr>
                <w:rFonts w:ascii="Arial" w:hAnsi="Arial" w:cs="Arial"/>
                <w:i/>
              </w:rPr>
              <w:t>in June 2020</w:t>
            </w:r>
            <w:r w:rsidR="00182490" w:rsidRPr="00CC382E">
              <w:rPr>
                <w:rFonts w:ascii="Arial" w:hAnsi="Arial" w:cs="Arial"/>
              </w:rPr>
              <w:t xml:space="preserve">) </w:t>
            </w:r>
            <w:r w:rsidR="00FE795B" w:rsidRPr="00CC382E">
              <w:rPr>
                <w:rFonts w:ascii="Arial" w:hAnsi="Arial" w:cs="Arial"/>
              </w:rPr>
              <w:t>and throu</w:t>
            </w:r>
            <w:r w:rsidR="00182490" w:rsidRPr="00CC382E">
              <w:rPr>
                <w:rFonts w:ascii="Arial" w:hAnsi="Arial" w:cs="Arial"/>
              </w:rPr>
              <w:t>gh ongoing work as part of the OPCC Hate Crime W</w:t>
            </w:r>
            <w:r w:rsidR="00FE795B" w:rsidRPr="00CC382E">
              <w:rPr>
                <w:rFonts w:ascii="Arial" w:hAnsi="Arial" w:cs="Arial"/>
              </w:rPr>
              <w:t xml:space="preserve">orking </w:t>
            </w:r>
            <w:r w:rsidR="00182490" w:rsidRPr="00CC382E">
              <w:rPr>
                <w:rFonts w:ascii="Arial" w:hAnsi="Arial" w:cs="Arial"/>
              </w:rPr>
              <w:t>G</w:t>
            </w:r>
            <w:r w:rsidR="002F11AD" w:rsidRPr="00CC382E">
              <w:rPr>
                <w:rFonts w:ascii="Arial" w:hAnsi="Arial" w:cs="Arial"/>
              </w:rPr>
              <w:t>roup.</w:t>
            </w:r>
            <w:r w:rsidR="007E0C3C" w:rsidRPr="00CC382E">
              <w:rPr>
                <w:rFonts w:ascii="Arial" w:hAnsi="Arial" w:cs="Arial"/>
                <w:color w:val="000000"/>
              </w:rPr>
              <w:t xml:space="preserve"> </w:t>
            </w:r>
            <w:r w:rsidR="002F11AD" w:rsidRPr="00CC382E">
              <w:rPr>
                <w:rFonts w:ascii="Arial" w:hAnsi="Arial" w:cs="Arial"/>
              </w:rPr>
              <w:t xml:space="preserve">Partners who have contributed to the shaping of this specification include: </w:t>
            </w:r>
            <w:r w:rsidR="00685299" w:rsidRPr="00CC382E">
              <w:rPr>
                <w:rFonts w:ascii="Arial" w:hAnsi="Arial" w:cs="Arial"/>
              </w:rPr>
              <w:t xml:space="preserve">West Midlands </w:t>
            </w:r>
            <w:r w:rsidR="002F11AD" w:rsidRPr="00CC382E">
              <w:rPr>
                <w:rFonts w:ascii="Arial" w:hAnsi="Arial" w:cs="Arial"/>
              </w:rPr>
              <w:t>Crown Pros</w:t>
            </w:r>
            <w:r w:rsidR="00685299" w:rsidRPr="00CC382E">
              <w:rPr>
                <w:rFonts w:ascii="Arial" w:hAnsi="Arial" w:cs="Arial"/>
              </w:rPr>
              <w:t>ecution Service, Faith groups/ F</w:t>
            </w:r>
            <w:r w:rsidR="002F11AD" w:rsidRPr="00CC382E">
              <w:rPr>
                <w:rFonts w:ascii="Arial" w:hAnsi="Arial" w:cs="Arial"/>
              </w:rPr>
              <w:t>aith leads, Local Authority Hate Crime Coordinators, Local Councillor from Birmingham, Office of the Police and Crime Commissioner (West Midlands), Representatives from Aston</w:t>
            </w:r>
            <w:r w:rsidR="00685299" w:rsidRPr="00CC382E">
              <w:rPr>
                <w:rFonts w:ascii="Arial" w:hAnsi="Arial" w:cs="Arial"/>
              </w:rPr>
              <w:t xml:space="preserve"> University,</w:t>
            </w:r>
            <w:r w:rsidR="002F11AD" w:rsidRPr="00CC382E">
              <w:rPr>
                <w:rFonts w:ascii="Arial" w:hAnsi="Arial" w:cs="Arial"/>
              </w:rPr>
              <w:t xml:space="preserve"> Birmingham University, Voluntary sector services offering support to victi</w:t>
            </w:r>
            <w:r w:rsidR="00685299" w:rsidRPr="00CC382E">
              <w:rPr>
                <w:rFonts w:ascii="Arial" w:hAnsi="Arial" w:cs="Arial"/>
              </w:rPr>
              <w:t xml:space="preserve">ms of Hate crime in the region and </w:t>
            </w:r>
            <w:r w:rsidR="00CA0EF4" w:rsidRPr="00CC382E">
              <w:rPr>
                <w:rFonts w:ascii="Arial" w:hAnsi="Arial" w:cs="Arial"/>
              </w:rPr>
              <w:t>West Midlands Police.</w:t>
            </w:r>
          </w:p>
          <w:p w14:paraId="20CBAAD6" w14:textId="77777777" w:rsidR="00FE795B" w:rsidRPr="00CC382E" w:rsidRDefault="00FE795B" w:rsidP="00CC382E">
            <w:pPr>
              <w:spacing w:line="360" w:lineRule="auto"/>
              <w:rPr>
                <w:rFonts w:ascii="Arial" w:hAnsi="Arial" w:cs="Arial"/>
              </w:rPr>
            </w:pPr>
          </w:p>
          <w:p w14:paraId="40659395" w14:textId="77777777" w:rsidR="00685299" w:rsidRPr="00CC382E" w:rsidRDefault="005A63E4" w:rsidP="00CC382E">
            <w:pPr>
              <w:spacing w:line="360" w:lineRule="auto"/>
              <w:rPr>
                <w:rFonts w:ascii="Arial" w:hAnsi="Arial" w:cs="Arial"/>
              </w:rPr>
            </w:pPr>
            <w:r w:rsidRPr="00CC382E">
              <w:rPr>
                <w:rFonts w:ascii="Arial" w:hAnsi="Arial" w:cs="Arial"/>
                <w:b/>
              </w:rPr>
              <w:t xml:space="preserve">The service is commissioned to provide </w:t>
            </w:r>
            <w:r w:rsidR="00685299" w:rsidRPr="00CC382E">
              <w:rPr>
                <w:rFonts w:ascii="Arial" w:hAnsi="Arial" w:cs="Arial"/>
                <w:b/>
              </w:rPr>
              <w:t>the following elements of support</w:t>
            </w:r>
            <w:r w:rsidR="00685299" w:rsidRPr="00CC382E">
              <w:rPr>
                <w:rFonts w:ascii="Arial" w:hAnsi="Arial" w:cs="Arial"/>
              </w:rPr>
              <w:t>:</w:t>
            </w:r>
          </w:p>
          <w:p w14:paraId="13DB8BAE" w14:textId="67EFA66A" w:rsidR="00685299" w:rsidRPr="00CC382E" w:rsidRDefault="00685299" w:rsidP="00CC382E">
            <w:pPr>
              <w:pStyle w:val="ListParagraph"/>
              <w:numPr>
                <w:ilvl w:val="0"/>
                <w:numId w:val="14"/>
              </w:numPr>
              <w:spacing w:line="360" w:lineRule="auto"/>
              <w:rPr>
                <w:rFonts w:ascii="Arial" w:hAnsi="Arial" w:cs="Arial"/>
              </w:rPr>
            </w:pPr>
            <w:r w:rsidRPr="00CC382E">
              <w:rPr>
                <w:rFonts w:ascii="Arial" w:hAnsi="Arial" w:cs="Arial"/>
              </w:rPr>
              <w:lastRenderedPageBreak/>
              <w:t>A</w:t>
            </w:r>
            <w:r w:rsidR="00C02805" w:rsidRPr="00CC382E">
              <w:rPr>
                <w:rFonts w:ascii="Arial" w:hAnsi="Arial" w:cs="Arial"/>
              </w:rPr>
              <w:t xml:space="preserve">n </w:t>
            </w:r>
            <w:r w:rsidR="00BC2F8D" w:rsidRPr="00CC382E">
              <w:rPr>
                <w:rFonts w:ascii="Arial" w:hAnsi="Arial" w:cs="Arial"/>
              </w:rPr>
              <w:t>initial assessment</w:t>
            </w:r>
            <w:r w:rsidR="00F25457">
              <w:rPr>
                <w:rFonts w:ascii="Arial" w:hAnsi="Arial" w:cs="Arial"/>
              </w:rPr>
              <w:t xml:space="preserve"> (within 72 hours</w:t>
            </w:r>
            <w:r w:rsidR="00C02805" w:rsidRPr="00CC382E">
              <w:rPr>
                <w:rFonts w:ascii="Arial" w:hAnsi="Arial" w:cs="Arial"/>
              </w:rPr>
              <w:t xml:space="preserve"> of a crime being reported)</w:t>
            </w:r>
            <w:r w:rsidRPr="00CC382E">
              <w:rPr>
                <w:rFonts w:ascii="Arial" w:hAnsi="Arial" w:cs="Arial"/>
              </w:rPr>
              <w:t xml:space="preserve"> which will determine the needs of the victim following the crime being committed. </w:t>
            </w:r>
          </w:p>
          <w:p w14:paraId="688A4FCD" w14:textId="77777777" w:rsidR="00685299" w:rsidRPr="00CC382E" w:rsidRDefault="00685299" w:rsidP="00CC382E">
            <w:pPr>
              <w:pStyle w:val="ListParagraph"/>
              <w:numPr>
                <w:ilvl w:val="0"/>
                <w:numId w:val="14"/>
              </w:numPr>
              <w:spacing w:line="360" w:lineRule="auto"/>
              <w:rPr>
                <w:rFonts w:ascii="Arial" w:hAnsi="Arial" w:cs="Arial"/>
              </w:rPr>
            </w:pPr>
            <w:r w:rsidRPr="00CC382E">
              <w:rPr>
                <w:rFonts w:ascii="Arial" w:hAnsi="Arial" w:cs="Arial"/>
              </w:rPr>
              <w:t>S</w:t>
            </w:r>
            <w:r w:rsidR="00BC2F8D" w:rsidRPr="00CC382E">
              <w:rPr>
                <w:rFonts w:ascii="Arial" w:hAnsi="Arial" w:cs="Arial"/>
              </w:rPr>
              <w:t xml:space="preserve">pecialist support and advocacy </w:t>
            </w:r>
            <w:r w:rsidRPr="00CC382E">
              <w:rPr>
                <w:rFonts w:ascii="Arial" w:hAnsi="Arial" w:cs="Arial"/>
              </w:rPr>
              <w:t>i</w:t>
            </w:r>
            <w:r w:rsidR="005A63E4" w:rsidRPr="00CC382E">
              <w:rPr>
                <w:rFonts w:ascii="Arial" w:hAnsi="Arial" w:cs="Arial"/>
              </w:rPr>
              <w:t xml:space="preserve">ncluding </w:t>
            </w:r>
            <w:r w:rsidRPr="00CC382E">
              <w:rPr>
                <w:rFonts w:ascii="Arial" w:hAnsi="Arial" w:cs="Arial"/>
              </w:rPr>
              <w:t>trauma-</w:t>
            </w:r>
            <w:r w:rsidR="002F11AD" w:rsidRPr="00CC382E">
              <w:rPr>
                <w:rFonts w:ascii="Arial" w:hAnsi="Arial" w:cs="Arial"/>
              </w:rPr>
              <w:t>informed emotional</w:t>
            </w:r>
            <w:r w:rsidR="005A63E4" w:rsidRPr="00CC382E">
              <w:rPr>
                <w:rFonts w:ascii="Arial" w:hAnsi="Arial" w:cs="Arial"/>
              </w:rPr>
              <w:t xml:space="preserve"> support </w:t>
            </w:r>
            <w:r w:rsidR="002F11AD" w:rsidRPr="00CC382E">
              <w:rPr>
                <w:rFonts w:ascii="Arial" w:hAnsi="Arial" w:cs="Arial"/>
              </w:rPr>
              <w:t xml:space="preserve">to help </w:t>
            </w:r>
            <w:r w:rsidRPr="00CC382E">
              <w:rPr>
                <w:rFonts w:ascii="Arial" w:hAnsi="Arial" w:cs="Arial"/>
              </w:rPr>
              <w:t xml:space="preserve">victims </w:t>
            </w:r>
            <w:r w:rsidR="002F11AD" w:rsidRPr="00CC382E">
              <w:rPr>
                <w:rFonts w:ascii="Arial" w:hAnsi="Arial" w:cs="Arial"/>
              </w:rPr>
              <w:t>cope and recover.</w:t>
            </w:r>
          </w:p>
          <w:p w14:paraId="1D245127" w14:textId="77777777" w:rsidR="00685299" w:rsidRPr="00CC382E" w:rsidRDefault="00685299" w:rsidP="00CC382E">
            <w:pPr>
              <w:spacing w:line="360" w:lineRule="auto"/>
              <w:rPr>
                <w:rFonts w:ascii="Arial" w:hAnsi="Arial" w:cs="Arial"/>
              </w:rPr>
            </w:pPr>
          </w:p>
          <w:p w14:paraId="154A0B4E" w14:textId="77777777" w:rsidR="00685299" w:rsidRPr="00CC382E" w:rsidRDefault="00685299" w:rsidP="00CC382E">
            <w:pPr>
              <w:spacing w:line="360" w:lineRule="auto"/>
              <w:rPr>
                <w:rFonts w:ascii="Arial" w:hAnsi="Arial" w:cs="Arial"/>
              </w:rPr>
            </w:pPr>
            <w:r w:rsidRPr="00CC382E">
              <w:rPr>
                <w:rFonts w:ascii="Arial" w:hAnsi="Arial" w:cs="Arial"/>
                <w:b/>
              </w:rPr>
              <w:t>Applicants are to demonstrate how they will meet the following obligations</w:t>
            </w:r>
            <w:r w:rsidRPr="00CC382E">
              <w:rPr>
                <w:rFonts w:ascii="Arial" w:hAnsi="Arial" w:cs="Arial"/>
              </w:rPr>
              <w:t xml:space="preserve">: </w:t>
            </w:r>
          </w:p>
          <w:p w14:paraId="62435157" w14:textId="46CB550C" w:rsidR="00BC5C5E" w:rsidRDefault="00685299" w:rsidP="00CC382E">
            <w:pPr>
              <w:pStyle w:val="ListParagraph"/>
              <w:numPr>
                <w:ilvl w:val="0"/>
                <w:numId w:val="14"/>
              </w:numPr>
              <w:spacing w:line="360" w:lineRule="auto"/>
              <w:rPr>
                <w:rFonts w:ascii="Arial" w:hAnsi="Arial" w:cs="Arial"/>
              </w:rPr>
            </w:pPr>
            <w:r w:rsidRPr="00CC382E">
              <w:rPr>
                <w:rFonts w:ascii="Arial" w:hAnsi="Arial" w:cs="Arial"/>
              </w:rPr>
              <w:t>Have referral mechanisms</w:t>
            </w:r>
            <w:r w:rsidR="00BC5C5E">
              <w:rPr>
                <w:rFonts w:ascii="Arial" w:hAnsi="Arial" w:cs="Arial"/>
              </w:rPr>
              <w:t xml:space="preserve"> into specialist hate crime support services covering all 5 strands of hate crime if the provider is unable to offer this support</w:t>
            </w:r>
          </w:p>
          <w:p w14:paraId="54A06369" w14:textId="28194BA6" w:rsidR="00685299" w:rsidRDefault="00BC5C5E" w:rsidP="00BC5C5E">
            <w:pPr>
              <w:pStyle w:val="ListParagraph"/>
              <w:numPr>
                <w:ilvl w:val="0"/>
                <w:numId w:val="14"/>
              </w:numPr>
              <w:spacing w:line="360" w:lineRule="auto"/>
              <w:rPr>
                <w:rFonts w:ascii="Arial" w:hAnsi="Arial" w:cs="Arial"/>
              </w:rPr>
            </w:pPr>
            <w:r w:rsidRPr="00BC5C5E">
              <w:rPr>
                <w:rFonts w:ascii="Arial" w:hAnsi="Arial" w:cs="Arial"/>
              </w:rPr>
              <w:t xml:space="preserve">Have referral mechanisms </w:t>
            </w:r>
            <w:r w:rsidR="00685299" w:rsidRPr="00CC382E">
              <w:rPr>
                <w:rFonts w:ascii="Arial" w:hAnsi="Arial" w:cs="Arial"/>
              </w:rPr>
              <w:t>into</w:t>
            </w:r>
            <w:r w:rsidR="00CA0EF4" w:rsidRPr="00CC382E">
              <w:rPr>
                <w:rFonts w:ascii="Arial" w:hAnsi="Arial" w:cs="Arial"/>
              </w:rPr>
              <w:t xml:space="preserve"> third party reporting centres</w:t>
            </w:r>
            <w:r w:rsidR="00685299" w:rsidRPr="00CC382E">
              <w:rPr>
                <w:rFonts w:ascii="Arial" w:hAnsi="Arial" w:cs="Arial"/>
              </w:rPr>
              <w:t xml:space="preserve"> if the commissioned service is not a third party reporting centre </w:t>
            </w:r>
          </w:p>
          <w:p w14:paraId="6D77E6A2" w14:textId="3B5DE7CA" w:rsidR="0081647A" w:rsidRPr="0081647A" w:rsidRDefault="0081647A" w:rsidP="0081647A">
            <w:pPr>
              <w:pStyle w:val="ListParagraph"/>
              <w:numPr>
                <w:ilvl w:val="0"/>
                <w:numId w:val="14"/>
              </w:numPr>
              <w:spacing w:line="360" w:lineRule="auto"/>
              <w:rPr>
                <w:rFonts w:ascii="Arial" w:hAnsi="Arial" w:cs="Arial"/>
              </w:rPr>
            </w:pPr>
            <w:r w:rsidRPr="0081647A">
              <w:rPr>
                <w:rFonts w:ascii="Arial" w:hAnsi="Arial" w:cs="Arial"/>
              </w:rPr>
              <w:t>Awareness raising workshops in the community</w:t>
            </w:r>
          </w:p>
          <w:p w14:paraId="2E2759B3" w14:textId="77777777" w:rsidR="0081647A" w:rsidRDefault="00685299" w:rsidP="0081647A">
            <w:pPr>
              <w:pStyle w:val="ListParagraph"/>
              <w:numPr>
                <w:ilvl w:val="0"/>
                <w:numId w:val="14"/>
              </w:numPr>
              <w:spacing w:line="360" w:lineRule="auto"/>
              <w:rPr>
                <w:rFonts w:ascii="Arial" w:hAnsi="Arial" w:cs="Arial"/>
              </w:rPr>
            </w:pPr>
            <w:r w:rsidRPr="00CC382E">
              <w:rPr>
                <w:rFonts w:ascii="Arial" w:hAnsi="Arial" w:cs="Arial"/>
              </w:rPr>
              <w:t>Reporting centres are to</w:t>
            </w:r>
            <w:r w:rsidR="00CA0EF4" w:rsidRPr="00CC382E">
              <w:rPr>
                <w:rFonts w:ascii="Arial" w:hAnsi="Arial" w:cs="Arial"/>
              </w:rPr>
              <w:t xml:space="preserve"> provide a </w:t>
            </w:r>
            <w:r w:rsidR="00CA0EF4" w:rsidRPr="0081647A">
              <w:rPr>
                <w:rFonts w:ascii="Arial" w:hAnsi="Arial" w:cs="Arial"/>
                <w:b/>
                <w:u w:val="single"/>
              </w:rPr>
              <w:t>safe space</w:t>
            </w:r>
            <w:r w:rsidR="00CA0EF4" w:rsidRPr="00CC382E">
              <w:rPr>
                <w:rFonts w:ascii="Arial" w:hAnsi="Arial" w:cs="Arial"/>
              </w:rPr>
              <w:t xml:space="preserve"> for victims to report</w:t>
            </w:r>
            <w:r w:rsidRPr="00CC382E">
              <w:rPr>
                <w:rFonts w:ascii="Arial" w:hAnsi="Arial" w:cs="Arial"/>
              </w:rPr>
              <w:t xml:space="preserve"> </w:t>
            </w:r>
          </w:p>
          <w:p w14:paraId="5FDB6523" w14:textId="77777777" w:rsidR="0081647A" w:rsidRDefault="0081647A" w:rsidP="00CC382E">
            <w:pPr>
              <w:spacing w:line="360" w:lineRule="auto"/>
              <w:rPr>
                <w:rFonts w:ascii="Arial" w:hAnsi="Arial" w:cs="Arial"/>
              </w:rPr>
            </w:pPr>
          </w:p>
          <w:p w14:paraId="16542B4A" w14:textId="6341D4DA" w:rsidR="000D6A5F" w:rsidRDefault="0081647A" w:rsidP="00CC382E">
            <w:pPr>
              <w:spacing w:line="360" w:lineRule="auto"/>
              <w:rPr>
                <w:rFonts w:ascii="Arial" w:hAnsi="Arial" w:cs="Arial"/>
              </w:rPr>
            </w:pPr>
            <w:r>
              <w:rPr>
                <w:rFonts w:ascii="Arial" w:hAnsi="Arial" w:cs="Arial"/>
              </w:rPr>
              <w:t>Our expectation of a safe space is one which is shaped to</w:t>
            </w:r>
            <w:r w:rsidRPr="0081647A">
              <w:rPr>
                <w:rFonts w:ascii="Arial" w:hAnsi="Arial" w:cs="Arial"/>
              </w:rPr>
              <w:t xml:space="preserve"> provide respect and emotional security, </w:t>
            </w:r>
            <w:r>
              <w:rPr>
                <w:rFonts w:ascii="Arial" w:hAnsi="Arial" w:cs="Arial"/>
              </w:rPr>
              <w:t>taking into account the barrier</w:t>
            </w:r>
            <w:r w:rsidR="00924F7B">
              <w:rPr>
                <w:rFonts w:ascii="Arial" w:hAnsi="Arial" w:cs="Arial"/>
              </w:rPr>
              <w:t>s faced by individuals</w:t>
            </w:r>
            <w:r>
              <w:rPr>
                <w:rFonts w:ascii="Arial" w:hAnsi="Arial" w:cs="Arial"/>
              </w:rPr>
              <w:t xml:space="preserve"> from historically marginalis</w:t>
            </w:r>
            <w:r w:rsidRPr="0081647A">
              <w:rPr>
                <w:rFonts w:ascii="Arial" w:hAnsi="Arial" w:cs="Arial"/>
              </w:rPr>
              <w:t>ed groups.</w:t>
            </w:r>
            <w:r>
              <w:rPr>
                <w:rFonts w:ascii="Arial" w:hAnsi="Arial" w:cs="Arial"/>
              </w:rPr>
              <w:t xml:space="preserve"> A “safe space” does not have to be a physical location, providers will be expected to</w:t>
            </w:r>
            <w:r w:rsidRPr="0081647A">
              <w:rPr>
                <w:rFonts w:ascii="Arial" w:hAnsi="Arial" w:cs="Arial"/>
              </w:rPr>
              <w:t xml:space="preserve"> hold </w:t>
            </w:r>
            <w:r>
              <w:rPr>
                <w:rFonts w:ascii="Arial" w:hAnsi="Arial" w:cs="Arial"/>
              </w:rPr>
              <w:t xml:space="preserve">and demonstrate that through their delivery they </w:t>
            </w:r>
            <w:r w:rsidRPr="0081647A">
              <w:rPr>
                <w:rFonts w:ascii="Arial" w:hAnsi="Arial" w:cs="Arial"/>
              </w:rPr>
              <w:t xml:space="preserve">commit </w:t>
            </w:r>
            <w:r>
              <w:rPr>
                <w:rFonts w:ascii="Arial" w:hAnsi="Arial" w:cs="Arial"/>
              </w:rPr>
              <w:t xml:space="preserve">and aim to </w:t>
            </w:r>
            <w:r w:rsidRPr="0081647A">
              <w:rPr>
                <w:rFonts w:ascii="Arial" w:hAnsi="Arial" w:cs="Arial"/>
              </w:rPr>
              <w:t xml:space="preserve">provide </w:t>
            </w:r>
            <w:r>
              <w:rPr>
                <w:rFonts w:ascii="Arial" w:hAnsi="Arial" w:cs="Arial"/>
              </w:rPr>
              <w:t>victims</w:t>
            </w:r>
            <w:r w:rsidRPr="0081647A">
              <w:rPr>
                <w:rFonts w:ascii="Arial" w:hAnsi="Arial" w:cs="Arial"/>
              </w:rPr>
              <w:t xml:space="preserve"> with a sup</w:t>
            </w:r>
            <w:r w:rsidR="00924F7B">
              <w:rPr>
                <w:rFonts w:ascii="Arial" w:hAnsi="Arial" w:cs="Arial"/>
              </w:rPr>
              <w:t xml:space="preserve">portive, non-discriminatory and </w:t>
            </w:r>
            <w:r>
              <w:rPr>
                <w:rFonts w:ascii="Arial" w:hAnsi="Arial" w:cs="Arial"/>
              </w:rPr>
              <w:t>respectful environment</w:t>
            </w:r>
            <w:r w:rsidR="00924F7B">
              <w:rPr>
                <w:rFonts w:ascii="Arial" w:hAnsi="Arial" w:cs="Arial"/>
              </w:rPr>
              <w:t xml:space="preserve">. </w:t>
            </w:r>
          </w:p>
          <w:p w14:paraId="2498DE04" w14:textId="77777777" w:rsidR="0081647A" w:rsidRPr="00CC382E" w:rsidRDefault="0081647A" w:rsidP="00CC382E">
            <w:pPr>
              <w:spacing w:line="360" w:lineRule="auto"/>
              <w:rPr>
                <w:rFonts w:ascii="Arial" w:hAnsi="Arial" w:cs="Arial"/>
              </w:rPr>
            </w:pPr>
          </w:p>
          <w:p w14:paraId="360D6577" w14:textId="77777777" w:rsidR="000D6A5F" w:rsidRPr="00CC382E" w:rsidRDefault="000D6A5F" w:rsidP="00CC382E">
            <w:pPr>
              <w:spacing w:line="360" w:lineRule="auto"/>
              <w:rPr>
                <w:rFonts w:ascii="Arial" w:hAnsi="Arial" w:cs="Arial"/>
                <w:b/>
              </w:rPr>
            </w:pPr>
            <w:r w:rsidRPr="00CC382E">
              <w:rPr>
                <w:rFonts w:ascii="Arial" w:hAnsi="Arial" w:cs="Arial"/>
                <w:b/>
              </w:rPr>
              <w:t xml:space="preserve">Anti-social Behaviour Factors </w:t>
            </w:r>
          </w:p>
          <w:p w14:paraId="3AFA46D2" w14:textId="6F325FFC" w:rsidR="000D6A5F" w:rsidRPr="00CC382E" w:rsidRDefault="000D6A5F" w:rsidP="00CC382E">
            <w:pPr>
              <w:spacing w:line="360" w:lineRule="auto"/>
              <w:rPr>
                <w:rFonts w:ascii="Arial" w:hAnsi="Arial" w:cs="Arial"/>
              </w:rPr>
            </w:pPr>
            <w:r w:rsidRPr="00CC382E">
              <w:rPr>
                <w:rFonts w:ascii="Arial" w:hAnsi="Arial" w:cs="Arial"/>
              </w:rPr>
              <w:t>If an incident of ASB is perceived by a victim to be motivated by hate, providers have an obligation to support victims and offer support to report the crime. It is not the role of the provider to determine through their assessment the ‘</w:t>
            </w:r>
            <w:r w:rsidRPr="00CC382E">
              <w:rPr>
                <w:rFonts w:ascii="Arial" w:hAnsi="Arial" w:cs="Arial"/>
                <w:i/>
              </w:rPr>
              <w:t>motivation or cause of the crime</w:t>
            </w:r>
            <w:r w:rsidRPr="00CC382E">
              <w:rPr>
                <w:rFonts w:ascii="Arial" w:hAnsi="Arial" w:cs="Arial"/>
              </w:rPr>
              <w:t xml:space="preserve">.’ The perception of the person affected </w:t>
            </w:r>
            <w:r w:rsidR="003539E4" w:rsidRPr="00CC382E">
              <w:rPr>
                <w:rFonts w:ascii="Arial" w:hAnsi="Arial" w:cs="Arial"/>
              </w:rPr>
              <w:t xml:space="preserve">is </w:t>
            </w:r>
            <w:r w:rsidR="009841AB">
              <w:rPr>
                <w:rFonts w:ascii="Arial" w:hAnsi="Arial" w:cs="Arial"/>
              </w:rPr>
              <w:t xml:space="preserve">fundamental in determining the </w:t>
            </w:r>
            <w:r w:rsidR="003539E4" w:rsidRPr="00CC382E">
              <w:rPr>
                <w:rFonts w:ascii="Arial" w:hAnsi="Arial" w:cs="Arial"/>
              </w:rPr>
              <w:t xml:space="preserve">support offered. </w:t>
            </w:r>
          </w:p>
          <w:p w14:paraId="2E7BAFCC" w14:textId="77777777" w:rsidR="005A63E4" w:rsidRPr="00CC382E" w:rsidRDefault="005A63E4" w:rsidP="00CC382E">
            <w:pPr>
              <w:spacing w:line="360" w:lineRule="auto"/>
              <w:rPr>
                <w:rFonts w:ascii="Arial" w:hAnsi="Arial" w:cs="Arial"/>
              </w:rPr>
            </w:pPr>
          </w:p>
          <w:p w14:paraId="5A13DFDA" w14:textId="77777777" w:rsidR="002F11AD" w:rsidRPr="00CC382E" w:rsidRDefault="005A63E4" w:rsidP="00CC382E">
            <w:pPr>
              <w:spacing w:line="360" w:lineRule="auto"/>
              <w:rPr>
                <w:rFonts w:ascii="Arial" w:hAnsi="Arial" w:cs="Arial"/>
              </w:rPr>
            </w:pPr>
            <w:r w:rsidRPr="00CC382E">
              <w:rPr>
                <w:rFonts w:ascii="Arial" w:hAnsi="Arial" w:cs="Arial"/>
              </w:rPr>
              <w:t>The service will</w:t>
            </w:r>
            <w:r w:rsidR="00BC2F8D" w:rsidRPr="00CC382E">
              <w:rPr>
                <w:rFonts w:ascii="Arial" w:hAnsi="Arial" w:cs="Arial"/>
              </w:rPr>
              <w:t xml:space="preserve"> work with all strands of hate </w:t>
            </w:r>
            <w:r w:rsidR="002F11AD" w:rsidRPr="00CC382E">
              <w:rPr>
                <w:rFonts w:ascii="Arial" w:hAnsi="Arial" w:cs="Arial"/>
              </w:rPr>
              <w:t>crime (</w:t>
            </w:r>
            <w:r w:rsidR="002F11AD" w:rsidRPr="00CC382E">
              <w:rPr>
                <w:rFonts w:ascii="Arial" w:hAnsi="Arial" w:cs="Arial"/>
                <w:i/>
              </w:rPr>
              <w:t>see below</w:t>
            </w:r>
            <w:r w:rsidR="002F11AD" w:rsidRPr="00CC382E">
              <w:rPr>
                <w:rFonts w:ascii="Arial" w:hAnsi="Arial" w:cs="Arial"/>
              </w:rPr>
              <w:t>) and will be delivered through a highly specialist team with contributions from specialist workers from</w:t>
            </w:r>
            <w:r w:rsidR="00523E15" w:rsidRPr="00CC382E">
              <w:rPr>
                <w:rFonts w:ascii="Arial" w:hAnsi="Arial" w:cs="Arial"/>
              </w:rPr>
              <w:t xml:space="preserve"> equalities-based organisations:</w:t>
            </w:r>
          </w:p>
          <w:p w14:paraId="477F979F" w14:textId="77777777" w:rsidR="00523E15" w:rsidRPr="00CC382E" w:rsidRDefault="00523E15" w:rsidP="00CC382E">
            <w:pPr>
              <w:spacing w:line="360" w:lineRule="auto"/>
              <w:rPr>
                <w:rFonts w:ascii="Arial" w:hAnsi="Arial" w:cs="Arial"/>
              </w:rPr>
            </w:pPr>
          </w:p>
          <w:p w14:paraId="04E8780C" w14:textId="77777777" w:rsidR="002F11AD" w:rsidRPr="00CC382E" w:rsidRDefault="002F11AD" w:rsidP="00CC382E">
            <w:pPr>
              <w:pStyle w:val="ListParagraph"/>
              <w:numPr>
                <w:ilvl w:val="0"/>
                <w:numId w:val="11"/>
              </w:numPr>
              <w:spacing w:line="360" w:lineRule="auto"/>
              <w:rPr>
                <w:rFonts w:ascii="Arial" w:hAnsi="Arial" w:cs="Arial"/>
              </w:rPr>
            </w:pPr>
            <w:r w:rsidRPr="00CC382E">
              <w:rPr>
                <w:rFonts w:ascii="Arial" w:hAnsi="Arial" w:cs="Arial"/>
              </w:rPr>
              <w:t>Disability hate crime</w:t>
            </w:r>
          </w:p>
          <w:p w14:paraId="65520A32" w14:textId="77777777" w:rsidR="002F11AD" w:rsidRPr="00CC382E" w:rsidRDefault="006A6C67" w:rsidP="00CC382E">
            <w:pPr>
              <w:pStyle w:val="ListParagraph"/>
              <w:numPr>
                <w:ilvl w:val="0"/>
                <w:numId w:val="11"/>
              </w:numPr>
              <w:spacing w:line="360" w:lineRule="auto"/>
              <w:rPr>
                <w:rFonts w:ascii="Arial" w:hAnsi="Arial" w:cs="Arial"/>
              </w:rPr>
            </w:pPr>
            <w:r w:rsidRPr="00CC382E">
              <w:rPr>
                <w:rFonts w:ascii="Arial" w:hAnsi="Arial" w:cs="Arial"/>
              </w:rPr>
              <w:t>Transgender I</w:t>
            </w:r>
            <w:r w:rsidR="002F11AD" w:rsidRPr="00CC382E">
              <w:rPr>
                <w:rFonts w:ascii="Arial" w:hAnsi="Arial" w:cs="Arial"/>
              </w:rPr>
              <w:t>dentity</w:t>
            </w:r>
          </w:p>
          <w:p w14:paraId="175E15F4" w14:textId="77777777" w:rsidR="002F11AD" w:rsidRPr="00CC382E" w:rsidRDefault="006A6C67" w:rsidP="00CC382E">
            <w:pPr>
              <w:pStyle w:val="ListParagraph"/>
              <w:numPr>
                <w:ilvl w:val="0"/>
                <w:numId w:val="11"/>
              </w:numPr>
              <w:spacing w:line="360" w:lineRule="auto"/>
              <w:rPr>
                <w:rFonts w:ascii="Arial" w:hAnsi="Arial" w:cs="Arial"/>
              </w:rPr>
            </w:pPr>
            <w:r w:rsidRPr="00CC382E">
              <w:rPr>
                <w:rFonts w:ascii="Arial" w:hAnsi="Arial" w:cs="Arial"/>
              </w:rPr>
              <w:t>Race/Ethnicity or N</w:t>
            </w:r>
            <w:r w:rsidR="002F11AD" w:rsidRPr="00CC382E">
              <w:rPr>
                <w:rFonts w:ascii="Arial" w:hAnsi="Arial" w:cs="Arial"/>
              </w:rPr>
              <w:t>ationality</w:t>
            </w:r>
          </w:p>
          <w:p w14:paraId="0F7CF9CD" w14:textId="77777777" w:rsidR="002F11AD" w:rsidRPr="00CC382E" w:rsidRDefault="006A6C67" w:rsidP="00CC382E">
            <w:pPr>
              <w:pStyle w:val="ListParagraph"/>
              <w:numPr>
                <w:ilvl w:val="0"/>
                <w:numId w:val="11"/>
              </w:numPr>
              <w:spacing w:line="360" w:lineRule="auto"/>
              <w:rPr>
                <w:rFonts w:ascii="Arial" w:hAnsi="Arial" w:cs="Arial"/>
              </w:rPr>
            </w:pPr>
            <w:r w:rsidRPr="00CC382E">
              <w:rPr>
                <w:rFonts w:ascii="Arial" w:hAnsi="Arial" w:cs="Arial"/>
              </w:rPr>
              <w:t>Religion/Faith or B</w:t>
            </w:r>
            <w:r w:rsidR="002F11AD" w:rsidRPr="00CC382E">
              <w:rPr>
                <w:rFonts w:ascii="Arial" w:hAnsi="Arial" w:cs="Arial"/>
              </w:rPr>
              <w:t>elief</w:t>
            </w:r>
          </w:p>
          <w:p w14:paraId="4887DDE0" w14:textId="77777777" w:rsidR="002F11AD" w:rsidRPr="00CC382E" w:rsidRDefault="006A6C67" w:rsidP="00CC382E">
            <w:pPr>
              <w:pStyle w:val="ListParagraph"/>
              <w:numPr>
                <w:ilvl w:val="0"/>
                <w:numId w:val="11"/>
              </w:numPr>
              <w:spacing w:line="360" w:lineRule="auto"/>
              <w:rPr>
                <w:rFonts w:ascii="Arial" w:hAnsi="Arial" w:cs="Arial"/>
              </w:rPr>
            </w:pPr>
            <w:r w:rsidRPr="00CC382E">
              <w:rPr>
                <w:rFonts w:ascii="Arial" w:hAnsi="Arial" w:cs="Arial"/>
              </w:rPr>
              <w:t>Sexual O</w:t>
            </w:r>
            <w:r w:rsidR="002F11AD" w:rsidRPr="00CC382E">
              <w:rPr>
                <w:rFonts w:ascii="Arial" w:hAnsi="Arial" w:cs="Arial"/>
              </w:rPr>
              <w:t>rientation</w:t>
            </w:r>
          </w:p>
          <w:p w14:paraId="1F57C141" w14:textId="77777777" w:rsidR="00523E15" w:rsidRPr="00CC382E" w:rsidRDefault="00523E15" w:rsidP="00CC382E">
            <w:pPr>
              <w:spacing w:line="360" w:lineRule="auto"/>
              <w:rPr>
                <w:rFonts w:ascii="Arial" w:hAnsi="Arial" w:cs="Arial"/>
              </w:rPr>
            </w:pPr>
          </w:p>
          <w:p w14:paraId="049D9D27" w14:textId="77777777" w:rsidR="00523E15" w:rsidRPr="00CC382E" w:rsidRDefault="00523E15" w:rsidP="00CC382E">
            <w:pPr>
              <w:spacing w:line="360" w:lineRule="auto"/>
              <w:rPr>
                <w:rFonts w:ascii="Arial" w:hAnsi="Arial" w:cs="Arial"/>
              </w:rPr>
            </w:pPr>
            <w:r w:rsidRPr="00CC382E">
              <w:rPr>
                <w:rFonts w:ascii="Arial" w:hAnsi="Arial" w:cs="Arial"/>
              </w:rPr>
              <w:lastRenderedPageBreak/>
              <w:t xml:space="preserve">In supporting victims of hate crime, we would expect that the following characteristics will shape services in place for victims of hate crime:  </w:t>
            </w:r>
          </w:p>
          <w:p w14:paraId="2DA2A009" w14:textId="77777777" w:rsidR="00523E15" w:rsidRPr="00CC382E" w:rsidRDefault="00523E15" w:rsidP="00CC382E">
            <w:pPr>
              <w:spacing w:line="360" w:lineRule="auto"/>
              <w:rPr>
                <w:rFonts w:ascii="Arial" w:hAnsi="Arial" w:cs="Arial"/>
              </w:rPr>
            </w:pPr>
          </w:p>
          <w:p w14:paraId="52E23BF4" w14:textId="77777777" w:rsidR="00523E15" w:rsidRPr="00CC382E" w:rsidRDefault="00523E15" w:rsidP="00CC382E">
            <w:pPr>
              <w:pStyle w:val="ListParagraph"/>
              <w:numPr>
                <w:ilvl w:val="0"/>
                <w:numId w:val="15"/>
              </w:numPr>
              <w:spacing w:line="360" w:lineRule="auto"/>
              <w:rPr>
                <w:rFonts w:ascii="Arial" w:hAnsi="Arial" w:cs="Arial"/>
              </w:rPr>
            </w:pPr>
            <w:r w:rsidRPr="00CC382E">
              <w:rPr>
                <w:rFonts w:ascii="Arial" w:hAnsi="Arial" w:cs="Arial"/>
              </w:rPr>
              <w:t>Treating victims with kindness and compassion</w:t>
            </w:r>
          </w:p>
          <w:p w14:paraId="4C22F2CE" w14:textId="77777777" w:rsidR="00523E15" w:rsidRPr="00CC382E" w:rsidRDefault="00523E15" w:rsidP="00CC382E">
            <w:pPr>
              <w:pStyle w:val="ListParagraph"/>
              <w:numPr>
                <w:ilvl w:val="0"/>
                <w:numId w:val="15"/>
              </w:numPr>
              <w:spacing w:line="360" w:lineRule="auto"/>
              <w:rPr>
                <w:rFonts w:ascii="Arial" w:hAnsi="Arial" w:cs="Arial"/>
              </w:rPr>
            </w:pPr>
            <w:r w:rsidRPr="00CC382E">
              <w:rPr>
                <w:rFonts w:ascii="Arial" w:hAnsi="Arial" w:cs="Arial"/>
              </w:rPr>
              <w:t>The ability for victims to access practical support (e.g. safety advice, personal safety equipment)</w:t>
            </w:r>
          </w:p>
          <w:p w14:paraId="73C9A9A4" w14:textId="77777777" w:rsidR="00523E15" w:rsidRPr="00CC382E" w:rsidRDefault="00833522" w:rsidP="00CC382E">
            <w:pPr>
              <w:pStyle w:val="ListParagraph"/>
              <w:numPr>
                <w:ilvl w:val="0"/>
                <w:numId w:val="15"/>
              </w:numPr>
              <w:spacing w:line="360" w:lineRule="auto"/>
              <w:rPr>
                <w:rFonts w:ascii="Arial" w:hAnsi="Arial" w:cs="Arial"/>
              </w:rPr>
            </w:pPr>
            <w:r w:rsidRPr="00CC382E">
              <w:rPr>
                <w:rFonts w:ascii="Arial" w:hAnsi="Arial" w:cs="Arial"/>
              </w:rPr>
              <w:t>Victims a</w:t>
            </w:r>
            <w:r w:rsidR="00523E15" w:rsidRPr="00CC382E">
              <w:rPr>
                <w:rFonts w:ascii="Arial" w:hAnsi="Arial" w:cs="Arial"/>
              </w:rPr>
              <w:t>ccess</w:t>
            </w:r>
            <w:r w:rsidRPr="00CC382E">
              <w:rPr>
                <w:rFonts w:ascii="Arial" w:hAnsi="Arial" w:cs="Arial"/>
              </w:rPr>
              <w:t>ing</w:t>
            </w:r>
            <w:r w:rsidR="00523E15" w:rsidRPr="00CC382E">
              <w:rPr>
                <w:rFonts w:ascii="Arial" w:hAnsi="Arial" w:cs="Arial"/>
              </w:rPr>
              <w:t xml:space="preserve"> support quickly</w:t>
            </w:r>
          </w:p>
          <w:p w14:paraId="1A7DEC7F" w14:textId="77777777" w:rsidR="00833522" w:rsidRPr="00CC382E" w:rsidRDefault="00523E15" w:rsidP="00CC382E">
            <w:pPr>
              <w:pStyle w:val="ListParagraph"/>
              <w:numPr>
                <w:ilvl w:val="0"/>
                <w:numId w:val="15"/>
              </w:numPr>
              <w:spacing w:line="360" w:lineRule="auto"/>
              <w:rPr>
                <w:rFonts w:ascii="Arial" w:hAnsi="Arial" w:cs="Arial"/>
              </w:rPr>
            </w:pPr>
            <w:r w:rsidRPr="00CC382E">
              <w:rPr>
                <w:rFonts w:ascii="Arial" w:hAnsi="Arial" w:cs="Arial"/>
              </w:rPr>
              <w:t>Accessing support from a</w:t>
            </w:r>
            <w:r w:rsidR="00833522" w:rsidRPr="00CC382E">
              <w:rPr>
                <w:rFonts w:ascii="Arial" w:hAnsi="Arial" w:cs="Arial"/>
              </w:rPr>
              <w:t xml:space="preserve"> </w:t>
            </w:r>
            <w:r w:rsidRPr="00CC382E">
              <w:rPr>
                <w:rFonts w:ascii="Arial" w:hAnsi="Arial" w:cs="Arial"/>
              </w:rPr>
              <w:t>trained professional</w:t>
            </w:r>
          </w:p>
          <w:p w14:paraId="6BE6779C" w14:textId="77777777" w:rsidR="00833522" w:rsidRPr="00CC382E" w:rsidRDefault="00523E15" w:rsidP="00CC382E">
            <w:pPr>
              <w:pStyle w:val="ListParagraph"/>
              <w:numPr>
                <w:ilvl w:val="0"/>
                <w:numId w:val="15"/>
              </w:numPr>
              <w:spacing w:line="360" w:lineRule="auto"/>
              <w:rPr>
                <w:rFonts w:ascii="Arial" w:hAnsi="Arial" w:cs="Arial"/>
              </w:rPr>
            </w:pPr>
            <w:r w:rsidRPr="00CC382E">
              <w:rPr>
                <w:rFonts w:ascii="Arial" w:hAnsi="Arial" w:cs="Arial"/>
              </w:rPr>
              <w:t>Having a service with flexible</w:t>
            </w:r>
            <w:r w:rsidR="00833522" w:rsidRPr="00CC382E">
              <w:rPr>
                <w:rFonts w:ascii="Arial" w:hAnsi="Arial" w:cs="Arial"/>
              </w:rPr>
              <w:t xml:space="preserve"> </w:t>
            </w:r>
            <w:r w:rsidRPr="00CC382E">
              <w:rPr>
                <w:rFonts w:ascii="Arial" w:hAnsi="Arial" w:cs="Arial"/>
              </w:rPr>
              <w:t>opening times</w:t>
            </w:r>
            <w:r w:rsidR="00833522" w:rsidRPr="00CC382E">
              <w:rPr>
                <w:rFonts w:ascii="Arial" w:hAnsi="Arial" w:cs="Arial"/>
              </w:rPr>
              <w:t xml:space="preserve"> or access from home (i.e.) remote support</w:t>
            </w:r>
          </w:p>
          <w:p w14:paraId="038793B6" w14:textId="77777777" w:rsidR="00833522" w:rsidRPr="00CC382E" w:rsidRDefault="00833522" w:rsidP="00CC382E">
            <w:pPr>
              <w:pStyle w:val="ListParagraph"/>
              <w:numPr>
                <w:ilvl w:val="0"/>
                <w:numId w:val="15"/>
              </w:numPr>
              <w:spacing w:line="360" w:lineRule="auto"/>
              <w:rPr>
                <w:rFonts w:ascii="Arial" w:hAnsi="Arial" w:cs="Arial"/>
              </w:rPr>
            </w:pPr>
            <w:r w:rsidRPr="00CC382E">
              <w:rPr>
                <w:rFonts w:ascii="Arial" w:hAnsi="Arial" w:cs="Arial"/>
              </w:rPr>
              <w:t xml:space="preserve">Emotional support </w:t>
            </w:r>
            <w:r w:rsidR="00523E15" w:rsidRPr="00CC382E">
              <w:rPr>
                <w:rFonts w:ascii="Arial" w:hAnsi="Arial" w:cs="Arial"/>
              </w:rPr>
              <w:t>in</w:t>
            </w:r>
            <w:r w:rsidRPr="00CC382E">
              <w:rPr>
                <w:rFonts w:ascii="Arial" w:hAnsi="Arial" w:cs="Arial"/>
              </w:rPr>
              <w:t xml:space="preserve"> a safe space </w:t>
            </w:r>
          </w:p>
          <w:p w14:paraId="033A604C" w14:textId="77777777" w:rsidR="00833522" w:rsidRPr="00CC382E" w:rsidRDefault="00833522" w:rsidP="00CC382E">
            <w:pPr>
              <w:spacing w:line="360" w:lineRule="auto"/>
              <w:ind w:left="360"/>
              <w:rPr>
                <w:rFonts w:ascii="Arial" w:hAnsi="Arial" w:cs="Arial"/>
              </w:rPr>
            </w:pPr>
          </w:p>
          <w:p w14:paraId="718CF968" w14:textId="77777777" w:rsidR="00833522" w:rsidRPr="00CC382E" w:rsidRDefault="00833522" w:rsidP="00CC382E">
            <w:pPr>
              <w:spacing w:line="360" w:lineRule="auto"/>
              <w:rPr>
                <w:rFonts w:ascii="Arial" w:hAnsi="Arial" w:cs="Arial"/>
              </w:rPr>
            </w:pPr>
            <w:r w:rsidRPr="00CC382E">
              <w:rPr>
                <w:rFonts w:ascii="Arial" w:hAnsi="Arial" w:cs="Arial"/>
              </w:rPr>
              <w:t xml:space="preserve">It is vital that we recognise that not all individuals </w:t>
            </w:r>
            <w:r w:rsidR="00A1061A" w:rsidRPr="00CC382E">
              <w:rPr>
                <w:rFonts w:ascii="Arial" w:hAnsi="Arial" w:cs="Arial"/>
              </w:rPr>
              <w:t xml:space="preserve">who experience a </w:t>
            </w:r>
            <w:r w:rsidRPr="00CC382E">
              <w:rPr>
                <w:rFonts w:ascii="Arial" w:hAnsi="Arial" w:cs="Arial"/>
              </w:rPr>
              <w:t>hate crime will feel it necessary to access support</w:t>
            </w:r>
            <w:r w:rsidR="00A1061A" w:rsidRPr="00CC382E">
              <w:rPr>
                <w:rFonts w:ascii="Arial" w:hAnsi="Arial" w:cs="Arial"/>
              </w:rPr>
              <w:t xml:space="preserve"> or report a crime</w:t>
            </w:r>
            <w:r w:rsidRPr="00CC382E">
              <w:rPr>
                <w:rFonts w:ascii="Arial" w:hAnsi="Arial" w:cs="Arial"/>
              </w:rPr>
              <w:t xml:space="preserve">. </w:t>
            </w:r>
            <w:r w:rsidR="00A1061A" w:rsidRPr="00CC382E">
              <w:rPr>
                <w:rFonts w:ascii="Arial" w:hAnsi="Arial" w:cs="Arial"/>
              </w:rPr>
              <w:t xml:space="preserve">Victims will share the same challenges to address the harm caused but may be able to overcome this </w:t>
            </w:r>
            <w:r w:rsidRPr="00CC382E">
              <w:rPr>
                <w:rFonts w:ascii="Arial" w:hAnsi="Arial" w:cs="Arial"/>
              </w:rPr>
              <w:t>without accessing external support mechanisms</w:t>
            </w:r>
            <w:r w:rsidR="00A1061A" w:rsidRPr="00CC382E">
              <w:rPr>
                <w:rFonts w:ascii="Arial" w:hAnsi="Arial" w:cs="Arial"/>
              </w:rPr>
              <w:t xml:space="preserve">. </w:t>
            </w:r>
          </w:p>
          <w:p w14:paraId="4848F4A8" w14:textId="77777777" w:rsidR="00FE795B" w:rsidRPr="00CC382E" w:rsidRDefault="00FE795B" w:rsidP="00CC382E">
            <w:pPr>
              <w:spacing w:line="360" w:lineRule="auto"/>
              <w:rPr>
                <w:rFonts w:ascii="Arial" w:hAnsi="Arial" w:cs="Arial"/>
              </w:rPr>
            </w:pPr>
          </w:p>
          <w:p w14:paraId="31DEB4C3" w14:textId="77777777" w:rsidR="00FE795B" w:rsidRPr="00CC382E" w:rsidRDefault="00FE795B" w:rsidP="00CC382E">
            <w:pPr>
              <w:spacing w:line="360" w:lineRule="auto"/>
              <w:rPr>
                <w:rFonts w:ascii="Arial" w:hAnsi="Arial" w:cs="Arial"/>
              </w:rPr>
            </w:pPr>
            <w:r w:rsidRPr="00CC382E">
              <w:rPr>
                <w:rFonts w:ascii="Arial" w:hAnsi="Arial" w:cs="Arial"/>
              </w:rPr>
              <w:t>The service will;</w:t>
            </w:r>
          </w:p>
          <w:p w14:paraId="47C96D9D" w14:textId="77777777" w:rsidR="00FE795B" w:rsidRPr="00CC382E" w:rsidRDefault="00FE795B" w:rsidP="00CC382E">
            <w:pPr>
              <w:pStyle w:val="ListParagraph"/>
              <w:numPr>
                <w:ilvl w:val="0"/>
                <w:numId w:val="8"/>
              </w:numPr>
              <w:spacing w:line="360" w:lineRule="auto"/>
              <w:rPr>
                <w:rFonts w:ascii="Arial" w:hAnsi="Arial" w:cs="Arial"/>
              </w:rPr>
            </w:pPr>
            <w:r w:rsidRPr="00CC382E">
              <w:rPr>
                <w:rFonts w:ascii="Arial" w:hAnsi="Arial" w:cs="Arial"/>
              </w:rPr>
              <w:t>provide emotional and practical support</w:t>
            </w:r>
          </w:p>
          <w:p w14:paraId="157EF289" w14:textId="77777777" w:rsidR="00FE795B" w:rsidRPr="00CC382E" w:rsidRDefault="00321CF2" w:rsidP="00CC382E">
            <w:pPr>
              <w:pStyle w:val="ListParagraph"/>
              <w:numPr>
                <w:ilvl w:val="0"/>
                <w:numId w:val="8"/>
              </w:numPr>
              <w:spacing w:line="360" w:lineRule="auto"/>
              <w:rPr>
                <w:rFonts w:ascii="Arial" w:hAnsi="Arial" w:cs="Arial"/>
              </w:rPr>
            </w:pPr>
            <w:r>
              <w:rPr>
                <w:rFonts w:ascii="Arial" w:hAnsi="Arial" w:cs="Arial"/>
              </w:rPr>
              <w:t>help victims</w:t>
            </w:r>
            <w:r w:rsidR="00FE795B" w:rsidRPr="00CC382E">
              <w:rPr>
                <w:rFonts w:ascii="Arial" w:hAnsi="Arial" w:cs="Arial"/>
              </w:rPr>
              <w:t xml:space="preserve"> to cope and recover from the effects of the crime</w:t>
            </w:r>
          </w:p>
          <w:p w14:paraId="1C9B5A52" w14:textId="77777777" w:rsidR="00820E24" w:rsidRDefault="00FE795B" w:rsidP="00820E24">
            <w:pPr>
              <w:pStyle w:val="ListParagraph"/>
              <w:numPr>
                <w:ilvl w:val="0"/>
                <w:numId w:val="8"/>
              </w:numPr>
              <w:spacing w:line="360" w:lineRule="auto"/>
              <w:rPr>
                <w:rFonts w:ascii="Arial" w:hAnsi="Arial" w:cs="Arial"/>
              </w:rPr>
            </w:pPr>
            <w:r w:rsidRPr="00CC382E">
              <w:rPr>
                <w:rFonts w:ascii="Arial" w:hAnsi="Arial" w:cs="Arial"/>
              </w:rPr>
              <w:t xml:space="preserve">help them to navigate their journey to a positive outcome within or outside of the criminal justice process as appropriate to the victim; and </w:t>
            </w:r>
          </w:p>
          <w:p w14:paraId="0C2C9478" w14:textId="06B3C354" w:rsidR="00FE795B" w:rsidRPr="00820E24" w:rsidRDefault="00820E24" w:rsidP="00820E24">
            <w:pPr>
              <w:pStyle w:val="ListParagraph"/>
              <w:numPr>
                <w:ilvl w:val="0"/>
                <w:numId w:val="8"/>
              </w:numPr>
              <w:spacing w:line="360" w:lineRule="auto"/>
              <w:rPr>
                <w:rFonts w:ascii="Arial" w:hAnsi="Arial" w:cs="Arial"/>
              </w:rPr>
            </w:pPr>
            <w:r>
              <w:rPr>
                <w:rFonts w:ascii="Arial" w:hAnsi="Arial" w:cs="Arial"/>
              </w:rPr>
              <w:t>e</w:t>
            </w:r>
            <w:r w:rsidR="00FE795B" w:rsidRPr="00820E24">
              <w:rPr>
                <w:rFonts w:ascii="Arial" w:hAnsi="Arial" w:cs="Arial"/>
              </w:rPr>
              <w:t>stablish what impact such a scheme might have upon the levels of reported hate crime and of harm and repeat victimisation.</w:t>
            </w:r>
          </w:p>
          <w:p w14:paraId="2548691B" w14:textId="77777777" w:rsidR="005A63E4" w:rsidRPr="00CC382E" w:rsidRDefault="005A63E4" w:rsidP="00CC382E">
            <w:pPr>
              <w:spacing w:line="360" w:lineRule="auto"/>
              <w:rPr>
                <w:rFonts w:ascii="Arial" w:hAnsi="Arial" w:cs="Arial"/>
              </w:rPr>
            </w:pPr>
          </w:p>
          <w:p w14:paraId="65F4FC69" w14:textId="77777777" w:rsidR="005A63E4" w:rsidRPr="00CC382E" w:rsidRDefault="005A63E4" w:rsidP="00CC382E">
            <w:pPr>
              <w:spacing w:line="360" w:lineRule="auto"/>
              <w:rPr>
                <w:rFonts w:ascii="Arial" w:hAnsi="Arial" w:cs="Arial"/>
              </w:rPr>
            </w:pPr>
            <w:r w:rsidRPr="00CC382E">
              <w:rPr>
                <w:rFonts w:ascii="Arial" w:hAnsi="Arial" w:cs="Arial"/>
              </w:rPr>
              <w:t>The service will be delivered in line with:</w:t>
            </w:r>
          </w:p>
          <w:p w14:paraId="02842C8D" w14:textId="77777777" w:rsidR="005A63E4" w:rsidRPr="00CC382E" w:rsidRDefault="005A63E4" w:rsidP="00CC382E">
            <w:pPr>
              <w:pStyle w:val="ListParagraph"/>
              <w:numPr>
                <w:ilvl w:val="0"/>
                <w:numId w:val="3"/>
              </w:numPr>
              <w:spacing w:line="360" w:lineRule="auto"/>
              <w:rPr>
                <w:rFonts w:ascii="Arial" w:hAnsi="Arial" w:cs="Arial"/>
              </w:rPr>
            </w:pPr>
            <w:r w:rsidRPr="00CC382E">
              <w:rPr>
                <w:rFonts w:ascii="Arial" w:hAnsi="Arial" w:cs="Arial"/>
              </w:rPr>
              <w:t>emerging evidence for best practice</w:t>
            </w:r>
          </w:p>
          <w:p w14:paraId="23ADDFFC" w14:textId="77777777" w:rsidR="005A63E4" w:rsidRPr="00CC382E" w:rsidRDefault="005A63E4" w:rsidP="00CC382E">
            <w:pPr>
              <w:pStyle w:val="ListParagraph"/>
              <w:numPr>
                <w:ilvl w:val="0"/>
                <w:numId w:val="3"/>
              </w:numPr>
              <w:spacing w:line="360" w:lineRule="auto"/>
              <w:rPr>
                <w:rFonts w:ascii="Arial" w:hAnsi="Arial" w:cs="Arial"/>
              </w:rPr>
            </w:pPr>
            <w:r w:rsidRPr="00CC382E">
              <w:rPr>
                <w:rFonts w:ascii="Arial" w:hAnsi="Arial" w:cs="Arial"/>
              </w:rPr>
              <w:t xml:space="preserve">relevant national and international guidelines </w:t>
            </w:r>
          </w:p>
          <w:p w14:paraId="60769A51" w14:textId="77777777" w:rsidR="00BC2F8D" w:rsidRPr="00CC382E" w:rsidRDefault="00BC2F8D" w:rsidP="00CC382E">
            <w:pPr>
              <w:spacing w:line="360" w:lineRule="auto"/>
              <w:rPr>
                <w:rFonts w:ascii="Arial" w:hAnsi="Arial" w:cs="Arial"/>
              </w:rPr>
            </w:pPr>
          </w:p>
          <w:p w14:paraId="410B091E" w14:textId="77777777" w:rsidR="00BC2F8D" w:rsidRPr="00CC382E" w:rsidRDefault="00BC2F8D" w:rsidP="00CC382E">
            <w:pPr>
              <w:pStyle w:val="ListParagraph"/>
              <w:numPr>
                <w:ilvl w:val="2"/>
                <w:numId w:val="2"/>
              </w:numPr>
              <w:spacing w:line="360" w:lineRule="auto"/>
              <w:rPr>
                <w:rFonts w:ascii="Arial" w:hAnsi="Arial" w:cs="Arial"/>
                <w:b/>
              </w:rPr>
            </w:pPr>
            <w:r w:rsidRPr="00CC382E">
              <w:rPr>
                <w:rFonts w:ascii="Arial" w:hAnsi="Arial" w:cs="Arial"/>
                <w:b/>
              </w:rPr>
              <w:t xml:space="preserve">National context </w:t>
            </w:r>
          </w:p>
          <w:p w14:paraId="5F6988C2" w14:textId="77777777" w:rsidR="002F11AD" w:rsidRPr="00CC382E" w:rsidRDefault="002F11AD" w:rsidP="00CC382E">
            <w:pPr>
              <w:spacing w:line="360" w:lineRule="auto"/>
              <w:rPr>
                <w:rFonts w:ascii="Arial" w:hAnsi="Arial" w:cs="Arial"/>
                <w:b/>
              </w:rPr>
            </w:pPr>
          </w:p>
          <w:p w14:paraId="6EB0518A" w14:textId="77777777" w:rsidR="002F11AD" w:rsidRPr="00CC382E" w:rsidRDefault="002F11AD" w:rsidP="00CC382E">
            <w:pPr>
              <w:spacing w:line="360" w:lineRule="auto"/>
              <w:rPr>
                <w:rFonts w:ascii="Arial" w:hAnsi="Arial" w:cs="Arial"/>
              </w:rPr>
            </w:pPr>
            <w:r w:rsidRPr="00CC382E">
              <w:rPr>
                <w:rFonts w:ascii="Arial" w:hAnsi="Arial" w:cs="Arial"/>
              </w:rPr>
              <w:t>According to t</w:t>
            </w:r>
            <w:r w:rsidR="00321CF2">
              <w:rPr>
                <w:rFonts w:ascii="Arial" w:hAnsi="Arial" w:cs="Arial"/>
              </w:rPr>
              <w:t>he CPS Hate Crime Annual Report</w:t>
            </w:r>
            <w:r w:rsidRPr="00CC382E">
              <w:rPr>
                <w:rFonts w:ascii="Arial" w:hAnsi="Arial" w:cs="Arial"/>
              </w:rPr>
              <w:t xml:space="preserve"> (2018-19) the CPS show that for hate crime offences, the number of cases sent to the CPS by the police fell by 16.7% from 12,901 in 2017-18 to 10,749 in 2018-19; this year saw the most significant annual fall in hate crime police receipts at 16.7%.  The number of these police receipts has continued to fall since 2014-15 highlighting that overall, there has been a fall of 31.4% during the stated </w:t>
            </w:r>
            <w:r w:rsidRPr="00CC382E">
              <w:rPr>
                <w:rFonts w:ascii="Arial" w:hAnsi="Arial" w:cs="Arial"/>
              </w:rPr>
              <w:lastRenderedPageBreak/>
              <w:t>period.  According to CPS hate crime prosecutions data (2018/2019), West Midlands had 648 convictions which equates to 83.6% successful outcomes and 16.4% (127) unsuccessful totalling 775 cases charged by the CPS.</w:t>
            </w:r>
          </w:p>
          <w:p w14:paraId="7D351DE1" w14:textId="77777777" w:rsidR="002F11AD" w:rsidRPr="00CC382E" w:rsidRDefault="002F11AD" w:rsidP="00CC382E">
            <w:pPr>
              <w:spacing w:line="360" w:lineRule="auto"/>
              <w:rPr>
                <w:rFonts w:ascii="Arial" w:hAnsi="Arial" w:cs="Arial"/>
              </w:rPr>
            </w:pPr>
          </w:p>
          <w:p w14:paraId="79C83F97" w14:textId="77777777" w:rsidR="002F11AD" w:rsidRPr="00CC382E" w:rsidRDefault="002F11AD" w:rsidP="00CC382E">
            <w:pPr>
              <w:spacing w:line="360" w:lineRule="auto"/>
              <w:rPr>
                <w:rFonts w:ascii="Arial" w:hAnsi="Arial" w:cs="Arial"/>
              </w:rPr>
            </w:pPr>
            <w:r w:rsidRPr="00CC382E">
              <w:rPr>
                <w:rFonts w:ascii="Arial" w:hAnsi="Arial" w:cs="Arial"/>
              </w:rPr>
              <w:t>The 2016 Home Office</w:t>
            </w:r>
            <w:r w:rsidR="00A3444D" w:rsidRPr="00CC382E">
              <w:rPr>
                <w:rFonts w:ascii="Arial" w:hAnsi="Arial" w:cs="Arial"/>
              </w:rPr>
              <w:t xml:space="preserve"> report on ‘Action Against Hate</w:t>
            </w:r>
            <w:r w:rsidRPr="00CC382E">
              <w:rPr>
                <w:rFonts w:ascii="Arial" w:hAnsi="Arial" w:cs="Arial"/>
              </w:rPr>
              <w:t>’ reported the increased misuse of social media platforms and wider internet by those who seek to use it as a tool to spread hatred and target individuals and communities because of preconceived notions of who they are or what they believe. The Home Office report also highlights that of the 801 incidents of anti-Muslim hatred that were recorded by Tell MAMA during 2015, 364 were online (73%). In addition to this, from the same report, the Community Security Trust (CST) recorded 159 anti-Semitic incidents that involved the use of internet-based social media in 2015, which represents 17% of the overall total of 924 anti-Semitic incidents recorded.</w:t>
            </w:r>
          </w:p>
          <w:p w14:paraId="123C71A1" w14:textId="77777777" w:rsidR="002F11AD" w:rsidRPr="00CC382E" w:rsidRDefault="002F11AD" w:rsidP="00CC382E">
            <w:pPr>
              <w:spacing w:line="360" w:lineRule="auto"/>
              <w:rPr>
                <w:rFonts w:ascii="Arial" w:hAnsi="Arial" w:cs="Arial"/>
              </w:rPr>
            </w:pPr>
          </w:p>
          <w:p w14:paraId="72FB835F" w14:textId="14A7FD5A" w:rsidR="00021357" w:rsidRPr="00CC382E" w:rsidRDefault="002F11AD" w:rsidP="00CC382E">
            <w:pPr>
              <w:spacing w:line="360" w:lineRule="auto"/>
              <w:rPr>
                <w:rFonts w:ascii="Arial" w:hAnsi="Arial" w:cs="Arial"/>
              </w:rPr>
            </w:pPr>
            <w:r w:rsidRPr="00CC382E">
              <w:rPr>
                <w:rFonts w:ascii="Arial" w:hAnsi="Arial" w:cs="Arial"/>
              </w:rPr>
              <w:t>Similarly, Sandwell Council reported at the symposium that in a survey they recently conducted with young people it was found that more incidents of hate crime or hate bullying were emerging online.  In line with government plans to improve safety of those working in the night-time economy, the Hate Crime project delivered in the West Midl</w:t>
            </w:r>
            <w:r w:rsidR="00A3444D" w:rsidRPr="00CC382E">
              <w:rPr>
                <w:rFonts w:ascii="Arial" w:hAnsi="Arial" w:cs="Arial"/>
              </w:rPr>
              <w:t xml:space="preserve">ands by Victim Support continues </w:t>
            </w:r>
            <w:r w:rsidRPr="00CC382E">
              <w:rPr>
                <w:rFonts w:ascii="Arial" w:hAnsi="Arial" w:cs="Arial"/>
              </w:rPr>
              <w:t xml:space="preserve">to offer training and advice to local businesses that are part of the night-time economy. </w:t>
            </w:r>
          </w:p>
          <w:p w14:paraId="35EBC747" w14:textId="77777777" w:rsidR="00BE24D9" w:rsidRPr="00CC382E" w:rsidRDefault="00BE24D9" w:rsidP="00CC382E">
            <w:pPr>
              <w:pStyle w:val="ListParagraph"/>
              <w:spacing w:line="360" w:lineRule="auto"/>
              <w:ind w:left="1080"/>
              <w:rPr>
                <w:rFonts w:ascii="Arial" w:hAnsi="Arial" w:cs="Arial"/>
                <w:b/>
              </w:rPr>
            </w:pPr>
          </w:p>
          <w:p w14:paraId="3148BAB2" w14:textId="3034102A" w:rsidR="00BE24D9" w:rsidRPr="00CC382E" w:rsidRDefault="00BC2F8D" w:rsidP="00CC382E">
            <w:pPr>
              <w:pStyle w:val="ListParagraph"/>
              <w:numPr>
                <w:ilvl w:val="2"/>
                <w:numId w:val="2"/>
              </w:numPr>
              <w:spacing w:line="360" w:lineRule="auto"/>
              <w:rPr>
                <w:rFonts w:ascii="Arial" w:hAnsi="Arial" w:cs="Arial"/>
                <w:b/>
              </w:rPr>
            </w:pPr>
            <w:r w:rsidRPr="00CC382E">
              <w:rPr>
                <w:rFonts w:ascii="Arial" w:hAnsi="Arial" w:cs="Arial"/>
                <w:b/>
              </w:rPr>
              <w:t>Local context</w:t>
            </w:r>
            <w:r w:rsidR="00EC1B6F">
              <w:rPr>
                <w:rFonts w:ascii="Arial" w:hAnsi="Arial" w:cs="Arial"/>
                <w:b/>
              </w:rPr>
              <w:t xml:space="preserve"> and prevalence </w:t>
            </w:r>
          </w:p>
          <w:p w14:paraId="4E2F1894" w14:textId="77777777" w:rsidR="002F11AD" w:rsidRPr="00CC382E" w:rsidRDefault="002F11AD" w:rsidP="00CC382E">
            <w:pPr>
              <w:pStyle w:val="Default"/>
              <w:spacing w:line="360" w:lineRule="auto"/>
              <w:rPr>
                <w:sz w:val="22"/>
                <w:szCs w:val="22"/>
              </w:rPr>
            </w:pPr>
          </w:p>
          <w:p w14:paraId="7FCEBE67" w14:textId="1B50B841" w:rsidR="002F11AD" w:rsidRPr="00CC382E" w:rsidRDefault="00CA0EF4" w:rsidP="00CC382E">
            <w:pPr>
              <w:pStyle w:val="Default"/>
              <w:spacing w:after="142" w:line="360" w:lineRule="auto"/>
              <w:rPr>
                <w:sz w:val="22"/>
                <w:szCs w:val="22"/>
              </w:rPr>
            </w:pPr>
            <w:r w:rsidRPr="00CC382E">
              <w:rPr>
                <w:sz w:val="22"/>
                <w:szCs w:val="22"/>
              </w:rPr>
              <w:t>West Midlands Police (WMP)</w:t>
            </w:r>
            <w:r w:rsidR="00F73B15">
              <w:rPr>
                <w:sz w:val="22"/>
                <w:szCs w:val="22"/>
              </w:rPr>
              <w:t xml:space="preserve"> report that Quarter 1’s (2020/21) </w:t>
            </w:r>
            <w:r w:rsidR="002F11AD" w:rsidRPr="00CC382E">
              <w:rPr>
                <w:sz w:val="22"/>
                <w:szCs w:val="22"/>
              </w:rPr>
              <w:t>hate crime performance has been vastly influenced by the COVID-19 pandemic with lockdown measures in p</w:t>
            </w:r>
            <w:r w:rsidRPr="00CC382E">
              <w:rPr>
                <w:sz w:val="22"/>
                <w:szCs w:val="22"/>
              </w:rPr>
              <w:t xml:space="preserve">articular affecting reporting. </w:t>
            </w:r>
            <w:r w:rsidR="002F11AD" w:rsidRPr="00CC382E">
              <w:rPr>
                <w:sz w:val="22"/>
                <w:szCs w:val="22"/>
              </w:rPr>
              <w:t>Recorded hate crime has increased over the last quarter, both in comparison to the previous quarte</w:t>
            </w:r>
            <w:r w:rsidRPr="00CC382E">
              <w:rPr>
                <w:sz w:val="22"/>
                <w:szCs w:val="22"/>
              </w:rPr>
              <w:t xml:space="preserve">r and the same period in 2019. </w:t>
            </w:r>
            <w:r w:rsidR="002F11AD" w:rsidRPr="00CC382E">
              <w:rPr>
                <w:sz w:val="22"/>
                <w:szCs w:val="22"/>
              </w:rPr>
              <w:t>Despite the increase, the week commencing 30th March recorded the lowest number of hate crimes in the last year, with 81 offences recorded, this correlated with t</w:t>
            </w:r>
            <w:r w:rsidRPr="00CC382E">
              <w:rPr>
                <w:sz w:val="22"/>
                <w:szCs w:val="22"/>
              </w:rPr>
              <w:t xml:space="preserve">he introduction of lockdown. </w:t>
            </w:r>
            <w:r w:rsidR="002F11AD" w:rsidRPr="00CC382E">
              <w:rPr>
                <w:sz w:val="22"/>
                <w:szCs w:val="22"/>
              </w:rPr>
              <w:t>Reporting trends to the force indicate</w:t>
            </w:r>
            <w:r w:rsidRPr="00CC382E">
              <w:rPr>
                <w:sz w:val="22"/>
                <w:szCs w:val="22"/>
              </w:rPr>
              <w:t xml:space="preserve"> that hate crime will increase e</w:t>
            </w:r>
            <w:r w:rsidR="002F11AD" w:rsidRPr="00CC382E">
              <w:rPr>
                <w:sz w:val="22"/>
                <w:szCs w:val="22"/>
              </w:rPr>
              <w:t>v</w:t>
            </w:r>
            <w:r w:rsidRPr="00CC382E">
              <w:rPr>
                <w:sz w:val="22"/>
                <w:szCs w:val="22"/>
              </w:rPr>
              <w:t xml:space="preserve">er the upcoming summer months. </w:t>
            </w:r>
          </w:p>
          <w:p w14:paraId="396B710D" w14:textId="77777777" w:rsidR="002F11AD" w:rsidRPr="00CC382E" w:rsidRDefault="002F11AD" w:rsidP="00CC382E">
            <w:pPr>
              <w:pStyle w:val="Default"/>
              <w:numPr>
                <w:ilvl w:val="0"/>
                <w:numId w:val="12"/>
              </w:numPr>
              <w:spacing w:after="142" w:line="360" w:lineRule="auto"/>
              <w:rPr>
                <w:sz w:val="22"/>
                <w:szCs w:val="22"/>
              </w:rPr>
            </w:pPr>
            <w:r w:rsidRPr="00CC382E">
              <w:rPr>
                <w:sz w:val="22"/>
                <w:szCs w:val="22"/>
              </w:rPr>
              <w:t xml:space="preserve">Racially motivated hate crime continue to account for the majority in the latest quarter with 1303 recorded (80.7%). </w:t>
            </w:r>
          </w:p>
          <w:p w14:paraId="69DCCE78" w14:textId="77777777" w:rsidR="002F11AD" w:rsidRPr="00CC382E" w:rsidRDefault="002F11AD" w:rsidP="00CC382E">
            <w:pPr>
              <w:pStyle w:val="Default"/>
              <w:numPr>
                <w:ilvl w:val="0"/>
                <w:numId w:val="12"/>
              </w:numPr>
              <w:spacing w:after="142" w:line="360" w:lineRule="auto"/>
              <w:rPr>
                <w:sz w:val="22"/>
                <w:szCs w:val="22"/>
              </w:rPr>
            </w:pPr>
            <w:r w:rsidRPr="00CC382E">
              <w:rPr>
                <w:sz w:val="22"/>
                <w:szCs w:val="22"/>
              </w:rPr>
              <w:t xml:space="preserve">Homophobic hate crimes were second highest with 189 offences (11.7%). </w:t>
            </w:r>
          </w:p>
          <w:p w14:paraId="56E9CE20" w14:textId="77777777" w:rsidR="002F11AD" w:rsidRPr="00CC382E" w:rsidRDefault="002F11AD" w:rsidP="00CC382E">
            <w:pPr>
              <w:pStyle w:val="Default"/>
              <w:numPr>
                <w:ilvl w:val="0"/>
                <w:numId w:val="12"/>
              </w:numPr>
              <w:spacing w:after="142" w:line="360" w:lineRule="auto"/>
              <w:rPr>
                <w:sz w:val="22"/>
                <w:szCs w:val="22"/>
              </w:rPr>
            </w:pPr>
            <w:r w:rsidRPr="00CC382E">
              <w:rPr>
                <w:sz w:val="22"/>
                <w:szCs w:val="22"/>
              </w:rPr>
              <w:lastRenderedPageBreak/>
              <w:t xml:space="preserve">Religious hate crime has increased since the previous quarter, with the majority attributed to hate directed at perceived Islam. </w:t>
            </w:r>
          </w:p>
          <w:p w14:paraId="6295771E" w14:textId="77777777" w:rsidR="002F11AD" w:rsidRPr="00CC382E" w:rsidRDefault="002F11AD" w:rsidP="00CC382E">
            <w:pPr>
              <w:pStyle w:val="Default"/>
              <w:spacing w:after="142" w:line="360" w:lineRule="auto"/>
              <w:rPr>
                <w:sz w:val="22"/>
                <w:szCs w:val="22"/>
              </w:rPr>
            </w:pPr>
            <w:r w:rsidRPr="00CC382E">
              <w:rPr>
                <w:sz w:val="22"/>
                <w:szCs w:val="22"/>
              </w:rPr>
              <w:t>Third party reporting centres are typically third sector organisations who already provide a form of service to the communities they serve and would have received training from WMP to help them identify hate incidents and crimes during their normal interactions with p</w:t>
            </w:r>
            <w:r w:rsidR="00CA0EF4" w:rsidRPr="00CC382E">
              <w:rPr>
                <w:sz w:val="22"/>
                <w:szCs w:val="22"/>
              </w:rPr>
              <w:t xml:space="preserve">eople, and report them to WMP. </w:t>
            </w:r>
            <w:r w:rsidRPr="00CC382E">
              <w:rPr>
                <w:sz w:val="22"/>
                <w:szCs w:val="22"/>
              </w:rPr>
              <w:t>In Birmingham &amp; Solihull, all registered housing providers are part of the scheme, and in the Black Country, Wolverhampton Homes, Walsall Housing Group, Dudley MBC and Sand</w:t>
            </w:r>
            <w:r w:rsidR="00CA0EF4" w:rsidRPr="00CC382E">
              <w:rPr>
                <w:sz w:val="22"/>
                <w:szCs w:val="22"/>
              </w:rPr>
              <w:t xml:space="preserve">well MBC are also key players. </w:t>
            </w:r>
          </w:p>
          <w:p w14:paraId="7AE60C28" w14:textId="77777777" w:rsidR="00AB5702" w:rsidRDefault="002F11AD" w:rsidP="00CC382E">
            <w:pPr>
              <w:pStyle w:val="Default"/>
              <w:spacing w:after="142" w:line="360" w:lineRule="auto"/>
              <w:rPr>
                <w:sz w:val="22"/>
                <w:szCs w:val="22"/>
              </w:rPr>
            </w:pPr>
            <w:r w:rsidRPr="00CC382E">
              <w:rPr>
                <w:sz w:val="22"/>
                <w:szCs w:val="22"/>
              </w:rPr>
              <w:t>The only exception to this operating model is Coventry, where th</w:t>
            </w:r>
            <w:r w:rsidR="00F73B15">
              <w:rPr>
                <w:sz w:val="22"/>
                <w:szCs w:val="22"/>
              </w:rPr>
              <w:t>e City C</w:t>
            </w:r>
            <w:r w:rsidRPr="00CC382E">
              <w:rPr>
                <w:sz w:val="22"/>
                <w:szCs w:val="22"/>
              </w:rPr>
              <w:t>ouncil and Whitefriars Housi</w:t>
            </w:r>
            <w:r w:rsidR="00321CF2">
              <w:rPr>
                <w:sz w:val="22"/>
                <w:szCs w:val="22"/>
              </w:rPr>
              <w:t>ng have taken the lead fo</w:t>
            </w:r>
            <w:r w:rsidR="00F73B15">
              <w:rPr>
                <w:sz w:val="22"/>
                <w:szCs w:val="22"/>
              </w:rPr>
              <w:t>r third party reporting centres</w:t>
            </w:r>
            <w:r w:rsidRPr="00CC382E">
              <w:rPr>
                <w:sz w:val="22"/>
                <w:szCs w:val="22"/>
              </w:rPr>
              <w:t xml:space="preserve"> although the NPU Partnerships team is still in close contact with them, it is the council that provides training and the mechan</w:t>
            </w:r>
            <w:r w:rsidR="00AB5702">
              <w:rPr>
                <w:sz w:val="22"/>
                <w:szCs w:val="22"/>
              </w:rPr>
              <w:t>ism by which reports are made.</w:t>
            </w:r>
          </w:p>
          <w:p w14:paraId="0E2E5AA7" w14:textId="432427BE" w:rsidR="002F11AD" w:rsidRPr="00CC382E" w:rsidRDefault="00AB5702" w:rsidP="00CC382E">
            <w:pPr>
              <w:pStyle w:val="Default"/>
              <w:spacing w:after="142" w:line="360" w:lineRule="auto"/>
              <w:rPr>
                <w:sz w:val="22"/>
                <w:szCs w:val="22"/>
              </w:rPr>
            </w:pPr>
            <w:r>
              <w:rPr>
                <w:sz w:val="22"/>
                <w:szCs w:val="22"/>
              </w:rPr>
              <w:t>W</w:t>
            </w:r>
            <w:r w:rsidR="002F11AD" w:rsidRPr="00CC382E">
              <w:rPr>
                <w:sz w:val="22"/>
                <w:szCs w:val="22"/>
              </w:rPr>
              <w:t>MP</w:t>
            </w:r>
            <w:r>
              <w:rPr>
                <w:sz w:val="22"/>
                <w:szCs w:val="22"/>
              </w:rPr>
              <w:t>, during the Hate Crime Symposium reported working</w:t>
            </w:r>
            <w:r w:rsidR="002F11AD" w:rsidRPr="00CC382E">
              <w:rPr>
                <w:sz w:val="22"/>
                <w:szCs w:val="22"/>
              </w:rPr>
              <w:t xml:space="preserve"> pre-lockdown to strengthen links with the Chinese community in Birmingham (</w:t>
            </w:r>
            <w:r w:rsidR="002F11AD" w:rsidRPr="00CC382E">
              <w:rPr>
                <w:i/>
                <w:iCs/>
                <w:sz w:val="22"/>
                <w:szCs w:val="22"/>
              </w:rPr>
              <w:t>this work is undertaken by the Chinese Reference Group</w:t>
            </w:r>
            <w:r w:rsidR="00CA0EF4" w:rsidRPr="00CC382E">
              <w:rPr>
                <w:sz w:val="22"/>
                <w:szCs w:val="22"/>
              </w:rPr>
              <w:t xml:space="preserve">).  </w:t>
            </w:r>
            <w:r w:rsidR="003C6178">
              <w:rPr>
                <w:sz w:val="22"/>
                <w:szCs w:val="22"/>
              </w:rPr>
              <w:t xml:space="preserve">WMP delivered </w:t>
            </w:r>
            <w:r w:rsidR="002F11AD" w:rsidRPr="00CC382E">
              <w:rPr>
                <w:sz w:val="22"/>
                <w:szCs w:val="22"/>
              </w:rPr>
              <w:t>a World Café event this summer to further strengthen relationships with the Chinese community</w:t>
            </w:r>
            <w:r w:rsidR="0016672B" w:rsidRPr="00CC382E">
              <w:rPr>
                <w:sz w:val="22"/>
                <w:szCs w:val="22"/>
              </w:rPr>
              <w:t xml:space="preserve"> in the city, the event was held online and gav</w:t>
            </w:r>
            <w:r w:rsidR="002F11AD" w:rsidRPr="00CC382E">
              <w:rPr>
                <w:sz w:val="22"/>
                <w:szCs w:val="22"/>
              </w:rPr>
              <w:t xml:space="preserve">e participants an opportunity to address their concerns especially following increasing hate crime incidents during the COVID-19 pandemic. </w:t>
            </w:r>
          </w:p>
          <w:p w14:paraId="2358712A" w14:textId="77777777" w:rsidR="002F11AD" w:rsidRPr="00CC382E" w:rsidRDefault="002F11AD" w:rsidP="00CC382E">
            <w:pPr>
              <w:pStyle w:val="Default"/>
              <w:spacing w:line="360" w:lineRule="auto"/>
              <w:rPr>
                <w:sz w:val="22"/>
                <w:szCs w:val="22"/>
              </w:rPr>
            </w:pPr>
            <w:r w:rsidRPr="00CC382E">
              <w:rPr>
                <w:sz w:val="22"/>
                <w:szCs w:val="22"/>
              </w:rPr>
              <w:t>Through chat facilities at the ev</w:t>
            </w:r>
            <w:r w:rsidR="0016672B" w:rsidRPr="00CC382E">
              <w:rPr>
                <w:sz w:val="22"/>
                <w:szCs w:val="22"/>
              </w:rPr>
              <w:t>ent, participants were able to</w:t>
            </w:r>
            <w:r w:rsidRPr="00CC382E">
              <w:rPr>
                <w:sz w:val="22"/>
                <w:szCs w:val="22"/>
              </w:rPr>
              <w:t xml:space="preserve"> share their opinions which </w:t>
            </w:r>
            <w:r w:rsidR="003C6178">
              <w:rPr>
                <w:sz w:val="22"/>
                <w:szCs w:val="22"/>
              </w:rPr>
              <w:t xml:space="preserve">was </w:t>
            </w:r>
            <w:r w:rsidRPr="00CC382E">
              <w:rPr>
                <w:sz w:val="22"/>
                <w:szCs w:val="22"/>
              </w:rPr>
              <w:t xml:space="preserve">captured and analysed by WMP in an aim to frame the most appropriate response to matters highlighted. </w:t>
            </w:r>
            <w:r w:rsidR="003C6178">
              <w:rPr>
                <w:sz w:val="22"/>
                <w:szCs w:val="22"/>
              </w:rPr>
              <w:t xml:space="preserve">  </w:t>
            </w:r>
            <w:r w:rsidRPr="00CC382E">
              <w:rPr>
                <w:sz w:val="22"/>
                <w:szCs w:val="22"/>
              </w:rPr>
              <w:t xml:space="preserve">WMP have also consulted with Chinese students in local universities and have adapted their promotional material detailing contact information and support available for hate crime victims taking into account languages spoken by different groups of students. </w:t>
            </w:r>
          </w:p>
          <w:p w14:paraId="2E2AB94A" w14:textId="3107CEEE" w:rsidR="00BE24D9" w:rsidRPr="00CC382E" w:rsidRDefault="00BE24D9" w:rsidP="00CC382E">
            <w:pPr>
              <w:spacing w:line="360" w:lineRule="auto"/>
              <w:rPr>
                <w:rFonts w:ascii="Arial" w:hAnsi="Arial" w:cs="Arial"/>
                <w:b/>
              </w:rPr>
            </w:pPr>
          </w:p>
          <w:p w14:paraId="38132426" w14:textId="77777777" w:rsidR="00BE24D9" w:rsidRPr="00CC382E" w:rsidRDefault="00BE24D9" w:rsidP="00CC382E">
            <w:pPr>
              <w:pStyle w:val="ListParagraph"/>
              <w:numPr>
                <w:ilvl w:val="2"/>
                <w:numId w:val="2"/>
              </w:numPr>
              <w:spacing w:line="360" w:lineRule="auto"/>
              <w:rPr>
                <w:rFonts w:ascii="Arial" w:hAnsi="Arial" w:cs="Arial"/>
                <w:b/>
              </w:rPr>
            </w:pPr>
            <w:r w:rsidRPr="00CC382E">
              <w:rPr>
                <w:rFonts w:ascii="Arial" w:hAnsi="Arial" w:cs="Arial"/>
                <w:b/>
              </w:rPr>
              <w:t>Evidence of need</w:t>
            </w:r>
          </w:p>
          <w:p w14:paraId="515E9E98" w14:textId="77777777" w:rsidR="00403244" w:rsidRPr="00CC382E" w:rsidRDefault="00403244" w:rsidP="00CC382E">
            <w:pPr>
              <w:spacing w:line="360" w:lineRule="auto"/>
              <w:jc w:val="both"/>
              <w:rPr>
                <w:rFonts w:ascii="Arial" w:hAnsi="Arial" w:cs="Arial"/>
                <w:b/>
              </w:rPr>
            </w:pPr>
          </w:p>
          <w:p w14:paraId="35F7106D" w14:textId="77777777" w:rsidR="00403244" w:rsidRPr="003C6178" w:rsidRDefault="00403244" w:rsidP="003C6178">
            <w:pPr>
              <w:spacing w:line="360" w:lineRule="auto"/>
              <w:jc w:val="both"/>
              <w:rPr>
                <w:rFonts w:ascii="Arial" w:hAnsi="Arial" w:cs="Arial"/>
                <w:color w:val="0070C0"/>
              </w:rPr>
            </w:pPr>
            <w:r w:rsidRPr="00CC382E">
              <w:rPr>
                <w:rFonts w:ascii="Arial" w:hAnsi="Arial" w:cs="Arial"/>
              </w:rPr>
              <w:t>Current service providers funded through the OPCC have highlighted the complexities of delivering bespoke support to victims of hate crime due to the varying needs of victims as support may need to be grouped by ‘protected characteristic’. As the term 'hate crime' can be used to describe a range of criminal behaviour where the perpetrator is motivated by hostility or demonstrates hostility towards the victim's disability, race, religion, sexual orientation or transgender identity the OPCC aim to ensure services in place can support varying groups affected by hate crime.</w:t>
            </w:r>
            <w:r w:rsidR="003C6178">
              <w:rPr>
                <w:rFonts w:ascii="Arial" w:hAnsi="Arial" w:cs="Arial"/>
                <w:color w:val="0070C0"/>
              </w:rPr>
              <w:t xml:space="preserve">  </w:t>
            </w:r>
            <w:r w:rsidR="003C6178">
              <w:rPr>
                <w:rFonts w:ascii="Arial" w:hAnsi="Arial" w:cs="Arial"/>
              </w:rPr>
              <w:t>A</w:t>
            </w:r>
            <w:r w:rsidRPr="00CC382E">
              <w:rPr>
                <w:rFonts w:ascii="Arial" w:hAnsi="Arial" w:cs="Arial"/>
              </w:rPr>
              <w:t xml:space="preserve">cts of hate crime include threats, intimidation, </w:t>
            </w:r>
            <w:r w:rsidRPr="00CC382E">
              <w:rPr>
                <w:rFonts w:ascii="Arial" w:hAnsi="Arial" w:cs="Arial"/>
              </w:rPr>
              <w:lastRenderedPageBreak/>
              <w:t>harassment, assault and bullying there is a need for victims to be offered support in line with the environment in which the hate crime/s take place (e.g.) in schools</w:t>
            </w:r>
            <w:r w:rsidRPr="00CC382E">
              <w:rPr>
                <w:rFonts w:ascii="Arial" w:hAnsi="Arial" w:cs="Arial"/>
                <w:b/>
              </w:rPr>
              <w:t xml:space="preserve">. </w:t>
            </w:r>
          </w:p>
          <w:p w14:paraId="623DEBF4" w14:textId="77777777" w:rsidR="00403244" w:rsidRPr="00CC382E" w:rsidRDefault="00403244" w:rsidP="00CC382E">
            <w:pPr>
              <w:spacing w:line="360" w:lineRule="auto"/>
              <w:jc w:val="both"/>
              <w:rPr>
                <w:rFonts w:ascii="Arial" w:hAnsi="Arial" w:cs="Arial"/>
                <w:b/>
              </w:rPr>
            </w:pPr>
          </w:p>
          <w:p w14:paraId="7C91DEFB" w14:textId="171B6EE2" w:rsidR="00403244" w:rsidRPr="00CC382E" w:rsidRDefault="005B42C1" w:rsidP="00CC382E">
            <w:pPr>
              <w:spacing w:line="360" w:lineRule="auto"/>
              <w:jc w:val="both"/>
              <w:rPr>
                <w:rFonts w:ascii="Arial" w:hAnsi="Arial" w:cs="Arial"/>
              </w:rPr>
            </w:pPr>
            <w:r>
              <w:rPr>
                <w:rFonts w:ascii="Arial" w:hAnsi="Arial" w:cs="Arial"/>
              </w:rPr>
              <w:t>F</w:t>
            </w:r>
            <w:r w:rsidR="00403244" w:rsidRPr="00CC382E">
              <w:rPr>
                <w:rFonts w:ascii="Arial" w:hAnsi="Arial" w:cs="Arial"/>
              </w:rPr>
              <w:t xml:space="preserve">unding </w:t>
            </w:r>
            <w:r w:rsidR="00153207">
              <w:rPr>
                <w:rFonts w:ascii="Arial" w:hAnsi="Arial" w:cs="Arial"/>
              </w:rPr>
              <w:t>available from the OPCC to support victims of hate crime will be</w:t>
            </w:r>
            <w:r w:rsidR="00403244" w:rsidRPr="00CC382E">
              <w:rPr>
                <w:rFonts w:ascii="Arial" w:hAnsi="Arial" w:cs="Arial"/>
              </w:rPr>
              <w:t xml:space="preserve"> in place to ensure accessibility for victims in the 7 Local Authority areas (Birmingham, Solihull, Wolverhampton, Dudley, Sandwell, Coventry and Walsall). Currently, Victim Support run the only bespoke Hate Crime project funded through the Big Lottery until 2021 (West Midlands Hate Crime Project Wolverhampton and Solihull) with a team formed of Engagement Officers (who offer direct support and advocacy to victims of crime) and trainers whose focus is on awareness raising and training among community groups and organisations. </w:t>
            </w:r>
          </w:p>
          <w:p w14:paraId="0324403E" w14:textId="77777777" w:rsidR="00403244" w:rsidRPr="00CC382E" w:rsidRDefault="00403244" w:rsidP="00CC382E">
            <w:pPr>
              <w:spacing w:line="360" w:lineRule="auto"/>
              <w:jc w:val="both"/>
              <w:rPr>
                <w:rFonts w:ascii="Arial" w:hAnsi="Arial" w:cs="Arial"/>
              </w:rPr>
            </w:pPr>
          </w:p>
          <w:p w14:paraId="20C14425" w14:textId="45C00945" w:rsidR="00403244" w:rsidRPr="00CC382E" w:rsidRDefault="003C6178" w:rsidP="00CC382E">
            <w:pPr>
              <w:spacing w:line="360" w:lineRule="auto"/>
              <w:jc w:val="both"/>
              <w:rPr>
                <w:rFonts w:ascii="Arial" w:hAnsi="Arial" w:cs="Arial"/>
              </w:rPr>
            </w:pPr>
            <w:r>
              <w:rPr>
                <w:rFonts w:ascii="Arial" w:hAnsi="Arial" w:cs="Arial"/>
              </w:rPr>
              <w:t xml:space="preserve">Through consultations with </w:t>
            </w:r>
            <w:r w:rsidR="00403244" w:rsidRPr="00CC382E">
              <w:rPr>
                <w:rFonts w:ascii="Arial" w:hAnsi="Arial" w:cs="Arial"/>
              </w:rPr>
              <w:t>Birmingham Univers</w:t>
            </w:r>
            <w:r w:rsidR="000E62B8">
              <w:rPr>
                <w:rFonts w:ascii="Arial" w:hAnsi="Arial" w:cs="Arial"/>
              </w:rPr>
              <w:t>ity, they</w:t>
            </w:r>
            <w:r w:rsidR="00403244" w:rsidRPr="00CC382E">
              <w:rPr>
                <w:rFonts w:ascii="Arial" w:hAnsi="Arial" w:cs="Arial"/>
              </w:rPr>
              <w:t xml:space="preserve"> gave an overview of the project they ran in 2018 with objectives including; Local Engagement, Community building and raising awareness and Cultural Change. The outcomes of the year-long project were; collaboration with West Midlands Police as they supported the university, advised, trained and supported events. </w:t>
            </w:r>
            <w:r>
              <w:rPr>
                <w:rFonts w:ascii="Arial" w:hAnsi="Arial" w:cs="Arial"/>
              </w:rPr>
              <w:t xml:space="preserve"> </w:t>
            </w:r>
            <w:r w:rsidR="00403244" w:rsidRPr="00CC382E">
              <w:rPr>
                <w:rFonts w:ascii="Arial" w:hAnsi="Arial" w:cs="Arial"/>
              </w:rPr>
              <w:t>Other outcomes included completion of student Focus Groups (June 2018) which aimed to find out what level of understanding students had with regards to hate crime and to ensure that students were actively involved in this project.  Their feedback helped the Project Officer shape the delivery of the project.</w:t>
            </w:r>
            <w:r w:rsidR="00F22023" w:rsidRPr="00CC382E">
              <w:rPr>
                <w:rFonts w:ascii="Arial" w:hAnsi="Arial" w:cs="Arial"/>
              </w:rPr>
              <w:t xml:space="preserve"> </w:t>
            </w:r>
            <w:r w:rsidR="00403244" w:rsidRPr="00CC382E">
              <w:rPr>
                <w:rFonts w:ascii="Arial" w:hAnsi="Arial" w:cs="Arial"/>
              </w:rPr>
              <w:t>Birmingham University developed an awareness raising campaign which supported National Hate Crime Awareness Week (13-20 October 2018).</w:t>
            </w:r>
          </w:p>
          <w:p w14:paraId="31600D12" w14:textId="77777777" w:rsidR="00F22023" w:rsidRPr="00CC382E" w:rsidRDefault="00F22023" w:rsidP="00CC382E">
            <w:pPr>
              <w:spacing w:line="360" w:lineRule="auto"/>
              <w:rPr>
                <w:rFonts w:ascii="Arial" w:hAnsi="Arial" w:cs="Arial"/>
                <w:b/>
              </w:rPr>
            </w:pPr>
          </w:p>
          <w:p w14:paraId="4CE23CE9" w14:textId="77777777" w:rsidR="00403244" w:rsidRPr="00CC382E" w:rsidRDefault="00F22023" w:rsidP="00CC382E">
            <w:pPr>
              <w:spacing w:line="360" w:lineRule="auto"/>
              <w:rPr>
                <w:rFonts w:ascii="Arial" w:hAnsi="Arial" w:cs="Arial"/>
              </w:rPr>
            </w:pPr>
            <w:r w:rsidRPr="00CC382E">
              <w:rPr>
                <w:rFonts w:ascii="Arial" w:hAnsi="Arial" w:cs="Arial"/>
              </w:rPr>
              <w:t xml:space="preserve">From our findings and contributions made by partner agencies, it is evident that victims living in the 7 LAs have limited access to emotional and practical support following a hate incident/ hate crime. Limited availability to support </w:t>
            </w:r>
            <w:r w:rsidR="001802F2" w:rsidRPr="00CC382E">
              <w:rPr>
                <w:rFonts w:ascii="Arial" w:hAnsi="Arial" w:cs="Arial"/>
              </w:rPr>
              <w:t xml:space="preserve">is a contributory factor in discouraging victims to report a hate crime or seek help. </w:t>
            </w:r>
            <w:r w:rsidR="00041A98" w:rsidRPr="00CC382E">
              <w:rPr>
                <w:rFonts w:ascii="Arial" w:hAnsi="Arial" w:cs="Arial"/>
              </w:rPr>
              <w:t xml:space="preserve">Commissioning a support service(s) that is accessible to victims across the region will undoubtedly give communities reassurance and confidence in reporting to the police. </w:t>
            </w:r>
          </w:p>
          <w:p w14:paraId="1E479A87" w14:textId="77777777" w:rsidR="00A61617" w:rsidRPr="00CC382E" w:rsidRDefault="00A61617" w:rsidP="00CC382E">
            <w:pPr>
              <w:spacing w:line="360" w:lineRule="auto"/>
              <w:rPr>
                <w:rFonts w:ascii="Arial" w:hAnsi="Arial" w:cs="Arial"/>
                <w:b/>
              </w:rPr>
            </w:pPr>
          </w:p>
          <w:p w14:paraId="3BFFE564" w14:textId="77777777" w:rsidR="00BE24D9" w:rsidRPr="00CC382E" w:rsidRDefault="00BE24D9" w:rsidP="00CC382E">
            <w:pPr>
              <w:pStyle w:val="ListParagraph"/>
              <w:numPr>
                <w:ilvl w:val="2"/>
                <w:numId w:val="2"/>
              </w:numPr>
              <w:spacing w:line="360" w:lineRule="auto"/>
              <w:rPr>
                <w:rFonts w:ascii="Arial" w:hAnsi="Arial" w:cs="Arial"/>
                <w:b/>
              </w:rPr>
            </w:pPr>
            <w:r w:rsidRPr="00CC382E">
              <w:rPr>
                <w:rFonts w:ascii="Arial" w:hAnsi="Arial" w:cs="Arial"/>
                <w:b/>
              </w:rPr>
              <w:t>About Hate Crime</w:t>
            </w:r>
          </w:p>
          <w:p w14:paraId="630FF795" w14:textId="77777777" w:rsidR="002F11AD" w:rsidRPr="00CC382E" w:rsidRDefault="002F11AD" w:rsidP="00CC382E">
            <w:pPr>
              <w:spacing w:line="360" w:lineRule="auto"/>
              <w:rPr>
                <w:rFonts w:ascii="Arial" w:hAnsi="Arial" w:cs="Arial"/>
              </w:rPr>
            </w:pPr>
            <w:r w:rsidRPr="00CC382E">
              <w:rPr>
                <w:rFonts w:ascii="Arial" w:hAnsi="Arial" w:cs="Arial"/>
              </w:rPr>
              <w:t>Hate Crime is a crime that the victim or any other person perceives to be motivated</w:t>
            </w:r>
          </w:p>
          <w:p w14:paraId="7699E931" w14:textId="77777777" w:rsidR="002F11AD" w:rsidRPr="00CC382E" w:rsidRDefault="002F11AD" w:rsidP="00CC382E">
            <w:pPr>
              <w:spacing w:line="360" w:lineRule="auto"/>
              <w:rPr>
                <w:rFonts w:ascii="Arial" w:hAnsi="Arial" w:cs="Arial"/>
              </w:rPr>
            </w:pPr>
            <w:r w:rsidRPr="00CC382E">
              <w:rPr>
                <w:rFonts w:ascii="Arial" w:hAnsi="Arial" w:cs="Arial"/>
              </w:rPr>
              <w:t>by hostility or prejudice towards any aspect of a person’s identity. Police forces in</w:t>
            </w:r>
          </w:p>
          <w:p w14:paraId="0993E362" w14:textId="77777777" w:rsidR="002F11AD" w:rsidRPr="00CC382E" w:rsidRDefault="002F11AD" w:rsidP="00CC382E">
            <w:pPr>
              <w:spacing w:line="360" w:lineRule="auto"/>
              <w:rPr>
                <w:rFonts w:ascii="Arial" w:hAnsi="Arial" w:cs="Arial"/>
              </w:rPr>
            </w:pPr>
            <w:r w:rsidRPr="00CC382E">
              <w:rPr>
                <w:rFonts w:ascii="Arial" w:hAnsi="Arial" w:cs="Arial"/>
              </w:rPr>
              <w:t>England, Wales and Northern Ireland annually monitor five strands of Hate Crime:</w:t>
            </w:r>
          </w:p>
          <w:p w14:paraId="0986CD58" w14:textId="77777777" w:rsidR="002F11AD" w:rsidRPr="00CC382E" w:rsidRDefault="002F11AD" w:rsidP="00CC382E">
            <w:pPr>
              <w:pStyle w:val="ListParagraph"/>
              <w:numPr>
                <w:ilvl w:val="0"/>
                <w:numId w:val="13"/>
              </w:numPr>
              <w:spacing w:line="360" w:lineRule="auto"/>
              <w:rPr>
                <w:rFonts w:ascii="Arial" w:hAnsi="Arial" w:cs="Arial"/>
              </w:rPr>
            </w:pPr>
            <w:r w:rsidRPr="00CC382E">
              <w:rPr>
                <w:rFonts w:ascii="Arial" w:hAnsi="Arial" w:cs="Arial"/>
              </w:rPr>
              <w:t>Disability</w:t>
            </w:r>
          </w:p>
          <w:p w14:paraId="138058ED" w14:textId="77777777" w:rsidR="002F11AD" w:rsidRPr="00CC382E" w:rsidRDefault="002F11AD" w:rsidP="00CC382E">
            <w:pPr>
              <w:pStyle w:val="ListParagraph"/>
              <w:numPr>
                <w:ilvl w:val="0"/>
                <w:numId w:val="13"/>
              </w:numPr>
              <w:spacing w:line="360" w:lineRule="auto"/>
              <w:rPr>
                <w:rFonts w:ascii="Arial" w:hAnsi="Arial" w:cs="Arial"/>
              </w:rPr>
            </w:pPr>
            <w:r w:rsidRPr="00CC382E">
              <w:rPr>
                <w:rFonts w:ascii="Arial" w:hAnsi="Arial" w:cs="Arial"/>
              </w:rPr>
              <w:t>Transgender Identity</w:t>
            </w:r>
          </w:p>
          <w:p w14:paraId="3DE0392A" w14:textId="77777777" w:rsidR="002F11AD" w:rsidRPr="00CC382E" w:rsidRDefault="002F11AD" w:rsidP="00CC382E">
            <w:pPr>
              <w:pStyle w:val="ListParagraph"/>
              <w:numPr>
                <w:ilvl w:val="0"/>
                <w:numId w:val="13"/>
              </w:numPr>
              <w:spacing w:line="360" w:lineRule="auto"/>
              <w:rPr>
                <w:rFonts w:ascii="Arial" w:hAnsi="Arial" w:cs="Arial"/>
              </w:rPr>
            </w:pPr>
            <w:r w:rsidRPr="00CC382E">
              <w:rPr>
                <w:rFonts w:ascii="Arial" w:hAnsi="Arial" w:cs="Arial"/>
              </w:rPr>
              <w:lastRenderedPageBreak/>
              <w:t>Race, Ethnicity or Nationality</w:t>
            </w:r>
          </w:p>
          <w:p w14:paraId="5DFDDB85" w14:textId="77777777" w:rsidR="002F11AD" w:rsidRPr="00CC382E" w:rsidRDefault="002F11AD" w:rsidP="00CC382E">
            <w:pPr>
              <w:pStyle w:val="ListParagraph"/>
              <w:numPr>
                <w:ilvl w:val="0"/>
                <w:numId w:val="13"/>
              </w:numPr>
              <w:spacing w:line="360" w:lineRule="auto"/>
              <w:rPr>
                <w:rFonts w:ascii="Arial" w:hAnsi="Arial" w:cs="Arial"/>
              </w:rPr>
            </w:pPr>
            <w:r w:rsidRPr="00CC382E">
              <w:rPr>
                <w:rFonts w:ascii="Arial" w:hAnsi="Arial" w:cs="Arial"/>
              </w:rPr>
              <w:t>Religion, Faith or Belief</w:t>
            </w:r>
          </w:p>
          <w:p w14:paraId="6EDB604B" w14:textId="77777777" w:rsidR="002F11AD" w:rsidRPr="00CC382E" w:rsidRDefault="002F11AD" w:rsidP="00CC382E">
            <w:pPr>
              <w:pStyle w:val="ListParagraph"/>
              <w:numPr>
                <w:ilvl w:val="0"/>
                <w:numId w:val="13"/>
              </w:numPr>
              <w:spacing w:line="360" w:lineRule="auto"/>
              <w:rPr>
                <w:rFonts w:ascii="Arial" w:hAnsi="Arial" w:cs="Arial"/>
              </w:rPr>
            </w:pPr>
            <w:r w:rsidRPr="00CC382E">
              <w:rPr>
                <w:rFonts w:ascii="Arial" w:hAnsi="Arial" w:cs="Arial"/>
              </w:rPr>
              <w:t>Sexual Orientation</w:t>
            </w:r>
          </w:p>
          <w:p w14:paraId="710A1B6C" w14:textId="77777777" w:rsidR="00A46B22" w:rsidRPr="00CC382E" w:rsidRDefault="00A46B22" w:rsidP="00CC382E">
            <w:pPr>
              <w:spacing w:line="360" w:lineRule="auto"/>
              <w:rPr>
                <w:rFonts w:ascii="Arial" w:hAnsi="Arial" w:cs="Arial"/>
                <w:b/>
              </w:rPr>
            </w:pPr>
          </w:p>
          <w:p w14:paraId="2BCAF9F1" w14:textId="77777777" w:rsidR="00021357" w:rsidRPr="00CC382E" w:rsidRDefault="002F11AD" w:rsidP="00CC382E">
            <w:pPr>
              <w:spacing w:line="360" w:lineRule="auto"/>
              <w:rPr>
                <w:rFonts w:ascii="Arial" w:hAnsi="Arial" w:cs="Arial"/>
              </w:rPr>
            </w:pPr>
            <w:r w:rsidRPr="00CC382E">
              <w:rPr>
                <w:rFonts w:ascii="Arial" w:hAnsi="Arial" w:cs="Arial"/>
              </w:rPr>
              <w:t>Crimes which are motivated by hate can have a lasting and sometimes devastating effect on victims and communities. They are distressing because they target the very core of w</w:t>
            </w:r>
            <w:r w:rsidR="00CA0EF4" w:rsidRPr="00CC382E">
              <w:rPr>
                <w:rFonts w:ascii="Arial" w:hAnsi="Arial" w:cs="Arial"/>
              </w:rPr>
              <w:t xml:space="preserve">ho you are or what you believe. </w:t>
            </w:r>
            <w:r w:rsidRPr="00CC382E">
              <w:rPr>
                <w:rFonts w:ascii="Arial" w:hAnsi="Arial" w:cs="Arial"/>
              </w:rPr>
              <w:t>As hate crime covers a number of protected characteristics it is important to emphasise that hate crime is an exceptionally broad and complex social problem.</w:t>
            </w:r>
            <w:r w:rsidR="003C6178">
              <w:rPr>
                <w:rFonts w:ascii="Arial" w:hAnsi="Arial" w:cs="Arial"/>
              </w:rPr>
              <w:t xml:space="preserve"> </w:t>
            </w:r>
            <w:r w:rsidRPr="00CC382E">
              <w:rPr>
                <w:rFonts w:ascii="Arial" w:hAnsi="Arial" w:cs="Arial"/>
              </w:rPr>
              <w:t>Hate crimes are often linked to emerging social and political issues in recent times these have included; Brexit, the COVID-19 pandemic, the death of George Floyd and the ensuing #blacklivesmatter campaign.</w:t>
            </w:r>
            <w:r w:rsidR="003C6178">
              <w:rPr>
                <w:rFonts w:ascii="Arial" w:hAnsi="Arial" w:cs="Arial"/>
              </w:rPr>
              <w:t xml:space="preserve"> </w:t>
            </w:r>
            <w:r w:rsidRPr="00CC382E">
              <w:rPr>
                <w:rFonts w:ascii="Arial" w:hAnsi="Arial" w:cs="Arial"/>
              </w:rPr>
              <w:t>The response to hate crime requires statutory and voluntary services to work together which must include a focus on anticipating and preventing hate crime, as well as tackling crimes effectively when they have been committed.</w:t>
            </w:r>
          </w:p>
          <w:p w14:paraId="24E36832" w14:textId="77777777" w:rsidR="00A46B22" w:rsidRPr="00CC382E" w:rsidRDefault="00A46B22" w:rsidP="00CC382E">
            <w:pPr>
              <w:spacing w:line="360" w:lineRule="auto"/>
              <w:rPr>
                <w:rFonts w:ascii="Arial" w:hAnsi="Arial" w:cs="Arial"/>
                <w:b/>
              </w:rPr>
            </w:pPr>
          </w:p>
        </w:tc>
      </w:tr>
      <w:tr w:rsidR="00A46B22" w:rsidRPr="00CC382E" w14:paraId="69ECEBAC" w14:textId="77777777" w:rsidTr="00A61617">
        <w:tc>
          <w:tcPr>
            <w:tcW w:w="9016" w:type="dxa"/>
            <w:shd w:val="clear" w:color="auto" w:fill="D9E2F3" w:themeFill="accent5" w:themeFillTint="33"/>
          </w:tcPr>
          <w:p w14:paraId="669F5183" w14:textId="77777777" w:rsidR="00A46B22" w:rsidRPr="00CC382E" w:rsidRDefault="00A61617" w:rsidP="00CC382E">
            <w:pPr>
              <w:pStyle w:val="ListParagraph"/>
              <w:numPr>
                <w:ilvl w:val="0"/>
                <w:numId w:val="2"/>
              </w:numPr>
              <w:spacing w:line="360" w:lineRule="auto"/>
              <w:rPr>
                <w:rFonts w:ascii="Arial" w:hAnsi="Arial" w:cs="Arial"/>
                <w:b/>
              </w:rPr>
            </w:pPr>
            <w:r w:rsidRPr="00CC382E">
              <w:rPr>
                <w:rFonts w:ascii="Arial" w:hAnsi="Arial" w:cs="Arial"/>
                <w:b/>
              </w:rPr>
              <w:lastRenderedPageBreak/>
              <w:t xml:space="preserve">Scope </w:t>
            </w:r>
          </w:p>
          <w:p w14:paraId="0906EE34" w14:textId="77777777" w:rsidR="00A61617" w:rsidRPr="00CC382E" w:rsidRDefault="00A61617" w:rsidP="00CC382E">
            <w:pPr>
              <w:pStyle w:val="ListParagraph"/>
              <w:spacing w:line="360" w:lineRule="auto"/>
              <w:rPr>
                <w:rFonts w:ascii="Arial" w:hAnsi="Arial" w:cs="Arial"/>
                <w:b/>
              </w:rPr>
            </w:pPr>
          </w:p>
        </w:tc>
      </w:tr>
      <w:tr w:rsidR="00A46B22" w:rsidRPr="00CC382E" w14:paraId="1614952B" w14:textId="77777777" w:rsidTr="005A63E4">
        <w:tc>
          <w:tcPr>
            <w:tcW w:w="9016" w:type="dxa"/>
          </w:tcPr>
          <w:p w14:paraId="411A1AD3" w14:textId="602826EA" w:rsidR="00A46B22" w:rsidRPr="00CC382E" w:rsidRDefault="00A61617" w:rsidP="00CC382E">
            <w:pPr>
              <w:pStyle w:val="ListParagraph"/>
              <w:numPr>
                <w:ilvl w:val="1"/>
                <w:numId w:val="2"/>
              </w:numPr>
              <w:spacing w:line="360" w:lineRule="auto"/>
              <w:rPr>
                <w:rFonts w:ascii="Arial" w:hAnsi="Arial" w:cs="Arial"/>
                <w:b/>
              </w:rPr>
            </w:pPr>
            <w:r w:rsidRPr="00CC382E">
              <w:rPr>
                <w:rFonts w:ascii="Arial" w:hAnsi="Arial" w:cs="Arial"/>
                <w:b/>
              </w:rPr>
              <w:t xml:space="preserve">Aims </w:t>
            </w:r>
            <w:r w:rsidR="00B505C9" w:rsidRPr="00CC382E">
              <w:rPr>
                <w:rFonts w:ascii="Arial" w:hAnsi="Arial" w:cs="Arial"/>
                <w:b/>
              </w:rPr>
              <w:t>and O</w:t>
            </w:r>
            <w:r w:rsidRPr="00CC382E">
              <w:rPr>
                <w:rFonts w:ascii="Arial" w:hAnsi="Arial" w:cs="Arial"/>
                <w:b/>
              </w:rPr>
              <w:t>bjectives</w:t>
            </w:r>
          </w:p>
          <w:p w14:paraId="2183D55D" w14:textId="77777777" w:rsidR="00B505C9" w:rsidRPr="003C6178" w:rsidRDefault="003C6178" w:rsidP="00CC382E">
            <w:pPr>
              <w:spacing w:line="360" w:lineRule="auto"/>
              <w:rPr>
                <w:rFonts w:ascii="Arial" w:hAnsi="Arial" w:cs="Arial"/>
              </w:rPr>
            </w:pPr>
            <w:r>
              <w:rPr>
                <w:rFonts w:ascii="Arial" w:hAnsi="Arial" w:cs="Arial"/>
              </w:rPr>
              <w:t xml:space="preserve">The </w:t>
            </w:r>
            <w:r w:rsidR="00196A13">
              <w:rPr>
                <w:rFonts w:ascii="Arial" w:hAnsi="Arial" w:cs="Arial"/>
              </w:rPr>
              <w:t>aims and objectives of the service include</w:t>
            </w:r>
            <w:r w:rsidRPr="003C6178">
              <w:rPr>
                <w:rFonts w:ascii="Arial" w:hAnsi="Arial" w:cs="Arial"/>
              </w:rPr>
              <w:t>;</w:t>
            </w:r>
          </w:p>
          <w:p w14:paraId="5E864594" w14:textId="77777777" w:rsidR="005B42C1" w:rsidRDefault="00B505C9" w:rsidP="00CC382E">
            <w:pPr>
              <w:pStyle w:val="ListParagraph"/>
              <w:numPr>
                <w:ilvl w:val="0"/>
                <w:numId w:val="19"/>
              </w:numPr>
              <w:spacing w:line="360" w:lineRule="auto"/>
              <w:rPr>
                <w:rFonts w:ascii="Arial" w:hAnsi="Arial" w:cs="Arial"/>
              </w:rPr>
            </w:pPr>
            <w:r w:rsidRPr="00CC382E">
              <w:rPr>
                <w:rFonts w:ascii="Arial" w:hAnsi="Arial" w:cs="Arial"/>
              </w:rPr>
              <w:t xml:space="preserve">To work with criminal justice system partners to develop and pilot a scheme </w:t>
            </w:r>
            <w:r w:rsidR="005B42C1">
              <w:rPr>
                <w:rFonts w:ascii="Arial" w:hAnsi="Arial" w:cs="Arial"/>
              </w:rPr>
              <w:t xml:space="preserve">which supports with advocacy, emotional and practical support for victims of hate crime. </w:t>
            </w:r>
          </w:p>
          <w:p w14:paraId="599D19EA" w14:textId="04A59E5B" w:rsidR="00B505C9" w:rsidRPr="00CC382E" w:rsidRDefault="005B42C1" w:rsidP="00CC382E">
            <w:pPr>
              <w:pStyle w:val="ListParagraph"/>
              <w:numPr>
                <w:ilvl w:val="0"/>
                <w:numId w:val="19"/>
              </w:numPr>
              <w:spacing w:line="360" w:lineRule="auto"/>
              <w:rPr>
                <w:rFonts w:ascii="Arial" w:hAnsi="Arial" w:cs="Arial"/>
              </w:rPr>
            </w:pPr>
            <w:r>
              <w:rPr>
                <w:rFonts w:ascii="Arial" w:hAnsi="Arial" w:cs="Arial"/>
              </w:rPr>
              <w:t xml:space="preserve">Specialists carrying out this work </w:t>
            </w:r>
            <w:r w:rsidR="00FF74F1" w:rsidRPr="00CC382E">
              <w:rPr>
                <w:rFonts w:ascii="Arial" w:hAnsi="Arial" w:cs="Arial"/>
              </w:rPr>
              <w:t>will have a primary responsibility to</w:t>
            </w:r>
            <w:r w:rsidR="00B505C9" w:rsidRPr="00CC382E">
              <w:rPr>
                <w:rFonts w:ascii="Arial" w:hAnsi="Arial" w:cs="Arial"/>
              </w:rPr>
              <w:t xml:space="preserve"> support those who have been targeted and t</w:t>
            </w:r>
            <w:r w:rsidR="009C6BC0" w:rsidRPr="00CC382E">
              <w:rPr>
                <w:rFonts w:ascii="Arial" w:hAnsi="Arial" w:cs="Arial"/>
              </w:rPr>
              <w:t>o help them to cope and recover</w:t>
            </w:r>
          </w:p>
          <w:p w14:paraId="7AF80AA2" w14:textId="77777777" w:rsidR="009C6BC0" w:rsidRPr="00CC382E" w:rsidRDefault="003C6178" w:rsidP="00CC382E">
            <w:pPr>
              <w:pStyle w:val="ListParagraph"/>
              <w:numPr>
                <w:ilvl w:val="0"/>
                <w:numId w:val="19"/>
              </w:numPr>
              <w:spacing w:line="360" w:lineRule="auto"/>
              <w:rPr>
                <w:rFonts w:ascii="Arial" w:hAnsi="Arial" w:cs="Arial"/>
              </w:rPr>
            </w:pPr>
            <w:r>
              <w:rPr>
                <w:rFonts w:ascii="Arial" w:hAnsi="Arial" w:cs="Arial"/>
              </w:rPr>
              <w:t xml:space="preserve">Improve </w:t>
            </w:r>
            <w:r w:rsidR="009C6BC0" w:rsidRPr="00CC382E">
              <w:rPr>
                <w:rFonts w:ascii="Arial" w:hAnsi="Arial" w:cs="Arial"/>
              </w:rPr>
              <w:t>accessibility of services to communities that are underrepresented in coming forward to report and seek help</w:t>
            </w:r>
          </w:p>
          <w:p w14:paraId="18BCE6E2" w14:textId="77777777" w:rsidR="00FE795B" w:rsidRPr="00CC382E" w:rsidRDefault="003C6178" w:rsidP="00CC382E">
            <w:pPr>
              <w:pStyle w:val="ListParagraph"/>
              <w:numPr>
                <w:ilvl w:val="0"/>
                <w:numId w:val="19"/>
              </w:numPr>
              <w:spacing w:line="360" w:lineRule="auto"/>
              <w:rPr>
                <w:rFonts w:ascii="Arial" w:hAnsi="Arial" w:cs="Arial"/>
              </w:rPr>
            </w:pPr>
            <w:r w:rsidRPr="00CC382E">
              <w:rPr>
                <w:rFonts w:ascii="Arial" w:hAnsi="Arial" w:cs="Arial"/>
              </w:rPr>
              <w:t>R</w:t>
            </w:r>
            <w:r>
              <w:rPr>
                <w:rFonts w:ascii="Arial" w:hAnsi="Arial" w:cs="Arial"/>
              </w:rPr>
              <w:t xml:space="preserve">educe </w:t>
            </w:r>
            <w:r w:rsidR="00FE795B" w:rsidRPr="00CC382E">
              <w:rPr>
                <w:rFonts w:ascii="Arial" w:hAnsi="Arial" w:cs="Arial"/>
              </w:rPr>
              <w:t xml:space="preserve"> repeat victi</w:t>
            </w:r>
            <w:r w:rsidR="009C6BC0" w:rsidRPr="00CC382E">
              <w:rPr>
                <w:rFonts w:ascii="Arial" w:hAnsi="Arial" w:cs="Arial"/>
              </w:rPr>
              <w:t xml:space="preserve">misation experienced by victims </w:t>
            </w:r>
          </w:p>
          <w:p w14:paraId="21F233A9" w14:textId="77777777" w:rsidR="00FE795B" w:rsidRPr="00CC382E" w:rsidRDefault="00FE795B" w:rsidP="00CC382E">
            <w:pPr>
              <w:pStyle w:val="ListParagraph"/>
              <w:numPr>
                <w:ilvl w:val="0"/>
                <w:numId w:val="9"/>
              </w:numPr>
              <w:spacing w:line="360" w:lineRule="auto"/>
              <w:rPr>
                <w:rFonts w:ascii="Arial" w:hAnsi="Arial" w:cs="Arial"/>
              </w:rPr>
            </w:pPr>
            <w:r w:rsidRPr="00CC382E">
              <w:rPr>
                <w:rFonts w:ascii="Arial" w:hAnsi="Arial" w:cs="Arial"/>
              </w:rPr>
              <w:t>Client satisfaction with the service provided, a reduction in risk a</w:t>
            </w:r>
            <w:r w:rsidR="009C6BC0" w:rsidRPr="00CC382E">
              <w:rPr>
                <w:rFonts w:ascii="Arial" w:hAnsi="Arial" w:cs="Arial"/>
              </w:rPr>
              <w:t>nd increased feelings of safety</w:t>
            </w:r>
          </w:p>
          <w:p w14:paraId="63B49FC7" w14:textId="77777777" w:rsidR="00196A13" w:rsidRDefault="00196A13" w:rsidP="00CC382E">
            <w:pPr>
              <w:spacing w:line="360" w:lineRule="auto"/>
              <w:rPr>
                <w:rFonts w:ascii="Arial" w:hAnsi="Arial" w:cs="Arial"/>
              </w:rPr>
            </w:pPr>
          </w:p>
          <w:p w14:paraId="236276C7" w14:textId="77777777" w:rsidR="00FE795B" w:rsidRPr="00CC382E" w:rsidRDefault="00196A13" w:rsidP="00CC382E">
            <w:pPr>
              <w:spacing w:line="360" w:lineRule="auto"/>
              <w:rPr>
                <w:rFonts w:ascii="Arial" w:hAnsi="Arial" w:cs="Arial"/>
              </w:rPr>
            </w:pPr>
            <w:r>
              <w:rPr>
                <w:rFonts w:ascii="Arial" w:hAnsi="Arial" w:cs="Arial"/>
              </w:rPr>
              <w:t>The</w:t>
            </w:r>
            <w:r w:rsidR="009C6BC0" w:rsidRPr="00CC382E">
              <w:rPr>
                <w:rFonts w:ascii="Arial" w:hAnsi="Arial" w:cs="Arial"/>
              </w:rPr>
              <w:t xml:space="preserve"> aims and objectives in instances where victims</w:t>
            </w:r>
            <w:r w:rsidR="00FE795B" w:rsidRPr="00CC382E">
              <w:rPr>
                <w:rFonts w:ascii="Arial" w:hAnsi="Arial" w:cs="Arial"/>
              </w:rPr>
              <w:t xml:space="preserve"> choose a criminal justice path</w:t>
            </w:r>
            <w:r w:rsidR="009C6BC0" w:rsidRPr="00CC382E">
              <w:rPr>
                <w:rFonts w:ascii="Arial" w:hAnsi="Arial" w:cs="Arial"/>
              </w:rPr>
              <w:t xml:space="preserve"> include: </w:t>
            </w:r>
          </w:p>
          <w:p w14:paraId="13736FD6" w14:textId="77777777" w:rsidR="00FE795B" w:rsidRPr="00CC382E" w:rsidRDefault="00FE795B" w:rsidP="00CC382E">
            <w:pPr>
              <w:spacing w:line="360" w:lineRule="auto"/>
              <w:rPr>
                <w:rFonts w:ascii="Arial" w:hAnsi="Arial" w:cs="Arial"/>
              </w:rPr>
            </w:pPr>
          </w:p>
          <w:p w14:paraId="4E96196B" w14:textId="77777777" w:rsidR="00FE795B" w:rsidRPr="00CC382E" w:rsidRDefault="009C6BC0" w:rsidP="00CC382E">
            <w:pPr>
              <w:pStyle w:val="ListParagraph"/>
              <w:numPr>
                <w:ilvl w:val="0"/>
                <w:numId w:val="10"/>
              </w:numPr>
              <w:spacing w:line="360" w:lineRule="auto"/>
              <w:rPr>
                <w:rFonts w:ascii="Arial" w:hAnsi="Arial" w:cs="Arial"/>
              </w:rPr>
            </w:pPr>
            <w:r w:rsidRPr="00CC382E">
              <w:rPr>
                <w:rFonts w:ascii="Arial" w:hAnsi="Arial" w:cs="Arial"/>
              </w:rPr>
              <w:t>C</w:t>
            </w:r>
            <w:r w:rsidR="00FE795B" w:rsidRPr="00CC382E">
              <w:rPr>
                <w:rFonts w:ascii="Arial" w:hAnsi="Arial" w:cs="Arial"/>
              </w:rPr>
              <w:t>onsistent and timely use of Victim Personal Stat</w:t>
            </w:r>
            <w:r w:rsidRPr="00CC382E">
              <w:rPr>
                <w:rFonts w:ascii="Arial" w:hAnsi="Arial" w:cs="Arial"/>
              </w:rPr>
              <w:t>ements and pre-sentence reports</w:t>
            </w:r>
          </w:p>
          <w:p w14:paraId="6F59EBF2" w14:textId="77777777" w:rsidR="00FE795B" w:rsidRPr="00CC382E" w:rsidRDefault="00FE795B" w:rsidP="00CC382E">
            <w:pPr>
              <w:pStyle w:val="ListParagraph"/>
              <w:numPr>
                <w:ilvl w:val="0"/>
                <w:numId w:val="10"/>
              </w:numPr>
              <w:spacing w:line="360" w:lineRule="auto"/>
              <w:rPr>
                <w:rFonts w:ascii="Arial" w:hAnsi="Arial" w:cs="Arial"/>
              </w:rPr>
            </w:pPr>
            <w:r w:rsidRPr="00CC382E">
              <w:rPr>
                <w:rFonts w:ascii="Arial" w:hAnsi="Arial" w:cs="Arial"/>
              </w:rPr>
              <w:t>A positive impact on the</w:t>
            </w:r>
            <w:r w:rsidR="009C6BC0" w:rsidRPr="00CC382E">
              <w:rPr>
                <w:rFonts w:ascii="Arial" w:hAnsi="Arial" w:cs="Arial"/>
              </w:rPr>
              <w:t xml:space="preserve"> attrition rate of prosecutions</w:t>
            </w:r>
          </w:p>
          <w:p w14:paraId="67BD8717" w14:textId="77777777" w:rsidR="00FE795B" w:rsidRPr="00CC382E" w:rsidRDefault="00FE795B" w:rsidP="00CC382E">
            <w:pPr>
              <w:pStyle w:val="ListParagraph"/>
              <w:numPr>
                <w:ilvl w:val="0"/>
                <w:numId w:val="10"/>
              </w:numPr>
              <w:spacing w:line="360" w:lineRule="auto"/>
              <w:rPr>
                <w:rFonts w:ascii="Arial" w:hAnsi="Arial" w:cs="Arial"/>
              </w:rPr>
            </w:pPr>
            <w:r w:rsidRPr="00CC382E">
              <w:rPr>
                <w:rFonts w:ascii="Arial" w:hAnsi="Arial" w:cs="Arial"/>
              </w:rPr>
              <w:t>Effective integration with other local services and organisations, maximising the value of all local pr</w:t>
            </w:r>
            <w:r w:rsidR="009C6BC0" w:rsidRPr="00CC382E">
              <w:rPr>
                <w:rFonts w:ascii="Arial" w:hAnsi="Arial" w:cs="Arial"/>
              </w:rPr>
              <w:t xml:space="preserve">ovision </w:t>
            </w:r>
          </w:p>
          <w:p w14:paraId="6CF47803" w14:textId="34970BED" w:rsidR="00FE795B" w:rsidRDefault="00FE795B" w:rsidP="00CC382E">
            <w:pPr>
              <w:pStyle w:val="ListParagraph"/>
              <w:numPr>
                <w:ilvl w:val="0"/>
                <w:numId w:val="10"/>
              </w:numPr>
              <w:spacing w:line="360" w:lineRule="auto"/>
              <w:rPr>
                <w:rFonts w:ascii="Arial" w:hAnsi="Arial" w:cs="Arial"/>
              </w:rPr>
            </w:pPr>
            <w:r w:rsidRPr="00CC382E">
              <w:rPr>
                <w:rFonts w:ascii="Arial" w:hAnsi="Arial" w:cs="Arial"/>
              </w:rPr>
              <w:lastRenderedPageBreak/>
              <w:t>An evidence base for scalability and sustainability of a Hate Crime Victims’ Advocates scheme.</w:t>
            </w:r>
          </w:p>
          <w:p w14:paraId="21B14B7B" w14:textId="27894334" w:rsidR="00CE44A7" w:rsidRDefault="00CE44A7" w:rsidP="00CC382E">
            <w:pPr>
              <w:pStyle w:val="ListParagraph"/>
              <w:numPr>
                <w:ilvl w:val="0"/>
                <w:numId w:val="10"/>
              </w:numPr>
              <w:spacing w:line="360" w:lineRule="auto"/>
              <w:rPr>
                <w:rFonts w:ascii="Arial" w:hAnsi="Arial" w:cs="Arial"/>
              </w:rPr>
            </w:pPr>
            <w:r>
              <w:rPr>
                <w:rFonts w:ascii="Arial" w:hAnsi="Arial" w:cs="Arial"/>
              </w:rPr>
              <w:t>Overall, objectives identified by providers should deliver the following:</w:t>
            </w:r>
          </w:p>
          <w:p w14:paraId="4113FD07" w14:textId="77777777" w:rsidR="00CE44A7" w:rsidRPr="00CE44A7" w:rsidRDefault="00CE44A7" w:rsidP="00CE44A7">
            <w:pPr>
              <w:pStyle w:val="ListParagraph"/>
              <w:numPr>
                <w:ilvl w:val="0"/>
                <w:numId w:val="26"/>
              </w:numPr>
              <w:spacing w:line="360" w:lineRule="auto"/>
              <w:rPr>
                <w:rFonts w:ascii="Arial" w:hAnsi="Arial" w:cs="Arial"/>
              </w:rPr>
            </w:pPr>
            <w:r w:rsidRPr="00CE44A7">
              <w:rPr>
                <w:rFonts w:ascii="Arial" w:hAnsi="Arial" w:cs="Arial"/>
              </w:rPr>
              <w:t>Expert advice</w:t>
            </w:r>
          </w:p>
          <w:p w14:paraId="36DED274" w14:textId="77777777" w:rsidR="00CE44A7" w:rsidRPr="00CE44A7" w:rsidRDefault="00CE44A7" w:rsidP="00CE44A7">
            <w:pPr>
              <w:pStyle w:val="ListParagraph"/>
              <w:numPr>
                <w:ilvl w:val="0"/>
                <w:numId w:val="26"/>
              </w:numPr>
              <w:spacing w:line="360" w:lineRule="auto"/>
              <w:rPr>
                <w:rFonts w:ascii="Arial" w:hAnsi="Arial" w:cs="Arial"/>
              </w:rPr>
            </w:pPr>
            <w:r w:rsidRPr="00CE44A7">
              <w:rPr>
                <w:rFonts w:ascii="Arial" w:hAnsi="Arial" w:cs="Arial"/>
              </w:rPr>
              <w:t>Culturally competent support</w:t>
            </w:r>
          </w:p>
          <w:p w14:paraId="1D3C8EF9" w14:textId="77777777" w:rsidR="00CE44A7" w:rsidRPr="00CE44A7" w:rsidRDefault="00CE44A7" w:rsidP="00CE44A7">
            <w:pPr>
              <w:pStyle w:val="ListParagraph"/>
              <w:numPr>
                <w:ilvl w:val="0"/>
                <w:numId w:val="26"/>
              </w:numPr>
              <w:spacing w:line="360" w:lineRule="auto"/>
              <w:rPr>
                <w:rFonts w:ascii="Arial" w:hAnsi="Arial" w:cs="Arial"/>
              </w:rPr>
            </w:pPr>
            <w:r w:rsidRPr="00CE44A7">
              <w:rPr>
                <w:rFonts w:ascii="Arial" w:hAnsi="Arial" w:cs="Arial"/>
              </w:rPr>
              <w:t>Improved access</w:t>
            </w:r>
          </w:p>
          <w:p w14:paraId="57E3E52D" w14:textId="3745B056" w:rsidR="00CE44A7" w:rsidRPr="00196A13" w:rsidRDefault="00CE44A7" w:rsidP="00CE44A7">
            <w:pPr>
              <w:pStyle w:val="ListParagraph"/>
              <w:numPr>
                <w:ilvl w:val="0"/>
                <w:numId w:val="26"/>
              </w:numPr>
              <w:spacing w:line="360" w:lineRule="auto"/>
              <w:rPr>
                <w:rFonts w:ascii="Arial" w:hAnsi="Arial" w:cs="Arial"/>
              </w:rPr>
            </w:pPr>
            <w:r w:rsidRPr="00CE44A7">
              <w:rPr>
                <w:rFonts w:ascii="Arial" w:hAnsi="Arial" w:cs="Arial"/>
              </w:rPr>
              <w:t>Support to report</w:t>
            </w:r>
          </w:p>
          <w:p w14:paraId="26B774F4" w14:textId="21256C69" w:rsidR="00BC5824" w:rsidRPr="00BD0EE1" w:rsidRDefault="00BC5824" w:rsidP="00BD0EE1">
            <w:pPr>
              <w:spacing w:line="360" w:lineRule="auto"/>
              <w:rPr>
                <w:rFonts w:ascii="Arial" w:hAnsi="Arial" w:cs="Arial"/>
                <w:b/>
              </w:rPr>
            </w:pPr>
          </w:p>
          <w:p w14:paraId="670E81E4" w14:textId="77777777" w:rsidR="00196A13" w:rsidRPr="00196A13" w:rsidRDefault="00196A13" w:rsidP="00196A13">
            <w:pPr>
              <w:pStyle w:val="ListParagraph"/>
              <w:spacing w:line="360" w:lineRule="auto"/>
              <w:ind w:left="1080"/>
              <w:rPr>
                <w:rFonts w:ascii="Arial" w:hAnsi="Arial" w:cs="Arial"/>
                <w:b/>
              </w:rPr>
            </w:pPr>
          </w:p>
          <w:p w14:paraId="421279F0" w14:textId="11AFAD09" w:rsidR="00021357" w:rsidRDefault="00021357" w:rsidP="00CC382E">
            <w:pPr>
              <w:pStyle w:val="ListParagraph"/>
              <w:numPr>
                <w:ilvl w:val="2"/>
                <w:numId w:val="2"/>
              </w:numPr>
              <w:spacing w:line="360" w:lineRule="auto"/>
              <w:rPr>
                <w:rFonts w:ascii="Arial" w:hAnsi="Arial" w:cs="Arial"/>
                <w:b/>
              </w:rPr>
            </w:pPr>
            <w:r w:rsidRPr="00CC382E">
              <w:rPr>
                <w:rFonts w:ascii="Arial" w:hAnsi="Arial" w:cs="Arial"/>
                <w:b/>
              </w:rPr>
              <w:t>Referrals</w:t>
            </w:r>
          </w:p>
          <w:p w14:paraId="6E6D83EA" w14:textId="1C511ED5" w:rsidR="00CE44A7" w:rsidRDefault="00CE44A7" w:rsidP="00CE44A7">
            <w:pPr>
              <w:pStyle w:val="ListParagraph"/>
              <w:numPr>
                <w:ilvl w:val="0"/>
                <w:numId w:val="26"/>
              </w:numPr>
              <w:spacing w:line="360" w:lineRule="auto"/>
              <w:rPr>
                <w:rFonts w:ascii="Arial" w:hAnsi="Arial" w:cs="Arial"/>
              </w:rPr>
            </w:pPr>
            <w:r w:rsidRPr="00CE44A7">
              <w:rPr>
                <w:rFonts w:ascii="Arial" w:hAnsi="Arial" w:cs="Arial"/>
              </w:rPr>
              <w:t xml:space="preserve">Referrals </w:t>
            </w:r>
            <w:r>
              <w:rPr>
                <w:rFonts w:ascii="Arial" w:hAnsi="Arial" w:cs="Arial"/>
              </w:rPr>
              <w:t xml:space="preserve">made by West Midlands Police will all be allocated to the provider responsible to a) offer specialist support to the victim b) alternatively, refer on the case to another specialist provider. Timescales of having received a referral from WMP to ensuring cases are allocated/ referred on to other specialist services are to be agreed on by the provider and OPCC and we will take into account resources available among successful applicant(s). </w:t>
            </w:r>
          </w:p>
          <w:p w14:paraId="43C3DF00" w14:textId="77777777" w:rsidR="005305B9" w:rsidRDefault="005305B9" w:rsidP="00CE44A7">
            <w:pPr>
              <w:pStyle w:val="ListParagraph"/>
              <w:numPr>
                <w:ilvl w:val="0"/>
                <w:numId w:val="26"/>
              </w:numPr>
              <w:spacing w:line="360" w:lineRule="auto"/>
              <w:rPr>
                <w:rFonts w:ascii="Arial" w:hAnsi="Arial" w:cs="Arial"/>
              </w:rPr>
            </w:pPr>
            <w:r w:rsidRPr="005305B9">
              <w:rPr>
                <w:rFonts w:ascii="Arial" w:hAnsi="Arial" w:cs="Arial"/>
              </w:rPr>
              <w:t xml:space="preserve">Referrals are to be taken whether or not a victim has reported crime to the police. </w:t>
            </w:r>
          </w:p>
          <w:p w14:paraId="03DFC59B" w14:textId="1A42B158" w:rsidR="00CE44A7" w:rsidRPr="005305B9" w:rsidRDefault="005305B9" w:rsidP="00CE44A7">
            <w:pPr>
              <w:pStyle w:val="ListParagraph"/>
              <w:numPr>
                <w:ilvl w:val="0"/>
                <w:numId w:val="26"/>
              </w:numPr>
              <w:spacing w:line="360" w:lineRule="auto"/>
              <w:rPr>
                <w:rFonts w:ascii="Arial" w:hAnsi="Arial" w:cs="Arial"/>
              </w:rPr>
            </w:pPr>
            <w:r w:rsidRPr="005305B9">
              <w:rPr>
                <w:rFonts w:ascii="Arial" w:hAnsi="Arial" w:cs="Arial"/>
              </w:rPr>
              <w:t xml:space="preserve">All referrals into the service are to be recorded and </w:t>
            </w:r>
            <w:r>
              <w:rPr>
                <w:rFonts w:ascii="Arial" w:hAnsi="Arial" w:cs="Arial"/>
              </w:rPr>
              <w:t xml:space="preserve">included in quarterly monitoring which is assessed by the OPCC. </w:t>
            </w:r>
          </w:p>
          <w:p w14:paraId="1B8DF2EF" w14:textId="22360E99" w:rsidR="00CE44A7" w:rsidRPr="00CE44A7" w:rsidRDefault="00CE44A7" w:rsidP="005305B9">
            <w:pPr>
              <w:pStyle w:val="ListParagraph"/>
              <w:spacing w:line="360" w:lineRule="auto"/>
              <w:ind w:left="1080"/>
              <w:rPr>
                <w:rFonts w:ascii="Arial" w:hAnsi="Arial" w:cs="Arial"/>
                <w:b/>
              </w:rPr>
            </w:pPr>
          </w:p>
          <w:p w14:paraId="59DCC820" w14:textId="31B34DA3" w:rsidR="00021357" w:rsidRDefault="00021357" w:rsidP="00CC382E">
            <w:pPr>
              <w:pStyle w:val="ListParagraph"/>
              <w:numPr>
                <w:ilvl w:val="2"/>
                <w:numId w:val="2"/>
              </w:numPr>
              <w:spacing w:line="360" w:lineRule="auto"/>
              <w:rPr>
                <w:rFonts w:ascii="Arial" w:hAnsi="Arial" w:cs="Arial"/>
                <w:b/>
              </w:rPr>
            </w:pPr>
            <w:r w:rsidRPr="00CC382E">
              <w:rPr>
                <w:rFonts w:ascii="Arial" w:hAnsi="Arial" w:cs="Arial"/>
                <w:b/>
              </w:rPr>
              <w:t xml:space="preserve">Response time </w:t>
            </w:r>
          </w:p>
          <w:p w14:paraId="0BBE017A" w14:textId="0C120A34" w:rsidR="00CE44A7" w:rsidRDefault="00CE44A7" w:rsidP="00CE44A7">
            <w:pPr>
              <w:pStyle w:val="ListParagraph"/>
              <w:numPr>
                <w:ilvl w:val="0"/>
                <w:numId w:val="26"/>
              </w:numPr>
              <w:rPr>
                <w:rFonts w:ascii="Arial" w:hAnsi="Arial" w:cs="Arial"/>
              </w:rPr>
            </w:pPr>
            <w:r w:rsidRPr="00CE44A7">
              <w:rPr>
                <w:rFonts w:ascii="Arial" w:hAnsi="Arial" w:cs="Arial"/>
              </w:rPr>
              <w:t>Victims referred into specialist support servic</w:t>
            </w:r>
            <w:r w:rsidR="00451489">
              <w:rPr>
                <w:rFonts w:ascii="Arial" w:hAnsi="Arial" w:cs="Arial"/>
              </w:rPr>
              <w:t xml:space="preserve">es are to be contacted within 72 </w:t>
            </w:r>
            <w:r w:rsidR="005305B9">
              <w:rPr>
                <w:rFonts w:ascii="Arial" w:hAnsi="Arial" w:cs="Arial"/>
              </w:rPr>
              <w:t xml:space="preserve">hours. </w:t>
            </w:r>
            <w:r w:rsidRPr="00CE44A7">
              <w:rPr>
                <w:rFonts w:ascii="Arial" w:hAnsi="Arial" w:cs="Arial"/>
              </w:rPr>
              <w:t xml:space="preserve"> </w:t>
            </w:r>
          </w:p>
          <w:p w14:paraId="48F2B795" w14:textId="77777777" w:rsidR="005305B9" w:rsidRDefault="00CE44A7" w:rsidP="00CE44A7">
            <w:pPr>
              <w:pStyle w:val="ListParagraph"/>
              <w:numPr>
                <w:ilvl w:val="0"/>
                <w:numId w:val="26"/>
              </w:numPr>
              <w:rPr>
                <w:rFonts w:ascii="Arial" w:hAnsi="Arial" w:cs="Arial"/>
              </w:rPr>
            </w:pPr>
            <w:r>
              <w:rPr>
                <w:rFonts w:ascii="Arial" w:hAnsi="Arial" w:cs="Arial"/>
              </w:rPr>
              <w:t>A categor</w:t>
            </w:r>
            <w:r w:rsidR="005305B9">
              <w:rPr>
                <w:rFonts w:ascii="Arial" w:hAnsi="Arial" w:cs="Arial"/>
              </w:rPr>
              <w:t xml:space="preserve">isation of risk is to be included in the funding proposals and will be agreed on by the provider(s) and OPCC. </w:t>
            </w:r>
          </w:p>
          <w:p w14:paraId="46B64466" w14:textId="4F893AEB" w:rsidR="00CE44A7" w:rsidRPr="005305B9" w:rsidRDefault="00CE44A7" w:rsidP="005305B9">
            <w:pPr>
              <w:spacing w:line="360" w:lineRule="auto"/>
              <w:rPr>
                <w:rFonts w:ascii="Arial" w:hAnsi="Arial" w:cs="Arial"/>
              </w:rPr>
            </w:pPr>
          </w:p>
          <w:p w14:paraId="05F64899" w14:textId="1AF03AED" w:rsidR="00021357" w:rsidRDefault="00A61617" w:rsidP="00CC382E">
            <w:pPr>
              <w:pStyle w:val="ListParagraph"/>
              <w:numPr>
                <w:ilvl w:val="2"/>
                <w:numId w:val="2"/>
              </w:numPr>
              <w:spacing w:line="360" w:lineRule="auto"/>
              <w:rPr>
                <w:rFonts w:ascii="Arial" w:hAnsi="Arial" w:cs="Arial"/>
                <w:b/>
              </w:rPr>
            </w:pPr>
            <w:r w:rsidRPr="00CC382E">
              <w:rPr>
                <w:rFonts w:ascii="Arial" w:hAnsi="Arial" w:cs="Arial"/>
                <w:b/>
              </w:rPr>
              <w:t>Staffing</w:t>
            </w:r>
            <w:r w:rsidR="00DD62DD">
              <w:rPr>
                <w:rFonts w:ascii="Arial" w:hAnsi="Arial" w:cs="Arial"/>
                <w:b/>
              </w:rPr>
              <w:t xml:space="preserve"> and Service Hours </w:t>
            </w:r>
          </w:p>
          <w:p w14:paraId="09E6730C" w14:textId="0D13DDF4" w:rsidR="00DD62DD" w:rsidRDefault="00DD62DD" w:rsidP="00DD62DD">
            <w:pPr>
              <w:pStyle w:val="ListParagraph"/>
              <w:numPr>
                <w:ilvl w:val="0"/>
                <w:numId w:val="26"/>
              </w:numPr>
              <w:spacing w:line="360" w:lineRule="auto"/>
              <w:rPr>
                <w:rFonts w:ascii="Arial" w:hAnsi="Arial" w:cs="Arial"/>
              </w:rPr>
            </w:pPr>
            <w:r w:rsidRPr="00DD62DD">
              <w:rPr>
                <w:rFonts w:ascii="Arial" w:hAnsi="Arial" w:cs="Arial"/>
              </w:rPr>
              <w:t>Full-time staff in each organisation, open in line with organisation’s business hours (Mon</w:t>
            </w:r>
            <w:r>
              <w:rPr>
                <w:rFonts w:ascii="Arial" w:hAnsi="Arial" w:cs="Arial"/>
              </w:rPr>
              <w:t>day</w:t>
            </w:r>
            <w:r w:rsidRPr="00DD62DD">
              <w:rPr>
                <w:rFonts w:ascii="Arial" w:hAnsi="Arial" w:cs="Arial"/>
              </w:rPr>
              <w:t>-Friday) for most.</w:t>
            </w:r>
            <w:r>
              <w:rPr>
                <w:rFonts w:ascii="Arial" w:hAnsi="Arial" w:cs="Arial"/>
              </w:rPr>
              <w:t xml:space="preserve"> </w:t>
            </w:r>
          </w:p>
          <w:p w14:paraId="4E368BC4" w14:textId="1C3003FC" w:rsidR="00451489" w:rsidRPr="00451489" w:rsidRDefault="00451489" w:rsidP="00451489">
            <w:pPr>
              <w:pStyle w:val="ListParagraph"/>
              <w:numPr>
                <w:ilvl w:val="0"/>
                <w:numId w:val="26"/>
              </w:numPr>
              <w:spacing w:line="360" w:lineRule="auto"/>
              <w:rPr>
                <w:rFonts w:ascii="Arial" w:hAnsi="Arial" w:cs="Arial"/>
              </w:rPr>
            </w:pPr>
            <w:r>
              <w:rPr>
                <w:rFonts w:ascii="Arial" w:hAnsi="Arial" w:cs="Arial"/>
              </w:rPr>
              <w:t xml:space="preserve">Providers are </w:t>
            </w:r>
            <w:r w:rsidRPr="00451489">
              <w:rPr>
                <w:rFonts w:ascii="Arial" w:hAnsi="Arial" w:cs="Arial"/>
              </w:rPr>
              <w:t>expect</w:t>
            </w:r>
            <w:r>
              <w:rPr>
                <w:rFonts w:ascii="Arial" w:hAnsi="Arial" w:cs="Arial"/>
              </w:rPr>
              <w:t>ed</w:t>
            </w:r>
            <w:r w:rsidRPr="00451489">
              <w:rPr>
                <w:rFonts w:ascii="Arial" w:hAnsi="Arial" w:cs="Arial"/>
              </w:rPr>
              <w:t xml:space="preserve"> to respond to the needs of victims in line wit</w:t>
            </w:r>
            <w:r>
              <w:rPr>
                <w:rFonts w:ascii="Arial" w:hAnsi="Arial" w:cs="Arial"/>
              </w:rPr>
              <w:t xml:space="preserve">h demand or at peak times, this may require altering working hours. </w:t>
            </w:r>
          </w:p>
          <w:p w14:paraId="544BC84F" w14:textId="216B3D86" w:rsidR="00021357" w:rsidRDefault="00DD62DD" w:rsidP="00DD62DD">
            <w:pPr>
              <w:pStyle w:val="ListParagraph"/>
              <w:numPr>
                <w:ilvl w:val="0"/>
                <w:numId w:val="26"/>
              </w:numPr>
              <w:spacing w:line="360" w:lineRule="auto"/>
              <w:rPr>
                <w:rFonts w:ascii="Arial" w:hAnsi="Arial" w:cs="Arial"/>
              </w:rPr>
            </w:pPr>
            <w:r>
              <w:rPr>
                <w:rFonts w:ascii="Arial" w:hAnsi="Arial" w:cs="Arial"/>
              </w:rPr>
              <w:t xml:space="preserve">Work hours to be agreed with OPCC in line with staffing levels and grant awarded to provider(s). </w:t>
            </w:r>
          </w:p>
          <w:p w14:paraId="2A2414F9" w14:textId="77777777" w:rsidR="0045678C" w:rsidRPr="00DD62DD" w:rsidRDefault="0045678C" w:rsidP="0045678C">
            <w:pPr>
              <w:pStyle w:val="ListParagraph"/>
              <w:spacing w:line="360" w:lineRule="auto"/>
              <w:ind w:left="1080"/>
              <w:rPr>
                <w:rFonts w:ascii="Arial" w:hAnsi="Arial" w:cs="Arial"/>
              </w:rPr>
            </w:pPr>
          </w:p>
          <w:p w14:paraId="7B1DBEF0" w14:textId="0ACCFF88" w:rsidR="00A61617" w:rsidRDefault="00A61617" w:rsidP="00CC382E">
            <w:pPr>
              <w:pStyle w:val="ListParagraph"/>
              <w:numPr>
                <w:ilvl w:val="2"/>
                <w:numId w:val="2"/>
              </w:numPr>
              <w:spacing w:line="360" w:lineRule="auto"/>
              <w:rPr>
                <w:rFonts w:ascii="Arial" w:hAnsi="Arial" w:cs="Arial"/>
                <w:b/>
              </w:rPr>
            </w:pPr>
            <w:r w:rsidRPr="00CC382E">
              <w:rPr>
                <w:rFonts w:ascii="Arial" w:hAnsi="Arial" w:cs="Arial"/>
                <w:b/>
              </w:rPr>
              <w:t xml:space="preserve">Referral pathways </w:t>
            </w:r>
          </w:p>
          <w:p w14:paraId="4BDE5ABD" w14:textId="4185F56B" w:rsidR="0045678C" w:rsidRDefault="0045678C" w:rsidP="0045678C">
            <w:pPr>
              <w:pStyle w:val="ListParagraph"/>
              <w:numPr>
                <w:ilvl w:val="0"/>
                <w:numId w:val="26"/>
              </w:numPr>
              <w:spacing w:line="360" w:lineRule="auto"/>
              <w:rPr>
                <w:rFonts w:ascii="Arial" w:hAnsi="Arial" w:cs="Arial"/>
              </w:rPr>
            </w:pPr>
            <w:r w:rsidRPr="0045678C">
              <w:rPr>
                <w:rFonts w:ascii="Arial" w:hAnsi="Arial" w:cs="Arial"/>
              </w:rPr>
              <w:lastRenderedPageBreak/>
              <w:t xml:space="preserve">Victims who report to WMP and opt for specialist support will have their referrals shared with </w:t>
            </w:r>
            <w:r>
              <w:rPr>
                <w:rFonts w:ascii="Arial" w:hAnsi="Arial" w:cs="Arial"/>
              </w:rPr>
              <w:t xml:space="preserve">a </w:t>
            </w:r>
            <w:r w:rsidRPr="0045678C">
              <w:rPr>
                <w:rFonts w:ascii="Arial" w:hAnsi="Arial" w:cs="Arial"/>
              </w:rPr>
              <w:t xml:space="preserve">single provider responsible for initial contact, assessment and onward referral. </w:t>
            </w:r>
          </w:p>
          <w:p w14:paraId="4B24D4E0" w14:textId="70E659FD" w:rsidR="0045678C" w:rsidRDefault="0045678C" w:rsidP="0045678C">
            <w:pPr>
              <w:pStyle w:val="ListParagraph"/>
              <w:numPr>
                <w:ilvl w:val="0"/>
                <w:numId w:val="26"/>
              </w:numPr>
              <w:spacing w:line="360" w:lineRule="auto"/>
              <w:rPr>
                <w:rFonts w:ascii="Arial" w:hAnsi="Arial" w:cs="Arial"/>
              </w:rPr>
            </w:pPr>
            <w:r>
              <w:rPr>
                <w:rFonts w:ascii="Arial" w:hAnsi="Arial" w:cs="Arial"/>
              </w:rPr>
              <w:t>The OPCC and WMP will agree on a timeframe (referrals to the single provider stated sh</w:t>
            </w:r>
            <w:r w:rsidR="00F25457">
              <w:rPr>
                <w:rFonts w:ascii="Arial" w:hAnsi="Arial" w:cs="Arial"/>
              </w:rPr>
              <w:t>ould not take longer than 72 hours from</w:t>
            </w:r>
            <w:r>
              <w:rPr>
                <w:rFonts w:ascii="Arial" w:hAnsi="Arial" w:cs="Arial"/>
              </w:rPr>
              <w:t xml:space="preserve"> the time a crime is reported to WMP)</w:t>
            </w:r>
            <w:r w:rsidR="00F25457">
              <w:rPr>
                <w:rFonts w:ascii="Arial" w:hAnsi="Arial" w:cs="Arial"/>
              </w:rPr>
              <w:t xml:space="preserve">. </w:t>
            </w:r>
          </w:p>
          <w:p w14:paraId="2C4BDB5B" w14:textId="48B78B41" w:rsidR="0045678C" w:rsidRPr="0045678C" w:rsidRDefault="0045678C" w:rsidP="0045678C">
            <w:pPr>
              <w:pStyle w:val="ListParagraph"/>
              <w:numPr>
                <w:ilvl w:val="0"/>
                <w:numId w:val="26"/>
              </w:numPr>
              <w:spacing w:line="360" w:lineRule="auto"/>
              <w:rPr>
                <w:rFonts w:ascii="Arial" w:hAnsi="Arial" w:cs="Arial"/>
              </w:rPr>
            </w:pPr>
            <w:r>
              <w:rPr>
                <w:rFonts w:ascii="Arial" w:hAnsi="Arial" w:cs="Arial"/>
              </w:rPr>
              <w:t xml:space="preserve">Successful applicants will agree on a shared </w:t>
            </w:r>
            <w:r w:rsidR="003C0553">
              <w:rPr>
                <w:rFonts w:ascii="Arial" w:hAnsi="Arial" w:cs="Arial"/>
              </w:rPr>
              <w:t xml:space="preserve">(standard) </w:t>
            </w:r>
            <w:r>
              <w:rPr>
                <w:rFonts w:ascii="Arial" w:hAnsi="Arial" w:cs="Arial"/>
              </w:rPr>
              <w:t xml:space="preserve">needs assessment structure which is to be completed by the single provider, information gathered should capture sufficient details </w:t>
            </w:r>
            <w:r w:rsidRPr="0045678C">
              <w:rPr>
                <w:rFonts w:ascii="Arial" w:hAnsi="Arial" w:cs="Arial"/>
              </w:rPr>
              <w:t xml:space="preserve">to avoid victims having to repeat their experiences. </w:t>
            </w:r>
          </w:p>
          <w:p w14:paraId="48938877" w14:textId="77777777" w:rsidR="003C0553" w:rsidRDefault="0045678C" w:rsidP="003C0553">
            <w:pPr>
              <w:pStyle w:val="ListParagraph"/>
              <w:numPr>
                <w:ilvl w:val="0"/>
                <w:numId w:val="26"/>
              </w:numPr>
              <w:spacing w:line="360" w:lineRule="auto"/>
              <w:rPr>
                <w:rFonts w:ascii="Arial" w:hAnsi="Arial" w:cs="Arial"/>
              </w:rPr>
            </w:pPr>
            <w:r>
              <w:rPr>
                <w:rFonts w:ascii="Arial" w:hAnsi="Arial" w:cs="Arial"/>
              </w:rPr>
              <w:t xml:space="preserve">Specialist </w:t>
            </w:r>
            <w:r w:rsidR="003C0553">
              <w:rPr>
                <w:rFonts w:ascii="Arial" w:hAnsi="Arial" w:cs="Arial"/>
              </w:rPr>
              <w:t>services can utilise additional</w:t>
            </w:r>
            <w:r>
              <w:rPr>
                <w:rFonts w:ascii="Arial" w:hAnsi="Arial" w:cs="Arial"/>
              </w:rPr>
              <w:t xml:space="preserve"> </w:t>
            </w:r>
            <w:r w:rsidR="003C0553">
              <w:rPr>
                <w:rFonts w:ascii="Arial" w:hAnsi="Arial" w:cs="Arial"/>
              </w:rPr>
              <w:t>organisational tools to further capture information missing and in line with the specialist provision offered.</w:t>
            </w:r>
          </w:p>
          <w:p w14:paraId="7573C54B" w14:textId="7767DCD9" w:rsidR="0045678C" w:rsidRDefault="0045678C" w:rsidP="003C0553">
            <w:pPr>
              <w:spacing w:line="360" w:lineRule="auto"/>
              <w:rPr>
                <w:rFonts w:ascii="Arial" w:hAnsi="Arial" w:cs="Arial"/>
              </w:rPr>
            </w:pPr>
          </w:p>
          <w:p w14:paraId="66905AC7" w14:textId="2E88BC7C" w:rsidR="004A4EEB" w:rsidRDefault="004A4EEB" w:rsidP="003C0553">
            <w:pPr>
              <w:spacing w:line="360" w:lineRule="auto"/>
              <w:rPr>
                <w:rFonts w:ascii="Arial" w:hAnsi="Arial" w:cs="Arial"/>
              </w:rPr>
            </w:pPr>
          </w:p>
          <w:p w14:paraId="572FF178" w14:textId="5AC24820" w:rsidR="00C356FA" w:rsidRPr="004A4EEB" w:rsidRDefault="004A4EEB" w:rsidP="003C0553">
            <w:pPr>
              <w:spacing w:line="360" w:lineRule="auto"/>
              <w:rPr>
                <w:rFonts w:ascii="Arial" w:hAnsi="Arial" w:cs="Arial"/>
                <w:b/>
              </w:rPr>
            </w:pPr>
            <w:r>
              <w:rPr>
                <w:rFonts w:ascii="Arial" w:hAnsi="Arial" w:cs="Arial"/>
              </w:rPr>
              <w:t>*</w:t>
            </w:r>
            <w:r w:rsidRPr="004A4EEB">
              <w:rPr>
                <w:rFonts w:ascii="Arial" w:hAnsi="Arial" w:cs="Arial"/>
                <w:b/>
              </w:rPr>
              <w:t>The chart below i</w:t>
            </w:r>
            <w:r>
              <w:rPr>
                <w:rFonts w:ascii="Arial" w:hAnsi="Arial" w:cs="Arial"/>
                <w:b/>
              </w:rPr>
              <w:t>llustrates the referral pathway into support services</w:t>
            </w:r>
          </w:p>
          <w:p w14:paraId="0626F322" w14:textId="7EBB33D3" w:rsidR="00A61617" w:rsidRDefault="00A61617" w:rsidP="00CC382E">
            <w:pPr>
              <w:spacing w:line="360" w:lineRule="auto"/>
              <w:rPr>
                <w:rFonts w:ascii="Arial" w:hAnsi="Arial" w:cs="Arial"/>
                <w:b/>
              </w:rPr>
            </w:pPr>
            <w:r w:rsidRPr="00CC382E">
              <w:rPr>
                <w:rFonts w:ascii="Arial" w:hAnsi="Arial" w:cs="Arial"/>
                <w:noProof/>
                <w:lang w:eastAsia="en-GB"/>
              </w:rPr>
              <w:drawing>
                <wp:inline distT="0" distB="0" distL="0" distR="0" wp14:anchorId="616B7FDE" wp14:editId="79695D16">
                  <wp:extent cx="5537200" cy="3600450"/>
                  <wp:effectExtent l="38100" t="0" r="825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CC382E">
              <w:rPr>
                <w:rFonts w:ascii="Arial" w:hAnsi="Arial" w:cs="Arial"/>
                <w:b/>
              </w:rPr>
              <w:t>Service input</w:t>
            </w:r>
          </w:p>
          <w:p w14:paraId="6EC03117" w14:textId="77777777" w:rsidR="00D44DE7" w:rsidRPr="00D44DE7" w:rsidRDefault="00D44DE7" w:rsidP="00CC382E">
            <w:pPr>
              <w:spacing w:line="360" w:lineRule="auto"/>
              <w:rPr>
                <w:rFonts w:ascii="Arial" w:hAnsi="Arial" w:cs="Arial"/>
              </w:rPr>
            </w:pPr>
          </w:p>
          <w:p w14:paraId="41E65A86" w14:textId="4FA2251B" w:rsidR="00504877" w:rsidRDefault="00D44DE7" w:rsidP="00504877">
            <w:pPr>
              <w:spacing w:line="360" w:lineRule="auto"/>
              <w:rPr>
                <w:rFonts w:ascii="Arial" w:hAnsi="Arial" w:cs="Arial"/>
              </w:rPr>
            </w:pPr>
            <w:r>
              <w:rPr>
                <w:rFonts w:ascii="Arial" w:hAnsi="Arial" w:cs="Arial"/>
              </w:rPr>
              <w:t>The service will</w:t>
            </w:r>
            <w:r w:rsidR="00A61617" w:rsidRPr="00CC382E">
              <w:rPr>
                <w:rFonts w:ascii="Arial" w:hAnsi="Arial" w:cs="Arial"/>
              </w:rPr>
              <w:t>:</w:t>
            </w:r>
          </w:p>
          <w:p w14:paraId="6EE884DB" w14:textId="74B79544" w:rsidR="00D44DE7" w:rsidRPr="00504877" w:rsidRDefault="00D44DE7" w:rsidP="00504877">
            <w:pPr>
              <w:pStyle w:val="ListParagraph"/>
              <w:numPr>
                <w:ilvl w:val="1"/>
                <w:numId w:val="29"/>
              </w:numPr>
              <w:spacing w:line="360" w:lineRule="auto"/>
              <w:rPr>
                <w:rFonts w:ascii="Arial" w:hAnsi="Arial" w:cs="Arial"/>
              </w:rPr>
            </w:pPr>
            <w:r w:rsidRPr="00504877">
              <w:rPr>
                <w:rFonts w:ascii="Arial" w:hAnsi="Arial" w:cs="Arial"/>
              </w:rPr>
              <w:t>provide emotional and practical support</w:t>
            </w:r>
          </w:p>
          <w:p w14:paraId="693DC16A" w14:textId="279F112B" w:rsidR="00D44DE7" w:rsidRPr="00504877" w:rsidRDefault="00D44DE7" w:rsidP="00504877">
            <w:pPr>
              <w:pStyle w:val="ListParagraph"/>
              <w:numPr>
                <w:ilvl w:val="1"/>
                <w:numId w:val="29"/>
              </w:numPr>
              <w:spacing w:line="360" w:lineRule="auto"/>
              <w:rPr>
                <w:rFonts w:ascii="Arial" w:hAnsi="Arial" w:cs="Arial"/>
              </w:rPr>
            </w:pPr>
            <w:r w:rsidRPr="00504877">
              <w:rPr>
                <w:rFonts w:ascii="Arial" w:hAnsi="Arial" w:cs="Arial"/>
              </w:rPr>
              <w:t>help victims to cope and recover from the effects of the crime</w:t>
            </w:r>
          </w:p>
          <w:p w14:paraId="0131E317" w14:textId="273CD0BE" w:rsidR="00D44DE7" w:rsidRPr="00504877" w:rsidRDefault="00D44DE7" w:rsidP="00504877">
            <w:pPr>
              <w:pStyle w:val="ListParagraph"/>
              <w:numPr>
                <w:ilvl w:val="1"/>
                <w:numId w:val="29"/>
              </w:numPr>
              <w:spacing w:line="360" w:lineRule="auto"/>
              <w:rPr>
                <w:rFonts w:ascii="Arial" w:hAnsi="Arial" w:cs="Arial"/>
              </w:rPr>
            </w:pPr>
            <w:r w:rsidRPr="00504877">
              <w:rPr>
                <w:rFonts w:ascii="Arial" w:hAnsi="Arial" w:cs="Arial"/>
              </w:rPr>
              <w:lastRenderedPageBreak/>
              <w:t xml:space="preserve">help them to navigate their journey to a positive outcome within or outside of the criminal justice process as appropriate to the victim; and </w:t>
            </w:r>
          </w:p>
          <w:p w14:paraId="71E1AC30" w14:textId="2BC60357" w:rsidR="00D44DE7" w:rsidRPr="00504877" w:rsidRDefault="00D44DE7" w:rsidP="00504877">
            <w:pPr>
              <w:pStyle w:val="ListParagraph"/>
              <w:numPr>
                <w:ilvl w:val="1"/>
                <w:numId w:val="29"/>
              </w:numPr>
              <w:spacing w:line="360" w:lineRule="auto"/>
              <w:rPr>
                <w:rFonts w:ascii="Arial" w:hAnsi="Arial" w:cs="Arial"/>
              </w:rPr>
            </w:pPr>
            <w:r w:rsidRPr="00504877">
              <w:rPr>
                <w:rFonts w:ascii="Arial" w:hAnsi="Arial" w:cs="Arial"/>
              </w:rPr>
              <w:t>establish what impact such a scheme might have upon the levels of reported hate crime and of harm and repeat victimisation.</w:t>
            </w:r>
          </w:p>
          <w:p w14:paraId="6E0ECF9D" w14:textId="77777777" w:rsidR="00504877" w:rsidRPr="00D44DE7" w:rsidRDefault="00504877" w:rsidP="00D44DE7">
            <w:pPr>
              <w:spacing w:line="360" w:lineRule="auto"/>
              <w:rPr>
                <w:rFonts w:ascii="Arial" w:hAnsi="Arial" w:cs="Arial"/>
              </w:rPr>
            </w:pPr>
          </w:p>
          <w:p w14:paraId="7997AE89" w14:textId="77777777" w:rsidR="00D44DE7" w:rsidRPr="00D44DE7" w:rsidRDefault="00D44DE7" w:rsidP="00D44DE7">
            <w:pPr>
              <w:spacing w:line="360" w:lineRule="auto"/>
              <w:rPr>
                <w:rFonts w:ascii="Arial" w:hAnsi="Arial" w:cs="Arial"/>
              </w:rPr>
            </w:pPr>
          </w:p>
          <w:p w14:paraId="0D887FB1" w14:textId="77777777" w:rsidR="00504877" w:rsidRDefault="00D44DE7" w:rsidP="00D44DE7">
            <w:pPr>
              <w:spacing w:line="360" w:lineRule="auto"/>
              <w:rPr>
                <w:rFonts w:ascii="Arial" w:hAnsi="Arial" w:cs="Arial"/>
              </w:rPr>
            </w:pPr>
            <w:r w:rsidRPr="00D44DE7">
              <w:rPr>
                <w:rFonts w:ascii="Arial" w:hAnsi="Arial" w:cs="Arial"/>
              </w:rPr>
              <w:t xml:space="preserve">The service </w:t>
            </w:r>
            <w:r w:rsidR="00504877">
              <w:rPr>
                <w:rFonts w:ascii="Arial" w:hAnsi="Arial" w:cs="Arial"/>
              </w:rPr>
              <w:t>will be delivered in line with:</w:t>
            </w:r>
          </w:p>
          <w:p w14:paraId="3784795C" w14:textId="213D4C7B" w:rsidR="00D44DE7" w:rsidRDefault="00D44DE7" w:rsidP="00504877">
            <w:pPr>
              <w:pStyle w:val="ListParagraph"/>
              <w:numPr>
                <w:ilvl w:val="0"/>
                <w:numId w:val="31"/>
              </w:numPr>
              <w:spacing w:line="360" w:lineRule="auto"/>
              <w:rPr>
                <w:rFonts w:ascii="Arial" w:hAnsi="Arial" w:cs="Arial"/>
              </w:rPr>
            </w:pPr>
            <w:r w:rsidRPr="00504877">
              <w:rPr>
                <w:rFonts w:ascii="Arial" w:hAnsi="Arial" w:cs="Arial"/>
              </w:rPr>
              <w:t>emerging evidence for best practice</w:t>
            </w:r>
          </w:p>
          <w:p w14:paraId="2099CB4B" w14:textId="056E7495" w:rsidR="00D44DE7" w:rsidRPr="00504877" w:rsidRDefault="00504877" w:rsidP="00D44DE7">
            <w:pPr>
              <w:pStyle w:val="ListParagraph"/>
              <w:numPr>
                <w:ilvl w:val="0"/>
                <w:numId w:val="31"/>
              </w:numPr>
              <w:spacing w:line="360" w:lineRule="auto"/>
              <w:rPr>
                <w:rFonts w:ascii="Arial" w:hAnsi="Arial" w:cs="Arial"/>
              </w:rPr>
            </w:pPr>
            <w:r>
              <w:rPr>
                <w:rFonts w:ascii="Arial" w:hAnsi="Arial" w:cs="Arial"/>
              </w:rPr>
              <w:t>r</w:t>
            </w:r>
            <w:r w:rsidR="00D44DE7" w:rsidRPr="00504877">
              <w:rPr>
                <w:rFonts w:ascii="Arial" w:hAnsi="Arial" w:cs="Arial"/>
              </w:rPr>
              <w:t>elevant national and international guidelines</w:t>
            </w:r>
          </w:p>
          <w:p w14:paraId="79424F5B" w14:textId="77777777" w:rsidR="00A61617" w:rsidRPr="00CC382E" w:rsidRDefault="00A61617" w:rsidP="00CC382E">
            <w:pPr>
              <w:spacing w:line="360" w:lineRule="auto"/>
              <w:rPr>
                <w:rFonts w:ascii="Arial" w:hAnsi="Arial" w:cs="Arial"/>
              </w:rPr>
            </w:pPr>
          </w:p>
          <w:p w14:paraId="745235EE" w14:textId="77777777" w:rsidR="00504877" w:rsidRDefault="00A61617" w:rsidP="00CC382E">
            <w:pPr>
              <w:spacing w:line="360" w:lineRule="auto"/>
              <w:rPr>
                <w:rFonts w:ascii="Arial" w:hAnsi="Arial" w:cs="Arial"/>
                <w:b/>
              </w:rPr>
            </w:pPr>
            <w:r w:rsidRPr="00CC382E">
              <w:rPr>
                <w:rFonts w:ascii="Arial" w:hAnsi="Arial" w:cs="Arial"/>
                <w:b/>
              </w:rPr>
              <w:t xml:space="preserve">Safeguarding </w:t>
            </w:r>
          </w:p>
          <w:p w14:paraId="7D40D8A9" w14:textId="77777777" w:rsidR="00504877" w:rsidRDefault="00504877" w:rsidP="00504877">
            <w:pPr>
              <w:pStyle w:val="ListParagraph"/>
              <w:numPr>
                <w:ilvl w:val="0"/>
                <w:numId w:val="30"/>
              </w:numPr>
              <w:spacing w:line="360" w:lineRule="auto"/>
              <w:rPr>
                <w:rFonts w:ascii="Arial" w:hAnsi="Arial" w:cs="Arial"/>
              </w:rPr>
            </w:pPr>
            <w:r w:rsidRPr="00504877">
              <w:rPr>
                <w:rFonts w:ascii="Arial" w:hAnsi="Arial" w:cs="Arial"/>
              </w:rPr>
              <w:t xml:space="preserve">Providers are obliged to ensure safeguarding procedures for adults will apply in cases where an adult </w:t>
            </w:r>
            <w:r>
              <w:rPr>
                <w:rFonts w:ascii="Arial" w:hAnsi="Arial" w:cs="Arial"/>
              </w:rPr>
              <w:t>has been assessed to have</w:t>
            </w:r>
            <w:r w:rsidRPr="00504877">
              <w:rPr>
                <w:rFonts w:ascii="Arial" w:hAnsi="Arial" w:cs="Arial"/>
              </w:rPr>
              <w:t xml:space="preserve"> care and support needs that prevent them from safeguarding themselves</w:t>
            </w:r>
            <w:r>
              <w:rPr>
                <w:rFonts w:ascii="Arial" w:hAnsi="Arial" w:cs="Arial"/>
              </w:rPr>
              <w:t>.</w:t>
            </w:r>
          </w:p>
          <w:p w14:paraId="6797977D" w14:textId="09E79751" w:rsidR="00504877" w:rsidRPr="00504877" w:rsidRDefault="00504877" w:rsidP="00504877">
            <w:pPr>
              <w:pStyle w:val="ListParagraph"/>
              <w:numPr>
                <w:ilvl w:val="0"/>
                <w:numId w:val="30"/>
              </w:numPr>
              <w:spacing w:line="360" w:lineRule="auto"/>
              <w:rPr>
                <w:rFonts w:ascii="Arial" w:hAnsi="Arial" w:cs="Arial"/>
              </w:rPr>
            </w:pPr>
            <w:r>
              <w:rPr>
                <w:rFonts w:ascii="Arial" w:hAnsi="Arial" w:cs="Arial"/>
              </w:rPr>
              <w:t xml:space="preserve">Safeguarding procedures should also be applied if a victim is experiencing any crime or abuse </w:t>
            </w:r>
            <w:r w:rsidR="00954542">
              <w:rPr>
                <w:rFonts w:ascii="Arial" w:hAnsi="Arial" w:cs="Arial"/>
              </w:rPr>
              <w:t>that has a detrimental impact to</w:t>
            </w:r>
            <w:r>
              <w:rPr>
                <w:rFonts w:ascii="Arial" w:hAnsi="Arial" w:cs="Arial"/>
              </w:rPr>
              <w:t xml:space="preserve"> their wellbeing. </w:t>
            </w:r>
          </w:p>
          <w:p w14:paraId="000334FE" w14:textId="77777777" w:rsidR="00A61617" w:rsidRPr="00CC382E" w:rsidRDefault="00A61617" w:rsidP="00CC382E">
            <w:pPr>
              <w:spacing w:line="360" w:lineRule="auto"/>
              <w:rPr>
                <w:rFonts w:ascii="Arial" w:hAnsi="Arial" w:cs="Arial"/>
                <w:b/>
              </w:rPr>
            </w:pPr>
          </w:p>
        </w:tc>
      </w:tr>
      <w:tr w:rsidR="00BE24D9" w:rsidRPr="00CC382E" w14:paraId="7B072833" w14:textId="77777777" w:rsidTr="00021357">
        <w:tc>
          <w:tcPr>
            <w:tcW w:w="9016" w:type="dxa"/>
            <w:shd w:val="clear" w:color="auto" w:fill="D9E2F3" w:themeFill="accent5" w:themeFillTint="33"/>
          </w:tcPr>
          <w:p w14:paraId="2EAB627F" w14:textId="77777777" w:rsidR="00BE24D9" w:rsidRPr="00CC382E" w:rsidRDefault="00BE24D9" w:rsidP="00CC382E">
            <w:pPr>
              <w:pStyle w:val="ListParagraph"/>
              <w:numPr>
                <w:ilvl w:val="0"/>
                <w:numId w:val="2"/>
              </w:numPr>
              <w:spacing w:line="360" w:lineRule="auto"/>
              <w:rPr>
                <w:rFonts w:ascii="Arial" w:hAnsi="Arial" w:cs="Arial"/>
                <w:b/>
              </w:rPr>
            </w:pPr>
            <w:r w:rsidRPr="00CC382E">
              <w:rPr>
                <w:rFonts w:ascii="Arial" w:hAnsi="Arial" w:cs="Arial"/>
                <w:b/>
              </w:rPr>
              <w:lastRenderedPageBreak/>
              <w:t xml:space="preserve">Outcomes </w:t>
            </w:r>
          </w:p>
          <w:p w14:paraId="7FEE7B8F" w14:textId="77777777" w:rsidR="00A61617" w:rsidRPr="00CC382E" w:rsidRDefault="00A61617" w:rsidP="00CC382E">
            <w:pPr>
              <w:pStyle w:val="ListParagraph"/>
              <w:spacing w:line="360" w:lineRule="auto"/>
              <w:rPr>
                <w:rFonts w:ascii="Arial" w:hAnsi="Arial" w:cs="Arial"/>
                <w:b/>
              </w:rPr>
            </w:pPr>
          </w:p>
        </w:tc>
      </w:tr>
      <w:tr w:rsidR="00A46B22" w:rsidRPr="00CC382E" w14:paraId="35AC0A22" w14:textId="77777777" w:rsidTr="005A63E4">
        <w:tc>
          <w:tcPr>
            <w:tcW w:w="9016" w:type="dxa"/>
          </w:tcPr>
          <w:p w14:paraId="5C9E2FE0" w14:textId="77777777" w:rsidR="00B505C9" w:rsidRPr="00CC382E" w:rsidRDefault="00B505C9" w:rsidP="00CC382E">
            <w:pPr>
              <w:spacing w:line="360" w:lineRule="auto"/>
              <w:rPr>
                <w:rFonts w:ascii="Arial" w:hAnsi="Arial" w:cs="Arial"/>
                <w:b/>
              </w:rPr>
            </w:pPr>
          </w:p>
          <w:p w14:paraId="3B9F8E40" w14:textId="77777777" w:rsidR="00B505C9" w:rsidRPr="00CC382E" w:rsidRDefault="002565CC" w:rsidP="00CC382E">
            <w:pPr>
              <w:spacing w:line="360" w:lineRule="auto"/>
              <w:rPr>
                <w:rFonts w:ascii="Arial" w:hAnsi="Arial" w:cs="Arial"/>
                <w:b/>
              </w:rPr>
            </w:pPr>
            <w:r w:rsidRPr="00CC382E">
              <w:rPr>
                <w:rFonts w:ascii="Arial" w:hAnsi="Arial" w:cs="Arial"/>
                <w:b/>
              </w:rPr>
              <w:t>Ministry of Justice O</w:t>
            </w:r>
            <w:r w:rsidR="00B505C9" w:rsidRPr="00CC382E">
              <w:rPr>
                <w:rFonts w:ascii="Arial" w:hAnsi="Arial" w:cs="Arial"/>
                <w:b/>
              </w:rPr>
              <w:t xml:space="preserve">utcomes </w:t>
            </w:r>
          </w:p>
          <w:p w14:paraId="7320F9F9" w14:textId="77777777" w:rsidR="00B505C9" w:rsidRPr="00CC382E" w:rsidRDefault="00B505C9" w:rsidP="00CC382E">
            <w:pPr>
              <w:spacing w:line="360" w:lineRule="auto"/>
              <w:rPr>
                <w:rFonts w:ascii="Arial" w:hAnsi="Arial" w:cs="Arial"/>
                <w:b/>
              </w:rPr>
            </w:pPr>
          </w:p>
          <w:p w14:paraId="5322C5A9" w14:textId="77777777" w:rsidR="00B505C9" w:rsidRPr="00CC382E" w:rsidRDefault="00B505C9" w:rsidP="00CC382E">
            <w:pPr>
              <w:pStyle w:val="ListParagraph"/>
              <w:numPr>
                <w:ilvl w:val="1"/>
                <w:numId w:val="2"/>
              </w:numPr>
              <w:spacing w:line="360" w:lineRule="auto"/>
              <w:rPr>
                <w:rFonts w:ascii="Arial" w:hAnsi="Arial" w:cs="Arial"/>
                <w:b/>
              </w:rPr>
            </w:pPr>
            <w:r w:rsidRPr="00CC382E">
              <w:rPr>
                <w:rFonts w:ascii="Arial" w:hAnsi="Arial" w:cs="Arial"/>
                <w:b/>
              </w:rPr>
              <w:t>MOJ outcomes framework</w:t>
            </w:r>
          </w:p>
          <w:p w14:paraId="7805B623" w14:textId="77777777" w:rsidR="00B505C9" w:rsidRPr="00CC382E" w:rsidRDefault="00B505C9" w:rsidP="00CC382E">
            <w:pPr>
              <w:spacing w:line="360" w:lineRule="auto"/>
              <w:ind w:left="360"/>
              <w:rPr>
                <w:rFonts w:ascii="Arial" w:hAnsi="Arial" w:cs="Arial"/>
                <w:b/>
              </w:rPr>
            </w:pPr>
            <w:r w:rsidRPr="00CC382E">
              <w:rPr>
                <w:rFonts w:ascii="Arial" w:hAnsi="Arial" w:cs="Arial"/>
                <w:b/>
              </w:rPr>
              <w:t>3.1.1 Outcome detail</w:t>
            </w:r>
          </w:p>
          <w:p w14:paraId="0E296370" w14:textId="77777777" w:rsidR="00B505C9" w:rsidRPr="00CC382E" w:rsidRDefault="00B505C9" w:rsidP="00CC382E">
            <w:pPr>
              <w:spacing w:line="360" w:lineRule="auto"/>
              <w:rPr>
                <w:rFonts w:ascii="Arial" w:hAnsi="Arial" w:cs="Arial"/>
                <w:b/>
              </w:rPr>
            </w:pPr>
          </w:p>
          <w:tbl>
            <w:tblPr>
              <w:tblStyle w:val="TableGrid"/>
              <w:tblW w:w="0" w:type="auto"/>
              <w:tblInd w:w="591" w:type="dxa"/>
              <w:tblLook w:val="04A0" w:firstRow="1" w:lastRow="0" w:firstColumn="1" w:lastColumn="0" w:noHBand="0" w:noVBand="1"/>
            </w:tblPr>
            <w:tblGrid>
              <w:gridCol w:w="875"/>
              <w:gridCol w:w="6854"/>
            </w:tblGrid>
            <w:tr w:rsidR="00A46B22" w:rsidRPr="00CC382E" w14:paraId="02C0B99E" w14:textId="77777777" w:rsidTr="00196A13">
              <w:trPr>
                <w:trHeight w:val="679"/>
              </w:trPr>
              <w:tc>
                <w:tcPr>
                  <w:tcW w:w="875" w:type="dxa"/>
                </w:tcPr>
                <w:p w14:paraId="64D889F1" w14:textId="77777777" w:rsidR="00A46B22" w:rsidRPr="00CC382E" w:rsidRDefault="00A46B22" w:rsidP="00CC382E">
                  <w:pPr>
                    <w:spacing w:line="360" w:lineRule="auto"/>
                    <w:rPr>
                      <w:rFonts w:ascii="Arial" w:hAnsi="Arial" w:cs="Arial"/>
                      <w:b/>
                      <w:i/>
                    </w:rPr>
                  </w:pPr>
                  <w:r w:rsidRPr="00CC382E">
                    <w:rPr>
                      <w:rFonts w:ascii="Arial" w:hAnsi="Arial" w:cs="Arial"/>
                      <w:b/>
                      <w:i/>
                    </w:rPr>
                    <w:t>1</w:t>
                  </w:r>
                </w:p>
              </w:tc>
              <w:tc>
                <w:tcPr>
                  <w:tcW w:w="6854" w:type="dxa"/>
                </w:tcPr>
                <w:p w14:paraId="6230BC9D" w14:textId="77777777" w:rsidR="00A46B22" w:rsidRPr="00CC382E" w:rsidRDefault="00A46B22" w:rsidP="00CC382E">
                  <w:pPr>
                    <w:spacing w:line="360" w:lineRule="auto"/>
                    <w:rPr>
                      <w:rFonts w:ascii="Arial" w:hAnsi="Arial" w:cs="Arial"/>
                      <w:i/>
                    </w:rPr>
                  </w:pPr>
                  <w:r w:rsidRPr="00CC382E">
                    <w:rPr>
                      <w:rFonts w:ascii="Arial" w:hAnsi="Arial" w:cs="Arial"/>
                      <w:i/>
                    </w:rPr>
                    <w:t>Boost confidence and increase the reporting of hate crime</w:t>
                  </w:r>
                </w:p>
              </w:tc>
            </w:tr>
            <w:tr w:rsidR="00A46B22" w:rsidRPr="00CC382E" w14:paraId="5B710E99" w14:textId="77777777" w:rsidTr="00F45637">
              <w:trPr>
                <w:trHeight w:val="685"/>
              </w:trPr>
              <w:tc>
                <w:tcPr>
                  <w:tcW w:w="875" w:type="dxa"/>
                </w:tcPr>
                <w:p w14:paraId="369D8910" w14:textId="77777777" w:rsidR="00A46B22" w:rsidRPr="00CC382E" w:rsidRDefault="00A46B22" w:rsidP="00CC382E">
                  <w:pPr>
                    <w:spacing w:line="360" w:lineRule="auto"/>
                    <w:rPr>
                      <w:rFonts w:ascii="Arial" w:hAnsi="Arial" w:cs="Arial"/>
                      <w:b/>
                      <w:i/>
                    </w:rPr>
                  </w:pPr>
                  <w:r w:rsidRPr="00CC382E">
                    <w:rPr>
                      <w:rFonts w:ascii="Arial" w:hAnsi="Arial" w:cs="Arial"/>
                      <w:b/>
                      <w:i/>
                    </w:rPr>
                    <w:t>2</w:t>
                  </w:r>
                </w:p>
              </w:tc>
              <w:tc>
                <w:tcPr>
                  <w:tcW w:w="6854" w:type="dxa"/>
                </w:tcPr>
                <w:p w14:paraId="549FFA2A" w14:textId="77777777" w:rsidR="00A46B22" w:rsidRPr="00CC382E" w:rsidRDefault="00A46B22" w:rsidP="00CC382E">
                  <w:pPr>
                    <w:spacing w:line="360" w:lineRule="auto"/>
                    <w:rPr>
                      <w:rFonts w:ascii="Arial" w:hAnsi="Arial" w:cs="Arial"/>
                      <w:i/>
                    </w:rPr>
                  </w:pPr>
                  <w:r w:rsidRPr="00CC382E">
                    <w:rPr>
                      <w:rFonts w:ascii="Arial" w:hAnsi="Arial" w:cs="Arial"/>
                      <w:i/>
                    </w:rPr>
                    <w:t>Prevent hate crime and reduce repeat victimisation</w:t>
                  </w:r>
                </w:p>
                <w:p w14:paraId="184CF573" w14:textId="77777777" w:rsidR="00A46B22" w:rsidRPr="00CC382E" w:rsidRDefault="00A46B22" w:rsidP="00CC382E">
                  <w:pPr>
                    <w:spacing w:line="360" w:lineRule="auto"/>
                    <w:rPr>
                      <w:rFonts w:ascii="Arial" w:hAnsi="Arial" w:cs="Arial"/>
                      <w:i/>
                    </w:rPr>
                  </w:pPr>
                </w:p>
              </w:tc>
            </w:tr>
            <w:tr w:rsidR="006A6E27" w:rsidRPr="00CC382E" w14:paraId="246296FE" w14:textId="77777777" w:rsidTr="00F45637">
              <w:trPr>
                <w:trHeight w:val="735"/>
              </w:trPr>
              <w:tc>
                <w:tcPr>
                  <w:tcW w:w="875" w:type="dxa"/>
                </w:tcPr>
                <w:p w14:paraId="1B49EAE9" w14:textId="77777777" w:rsidR="006A6E27" w:rsidRPr="00CC382E" w:rsidRDefault="006A6E27" w:rsidP="00CC382E">
                  <w:pPr>
                    <w:spacing w:line="360" w:lineRule="auto"/>
                    <w:rPr>
                      <w:rFonts w:ascii="Arial" w:hAnsi="Arial" w:cs="Arial"/>
                      <w:b/>
                      <w:i/>
                    </w:rPr>
                  </w:pPr>
                  <w:r w:rsidRPr="00CC382E">
                    <w:rPr>
                      <w:rFonts w:ascii="Arial" w:hAnsi="Arial" w:cs="Arial"/>
                      <w:b/>
                      <w:i/>
                    </w:rPr>
                    <w:t>3</w:t>
                  </w:r>
                </w:p>
              </w:tc>
              <w:tc>
                <w:tcPr>
                  <w:tcW w:w="6854" w:type="dxa"/>
                </w:tcPr>
                <w:p w14:paraId="7DC5B2A0" w14:textId="77777777" w:rsidR="006A6E27" w:rsidRPr="00CC382E" w:rsidRDefault="006A6E27" w:rsidP="00CC382E">
                  <w:pPr>
                    <w:spacing w:line="360" w:lineRule="auto"/>
                    <w:rPr>
                      <w:rFonts w:ascii="Arial" w:hAnsi="Arial" w:cs="Arial"/>
                      <w:i/>
                    </w:rPr>
                  </w:pPr>
                  <w:r w:rsidRPr="00CC382E">
                    <w:rPr>
                      <w:rFonts w:ascii="Arial" w:hAnsi="Arial" w:cs="Arial"/>
                      <w:i/>
                    </w:rPr>
                    <w:t>Boost confidence and increase the reporting of hate crime</w:t>
                  </w:r>
                </w:p>
              </w:tc>
            </w:tr>
            <w:tr w:rsidR="00A46B22" w:rsidRPr="00CC382E" w14:paraId="20EEB70B" w14:textId="77777777" w:rsidTr="00F45637">
              <w:trPr>
                <w:trHeight w:val="705"/>
              </w:trPr>
              <w:tc>
                <w:tcPr>
                  <w:tcW w:w="875" w:type="dxa"/>
                </w:tcPr>
                <w:p w14:paraId="75475348" w14:textId="77777777" w:rsidR="00A46B22" w:rsidRPr="00CC382E" w:rsidRDefault="006A6E27" w:rsidP="00CC382E">
                  <w:pPr>
                    <w:spacing w:line="360" w:lineRule="auto"/>
                    <w:rPr>
                      <w:rFonts w:ascii="Arial" w:hAnsi="Arial" w:cs="Arial"/>
                      <w:b/>
                      <w:i/>
                    </w:rPr>
                  </w:pPr>
                  <w:r w:rsidRPr="00CC382E">
                    <w:rPr>
                      <w:rFonts w:ascii="Arial" w:hAnsi="Arial" w:cs="Arial"/>
                      <w:b/>
                      <w:i/>
                    </w:rPr>
                    <w:t>4</w:t>
                  </w:r>
                </w:p>
              </w:tc>
              <w:tc>
                <w:tcPr>
                  <w:tcW w:w="6854" w:type="dxa"/>
                </w:tcPr>
                <w:p w14:paraId="4C52D629" w14:textId="77777777" w:rsidR="00A46B22" w:rsidRPr="00CC382E" w:rsidRDefault="00A46B22" w:rsidP="00CC382E">
                  <w:pPr>
                    <w:spacing w:line="360" w:lineRule="auto"/>
                    <w:rPr>
                      <w:rFonts w:ascii="Arial" w:hAnsi="Arial" w:cs="Arial"/>
                      <w:i/>
                    </w:rPr>
                  </w:pPr>
                  <w:r w:rsidRPr="00CC382E">
                    <w:rPr>
                      <w:rFonts w:ascii="Arial" w:hAnsi="Arial" w:cs="Arial"/>
                      <w:i/>
                    </w:rPr>
                    <w:t>Ensure swift and sure justice for hate crime victims</w:t>
                  </w:r>
                </w:p>
              </w:tc>
            </w:tr>
            <w:tr w:rsidR="006A6E27" w:rsidRPr="00CC382E" w14:paraId="6295FBDC" w14:textId="77777777" w:rsidTr="00F45637">
              <w:trPr>
                <w:trHeight w:val="671"/>
              </w:trPr>
              <w:tc>
                <w:tcPr>
                  <w:tcW w:w="875" w:type="dxa"/>
                </w:tcPr>
                <w:p w14:paraId="00F0D3CD" w14:textId="77777777" w:rsidR="006A6E27" w:rsidRPr="00CC382E" w:rsidRDefault="006A6E27" w:rsidP="00CC382E">
                  <w:pPr>
                    <w:spacing w:line="360" w:lineRule="auto"/>
                    <w:rPr>
                      <w:rFonts w:ascii="Arial" w:hAnsi="Arial" w:cs="Arial"/>
                      <w:b/>
                      <w:i/>
                    </w:rPr>
                  </w:pPr>
                  <w:r w:rsidRPr="00CC382E">
                    <w:rPr>
                      <w:rFonts w:ascii="Arial" w:hAnsi="Arial" w:cs="Arial"/>
                      <w:b/>
                      <w:i/>
                    </w:rPr>
                    <w:t>5</w:t>
                  </w:r>
                </w:p>
              </w:tc>
              <w:tc>
                <w:tcPr>
                  <w:tcW w:w="6854" w:type="dxa"/>
                </w:tcPr>
                <w:p w14:paraId="31FA18CB" w14:textId="77777777" w:rsidR="006A6E27" w:rsidRPr="00CC382E" w:rsidRDefault="006A6E27" w:rsidP="00CC382E">
                  <w:pPr>
                    <w:spacing w:line="360" w:lineRule="auto"/>
                    <w:rPr>
                      <w:rFonts w:ascii="Arial" w:hAnsi="Arial" w:cs="Arial"/>
                      <w:i/>
                    </w:rPr>
                  </w:pPr>
                  <w:r w:rsidRPr="00CC382E">
                    <w:rPr>
                      <w:rFonts w:ascii="Arial" w:hAnsi="Arial" w:cs="Arial"/>
                      <w:i/>
                    </w:rPr>
                    <w:t>Prevent hate crime and reduce repeat victimisation</w:t>
                  </w:r>
                </w:p>
              </w:tc>
            </w:tr>
            <w:tr w:rsidR="006A6E27" w:rsidRPr="00CC382E" w14:paraId="4F391905" w14:textId="77777777" w:rsidTr="00F45637">
              <w:trPr>
                <w:trHeight w:val="705"/>
              </w:trPr>
              <w:tc>
                <w:tcPr>
                  <w:tcW w:w="875" w:type="dxa"/>
                </w:tcPr>
                <w:p w14:paraId="2EEC23A4" w14:textId="77777777" w:rsidR="006A6E27" w:rsidRPr="00CC382E" w:rsidRDefault="006A6E27" w:rsidP="00CC382E">
                  <w:pPr>
                    <w:spacing w:line="360" w:lineRule="auto"/>
                    <w:rPr>
                      <w:rFonts w:ascii="Arial" w:hAnsi="Arial" w:cs="Arial"/>
                      <w:b/>
                      <w:i/>
                    </w:rPr>
                  </w:pPr>
                  <w:r w:rsidRPr="00CC382E">
                    <w:rPr>
                      <w:rFonts w:ascii="Arial" w:hAnsi="Arial" w:cs="Arial"/>
                      <w:b/>
                      <w:i/>
                    </w:rPr>
                    <w:t>6</w:t>
                  </w:r>
                </w:p>
              </w:tc>
              <w:tc>
                <w:tcPr>
                  <w:tcW w:w="6854" w:type="dxa"/>
                </w:tcPr>
                <w:p w14:paraId="34201E59" w14:textId="77777777" w:rsidR="006A6E27" w:rsidRPr="00CC382E" w:rsidRDefault="006A6E27" w:rsidP="00CC382E">
                  <w:pPr>
                    <w:spacing w:line="360" w:lineRule="auto"/>
                    <w:rPr>
                      <w:rFonts w:ascii="Arial" w:hAnsi="Arial" w:cs="Arial"/>
                      <w:i/>
                    </w:rPr>
                  </w:pPr>
                  <w:r w:rsidRPr="00CC382E">
                    <w:rPr>
                      <w:rFonts w:ascii="Arial" w:hAnsi="Arial" w:cs="Arial"/>
                      <w:i/>
                    </w:rPr>
                    <w:t>Ensure swift and sure justice for hate crime victims</w:t>
                  </w:r>
                </w:p>
              </w:tc>
            </w:tr>
          </w:tbl>
          <w:p w14:paraId="5C81A2BE" w14:textId="77777777" w:rsidR="00A46B22" w:rsidRPr="00CC382E" w:rsidRDefault="00A46B22" w:rsidP="00CC382E">
            <w:pPr>
              <w:spacing w:line="360" w:lineRule="auto"/>
              <w:rPr>
                <w:rFonts w:ascii="Arial" w:hAnsi="Arial" w:cs="Arial"/>
                <w:b/>
                <w:i/>
              </w:rPr>
            </w:pPr>
          </w:p>
          <w:p w14:paraId="744D2943" w14:textId="77777777" w:rsidR="00A46B22" w:rsidRPr="00CC382E" w:rsidRDefault="00A46B22" w:rsidP="00CC382E">
            <w:pPr>
              <w:spacing w:line="360" w:lineRule="auto"/>
              <w:rPr>
                <w:rFonts w:ascii="Arial" w:hAnsi="Arial" w:cs="Arial"/>
                <w:b/>
                <w:i/>
              </w:rPr>
            </w:pPr>
          </w:p>
          <w:p w14:paraId="4F34F22A" w14:textId="77777777" w:rsidR="00021357" w:rsidRPr="00CC382E" w:rsidRDefault="00021357" w:rsidP="00CC382E">
            <w:pPr>
              <w:pStyle w:val="ListParagraph"/>
              <w:numPr>
                <w:ilvl w:val="2"/>
                <w:numId w:val="2"/>
              </w:numPr>
              <w:spacing w:line="360" w:lineRule="auto"/>
              <w:rPr>
                <w:rFonts w:ascii="Arial" w:hAnsi="Arial" w:cs="Arial"/>
                <w:b/>
              </w:rPr>
            </w:pPr>
            <w:r w:rsidRPr="00CC382E">
              <w:rPr>
                <w:rFonts w:ascii="Arial" w:hAnsi="Arial" w:cs="Arial"/>
                <w:b/>
              </w:rPr>
              <w:t>Impact</w:t>
            </w:r>
          </w:p>
          <w:p w14:paraId="3D3B14CB" w14:textId="77777777" w:rsidR="00F45637" w:rsidRPr="00CC382E" w:rsidRDefault="00F45637" w:rsidP="00CC382E">
            <w:pPr>
              <w:spacing w:line="360" w:lineRule="auto"/>
              <w:rPr>
                <w:rFonts w:ascii="Arial" w:hAnsi="Arial" w:cs="Arial"/>
                <w:b/>
              </w:rPr>
            </w:pPr>
          </w:p>
          <w:p w14:paraId="1E9979ED" w14:textId="77777777" w:rsidR="00A46B22" w:rsidRPr="00CC382E" w:rsidRDefault="00A46B22" w:rsidP="00CC382E">
            <w:pPr>
              <w:spacing w:line="360" w:lineRule="auto"/>
              <w:rPr>
                <w:rFonts w:ascii="Arial" w:hAnsi="Arial" w:cs="Arial"/>
              </w:rPr>
            </w:pPr>
            <w:r w:rsidRPr="00CC382E">
              <w:rPr>
                <w:rFonts w:ascii="Arial" w:hAnsi="Arial" w:cs="Arial"/>
              </w:rPr>
              <w:t>As a result of intera</w:t>
            </w:r>
            <w:r w:rsidR="00F45637" w:rsidRPr="00CC382E">
              <w:rPr>
                <w:rFonts w:ascii="Arial" w:hAnsi="Arial" w:cs="Arial"/>
              </w:rPr>
              <w:t xml:space="preserve">ction with the service, victims </w:t>
            </w:r>
            <w:r w:rsidRPr="00CC382E">
              <w:rPr>
                <w:rFonts w:ascii="Arial" w:hAnsi="Arial" w:cs="Arial"/>
              </w:rPr>
              <w:t>will:</w:t>
            </w:r>
          </w:p>
          <w:p w14:paraId="00E74C33" w14:textId="77777777" w:rsidR="00A46B22"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F</w:t>
            </w:r>
            <w:r w:rsidR="00A46B22" w:rsidRPr="00CC382E">
              <w:rPr>
                <w:rFonts w:ascii="Arial" w:hAnsi="Arial" w:cs="Arial"/>
              </w:rPr>
              <w:t>eel safe, supported and li</w:t>
            </w:r>
            <w:r w:rsidR="00DD7F36" w:rsidRPr="00CC382E">
              <w:rPr>
                <w:rFonts w:ascii="Arial" w:hAnsi="Arial" w:cs="Arial"/>
              </w:rPr>
              <w:t>stened to</w:t>
            </w:r>
          </w:p>
          <w:p w14:paraId="4462DE80" w14:textId="77777777" w:rsidR="00A46B22"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E</w:t>
            </w:r>
            <w:r w:rsidR="00A46B22" w:rsidRPr="00CC382E">
              <w:rPr>
                <w:rFonts w:ascii="Arial" w:hAnsi="Arial" w:cs="Arial"/>
              </w:rPr>
              <w:t>xperience a reduction in the level of distr</w:t>
            </w:r>
            <w:r w:rsidR="00DD7F36" w:rsidRPr="00CC382E">
              <w:rPr>
                <w:rFonts w:ascii="Arial" w:hAnsi="Arial" w:cs="Arial"/>
              </w:rPr>
              <w:t xml:space="preserve">ess and conflict </w:t>
            </w:r>
          </w:p>
          <w:p w14:paraId="1FFEA128" w14:textId="77777777" w:rsidR="00A46B22"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H</w:t>
            </w:r>
            <w:r w:rsidR="00A46B22" w:rsidRPr="00CC382E">
              <w:rPr>
                <w:rFonts w:ascii="Arial" w:hAnsi="Arial" w:cs="Arial"/>
              </w:rPr>
              <w:t>ave an increased ability to function wel</w:t>
            </w:r>
            <w:r w:rsidR="00DD7F36" w:rsidRPr="00CC382E">
              <w:rPr>
                <w:rFonts w:ascii="Arial" w:hAnsi="Arial" w:cs="Arial"/>
              </w:rPr>
              <w:t>l in daily life in relation to their victimisation</w:t>
            </w:r>
          </w:p>
          <w:p w14:paraId="06793382" w14:textId="77777777" w:rsidR="00A46B22"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F</w:t>
            </w:r>
            <w:r w:rsidR="00A46B22" w:rsidRPr="00CC382E">
              <w:rPr>
                <w:rFonts w:ascii="Arial" w:hAnsi="Arial" w:cs="Arial"/>
              </w:rPr>
              <w:t xml:space="preserve">eel supported as a consequence of clear pathways, the availability of support materials and access to local professionals </w:t>
            </w:r>
            <w:r w:rsidRPr="00CC382E">
              <w:rPr>
                <w:rFonts w:ascii="Arial" w:hAnsi="Arial" w:cs="Arial"/>
              </w:rPr>
              <w:t>to gain information and support</w:t>
            </w:r>
          </w:p>
          <w:p w14:paraId="72B9A9A3" w14:textId="77777777" w:rsidR="00A46B22"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Be able to access care locally</w:t>
            </w:r>
          </w:p>
          <w:p w14:paraId="57ADC0E2" w14:textId="77777777" w:rsidR="00DD7F36" w:rsidRPr="00CC382E" w:rsidRDefault="00F45637" w:rsidP="00CC382E">
            <w:pPr>
              <w:pStyle w:val="ListParagraph"/>
              <w:numPr>
                <w:ilvl w:val="0"/>
                <w:numId w:val="4"/>
              </w:numPr>
              <w:spacing w:line="360" w:lineRule="auto"/>
              <w:rPr>
                <w:rFonts w:ascii="Arial" w:hAnsi="Arial" w:cs="Arial"/>
              </w:rPr>
            </w:pPr>
            <w:r w:rsidRPr="00CC382E">
              <w:rPr>
                <w:rFonts w:ascii="Arial" w:hAnsi="Arial" w:cs="Arial"/>
              </w:rPr>
              <w:t>Know what the s</w:t>
            </w:r>
            <w:r w:rsidR="00A46B22" w:rsidRPr="00CC382E">
              <w:rPr>
                <w:rFonts w:ascii="Arial" w:hAnsi="Arial" w:cs="Arial"/>
              </w:rPr>
              <w:t xml:space="preserve">ervice can and cannot provide, know how to access help and support </w:t>
            </w:r>
          </w:p>
          <w:p w14:paraId="3FCD82E1" w14:textId="77777777" w:rsidR="00A46B22" w:rsidRPr="00CC382E" w:rsidRDefault="00DF0A34" w:rsidP="00CC382E">
            <w:pPr>
              <w:pStyle w:val="ListParagraph"/>
              <w:numPr>
                <w:ilvl w:val="0"/>
                <w:numId w:val="4"/>
              </w:numPr>
              <w:spacing w:line="360" w:lineRule="auto"/>
              <w:rPr>
                <w:rFonts w:ascii="Arial" w:hAnsi="Arial" w:cs="Arial"/>
              </w:rPr>
            </w:pPr>
            <w:r w:rsidRPr="00CC382E">
              <w:rPr>
                <w:rFonts w:ascii="Arial" w:hAnsi="Arial" w:cs="Arial"/>
              </w:rPr>
              <w:t>F</w:t>
            </w:r>
            <w:r w:rsidR="00A46B22" w:rsidRPr="00CC382E">
              <w:rPr>
                <w:rFonts w:ascii="Arial" w:hAnsi="Arial" w:cs="Arial"/>
              </w:rPr>
              <w:t>eel that those supporting them locally (e.g. professionals from schools, colleges, voluntary organisations, health and social care) are appropriately included and consulted with by the Service.</w:t>
            </w:r>
          </w:p>
          <w:p w14:paraId="4A22D757" w14:textId="77777777" w:rsidR="00A46B22" w:rsidRPr="00CC382E" w:rsidRDefault="00A46B22" w:rsidP="00CC382E">
            <w:pPr>
              <w:spacing w:line="360" w:lineRule="auto"/>
              <w:rPr>
                <w:rFonts w:ascii="Arial" w:hAnsi="Arial" w:cs="Arial"/>
                <w:b/>
              </w:rPr>
            </w:pPr>
          </w:p>
        </w:tc>
      </w:tr>
      <w:tr w:rsidR="00B505C9" w:rsidRPr="00CC382E" w14:paraId="53C92375" w14:textId="77777777" w:rsidTr="00B505C9">
        <w:tc>
          <w:tcPr>
            <w:tcW w:w="9016" w:type="dxa"/>
            <w:shd w:val="clear" w:color="auto" w:fill="D9E2F3" w:themeFill="accent5" w:themeFillTint="33"/>
          </w:tcPr>
          <w:p w14:paraId="240D98EA" w14:textId="77777777" w:rsidR="00B505C9" w:rsidRPr="00CC382E" w:rsidRDefault="00B505C9" w:rsidP="00CC382E">
            <w:pPr>
              <w:pStyle w:val="ListParagraph"/>
              <w:numPr>
                <w:ilvl w:val="0"/>
                <w:numId w:val="2"/>
              </w:numPr>
              <w:spacing w:line="360" w:lineRule="auto"/>
              <w:rPr>
                <w:rFonts w:ascii="Arial" w:hAnsi="Arial" w:cs="Arial"/>
                <w:b/>
              </w:rPr>
            </w:pPr>
            <w:r w:rsidRPr="00CC382E">
              <w:rPr>
                <w:rFonts w:ascii="Arial" w:hAnsi="Arial" w:cs="Arial"/>
                <w:b/>
              </w:rPr>
              <w:lastRenderedPageBreak/>
              <w:t xml:space="preserve">Monitoring and evaluation </w:t>
            </w:r>
          </w:p>
          <w:p w14:paraId="38B00553" w14:textId="77777777" w:rsidR="00B505C9" w:rsidRPr="00CC382E" w:rsidRDefault="00B505C9" w:rsidP="00CC382E">
            <w:pPr>
              <w:spacing w:line="360" w:lineRule="auto"/>
              <w:ind w:left="360"/>
              <w:rPr>
                <w:rFonts w:ascii="Arial" w:hAnsi="Arial" w:cs="Arial"/>
                <w:b/>
              </w:rPr>
            </w:pPr>
          </w:p>
        </w:tc>
      </w:tr>
      <w:tr w:rsidR="00B505C9" w:rsidRPr="00CC382E" w14:paraId="0283DC82" w14:textId="77777777" w:rsidTr="005A63E4">
        <w:tc>
          <w:tcPr>
            <w:tcW w:w="9016" w:type="dxa"/>
          </w:tcPr>
          <w:p w14:paraId="66622554" w14:textId="77777777" w:rsidR="00B505C9" w:rsidRPr="00CC382E" w:rsidRDefault="00B505C9" w:rsidP="00CC382E">
            <w:pPr>
              <w:spacing w:line="360" w:lineRule="auto"/>
              <w:rPr>
                <w:rFonts w:ascii="Arial" w:hAnsi="Arial" w:cs="Arial"/>
                <w:b/>
              </w:rPr>
            </w:pPr>
          </w:p>
          <w:p w14:paraId="5E3F01F2" w14:textId="77777777" w:rsidR="00B505C9" w:rsidRPr="00CC382E" w:rsidRDefault="003864D0" w:rsidP="00CC382E">
            <w:pPr>
              <w:spacing w:line="360" w:lineRule="auto"/>
              <w:rPr>
                <w:rFonts w:ascii="Arial" w:hAnsi="Arial" w:cs="Arial"/>
              </w:rPr>
            </w:pPr>
            <w:r w:rsidRPr="00CC382E">
              <w:rPr>
                <w:rFonts w:ascii="Arial" w:hAnsi="Arial" w:cs="Arial"/>
              </w:rPr>
              <w:t>Organisations commissioned to offer support to victims of crime are obliged to submit monitoring on a quarterly basis. Dates will be issued along with grant conditions. Thematic monitoring meetings with OPCC staff will take place approximately a fortnight after monitoring is submitted, these give commissioners and providers an opportunity</w:t>
            </w:r>
            <w:r w:rsidR="002A7FFC" w:rsidRPr="00CC382E">
              <w:rPr>
                <w:rFonts w:ascii="Arial" w:hAnsi="Arial" w:cs="Arial"/>
              </w:rPr>
              <w:t xml:space="preserve"> to map gaps in service provision and</w:t>
            </w:r>
            <w:r w:rsidRPr="00CC382E">
              <w:rPr>
                <w:rFonts w:ascii="Arial" w:hAnsi="Arial" w:cs="Arial"/>
              </w:rPr>
              <w:t xml:space="preserve"> </w:t>
            </w:r>
            <w:r w:rsidR="002A7FFC" w:rsidRPr="00CC382E">
              <w:rPr>
                <w:rFonts w:ascii="Arial" w:hAnsi="Arial" w:cs="Arial"/>
              </w:rPr>
              <w:t xml:space="preserve">trends over the reported period. </w:t>
            </w:r>
          </w:p>
          <w:p w14:paraId="0D1E9AC4" w14:textId="1E1EA86E" w:rsidR="00153EF5" w:rsidRPr="00CC382E" w:rsidRDefault="00806B21" w:rsidP="00CC382E">
            <w:pPr>
              <w:spacing w:line="360" w:lineRule="auto"/>
              <w:rPr>
                <w:rFonts w:ascii="Arial" w:hAnsi="Arial" w:cs="Arial"/>
              </w:rPr>
            </w:pPr>
            <w:r w:rsidRPr="00806B21">
              <w:rPr>
                <w:rFonts w:ascii="Arial" w:hAnsi="Arial" w:cs="Arial"/>
              </w:rPr>
              <w:t>Funding to providers is made upon receipt of satisfactory monitoring each quarter and is paid in arrears.</w:t>
            </w:r>
          </w:p>
          <w:p w14:paraId="6A240294" w14:textId="77777777" w:rsidR="00B505C9" w:rsidRPr="00CC382E" w:rsidRDefault="00B505C9" w:rsidP="00CC382E">
            <w:pPr>
              <w:spacing w:line="360" w:lineRule="auto"/>
              <w:rPr>
                <w:rFonts w:ascii="Arial" w:hAnsi="Arial" w:cs="Arial"/>
                <w:b/>
              </w:rPr>
            </w:pPr>
          </w:p>
        </w:tc>
      </w:tr>
      <w:tr w:rsidR="00B17C7E" w:rsidRPr="00CC382E" w14:paraId="48C6AB6C" w14:textId="77777777" w:rsidTr="00B17C7E">
        <w:tc>
          <w:tcPr>
            <w:tcW w:w="9016" w:type="dxa"/>
            <w:shd w:val="clear" w:color="auto" w:fill="D9E2F3" w:themeFill="accent5" w:themeFillTint="33"/>
          </w:tcPr>
          <w:p w14:paraId="17AF1A8E" w14:textId="77777777" w:rsidR="00B17C7E" w:rsidRPr="00CC382E" w:rsidRDefault="00B17C7E" w:rsidP="00CC382E">
            <w:pPr>
              <w:pStyle w:val="ListParagraph"/>
              <w:numPr>
                <w:ilvl w:val="0"/>
                <w:numId w:val="2"/>
              </w:numPr>
              <w:spacing w:line="360" w:lineRule="auto"/>
              <w:rPr>
                <w:rFonts w:ascii="Arial" w:hAnsi="Arial" w:cs="Arial"/>
                <w:b/>
              </w:rPr>
            </w:pPr>
            <w:r w:rsidRPr="00CC382E">
              <w:rPr>
                <w:rFonts w:ascii="Arial" w:hAnsi="Arial" w:cs="Arial"/>
                <w:b/>
              </w:rPr>
              <w:t xml:space="preserve">Confidentiality </w:t>
            </w:r>
          </w:p>
          <w:p w14:paraId="339A7D53" w14:textId="77777777" w:rsidR="00B17C7E" w:rsidRPr="00CC382E" w:rsidRDefault="00B17C7E" w:rsidP="00CC382E">
            <w:pPr>
              <w:pStyle w:val="ListParagraph"/>
              <w:spacing w:line="360" w:lineRule="auto"/>
              <w:rPr>
                <w:rFonts w:ascii="Arial" w:hAnsi="Arial" w:cs="Arial"/>
                <w:b/>
              </w:rPr>
            </w:pPr>
          </w:p>
        </w:tc>
      </w:tr>
      <w:tr w:rsidR="00B17C7E" w:rsidRPr="00CC382E" w14:paraId="091CDEB0" w14:textId="77777777" w:rsidTr="005A63E4">
        <w:tc>
          <w:tcPr>
            <w:tcW w:w="9016" w:type="dxa"/>
          </w:tcPr>
          <w:p w14:paraId="08AB3903" w14:textId="77777777" w:rsidR="00B17C7E" w:rsidRPr="00CC382E" w:rsidRDefault="00B17C7E" w:rsidP="00CC382E">
            <w:pPr>
              <w:spacing w:line="360" w:lineRule="auto"/>
              <w:rPr>
                <w:rFonts w:ascii="Arial" w:hAnsi="Arial" w:cs="Arial"/>
              </w:rPr>
            </w:pPr>
            <w:r w:rsidRPr="00CC382E">
              <w:rPr>
                <w:rFonts w:ascii="Arial" w:hAnsi="Arial" w:cs="Arial"/>
              </w:rPr>
              <w:t>The Police and Crime Commissioner is committed to open government and operates under a Code of Practice on Public Access to Information to meeting their responsibilities under the Freedom of Information Act 2000. Any information submitted by you in connect</w:t>
            </w:r>
            <w:r w:rsidR="006A2F96" w:rsidRPr="00CC382E">
              <w:rPr>
                <w:rFonts w:ascii="Arial" w:hAnsi="Arial" w:cs="Arial"/>
              </w:rPr>
              <w:t>ion with this proposal</w:t>
            </w:r>
            <w:r w:rsidRPr="00CC382E">
              <w:rPr>
                <w:rFonts w:ascii="Arial" w:hAnsi="Arial" w:cs="Arial"/>
              </w:rPr>
              <w:t xml:space="preserve"> may need to be disclosed in response to a request under the Act. </w:t>
            </w:r>
          </w:p>
          <w:p w14:paraId="2BB6D559" w14:textId="77777777" w:rsidR="00B17C7E" w:rsidRPr="00CC382E" w:rsidRDefault="00B17C7E" w:rsidP="00CC382E">
            <w:pPr>
              <w:spacing w:line="360" w:lineRule="auto"/>
              <w:rPr>
                <w:rFonts w:ascii="Arial" w:hAnsi="Arial" w:cs="Arial"/>
              </w:rPr>
            </w:pPr>
          </w:p>
          <w:p w14:paraId="20238615" w14:textId="77777777" w:rsidR="00B17C7E" w:rsidRPr="00CC382E" w:rsidRDefault="00B17C7E" w:rsidP="00CC382E">
            <w:pPr>
              <w:spacing w:line="360" w:lineRule="auto"/>
              <w:rPr>
                <w:rFonts w:ascii="Arial" w:hAnsi="Arial" w:cs="Arial"/>
              </w:rPr>
            </w:pPr>
            <w:r w:rsidRPr="00CC382E">
              <w:rPr>
                <w:rFonts w:ascii="Arial" w:hAnsi="Arial" w:cs="Arial"/>
              </w:rPr>
              <w:lastRenderedPageBreak/>
              <w:t xml:space="preserve">If you consider that any of the information included in your bid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w:t>
            </w:r>
          </w:p>
          <w:p w14:paraId="0DDBA9CD" w14:textId="77777777" w:rsidR="00B17C7E" w:rsidRPr="00CC382E" w:rsidRDefault="00B17C7E" w:rsidP="00CC382E">
            <w:pPr>
              <w:spacing w:line="360" w:lineRule="auto"/>
              <w:rPr>
                <w:rFonts w:ascii="Arial" w:hAnsi="Arial" w:cs="Arial"/>
              </w:rPr>
            </w:pPr>
          </w:p>
          <w:p w14:paraId="3F0DCC9A" w14:textId="77777777" w:rsidR="00B17C7E" w:rsidRPr="00CC382E" w:rsidRDefault="00B17C7E" w:rsidP="00CC382E">
            <w:pPr>
              <w:spacing w:line="360" w:lineRule="auto"/>
              <w:rPr>
                <w:rFonts w:ascii="Arial" w:hAnsi="Arial" w:cs="Arial"/>
              </w:rPr>
            </w:pPr>
            <w:r w:rsidRPr="00CC382E">
              <w:rPr>
                <w:rFonts w:ascii="Arial" w:hAnsi="Arial" w:cs="Arial"/>
              </w:rPr>
              <w:t>There will be no disclosure of costs or other matters relating to this evaluation to any third party and all aspects of negotiations will be treated as confidential at all times, except where release is deemed necessary by the Police and Crime Commissioner under Freedom of Information legislation.</w:t>
            </w:r>
          </w:p>
          <w:p w14:paraId="0F6F1374" w14:textId="77777777" w:rsidR="00B17C7E" w:rsidRPr="00CC382E" w:rsidRDefault="00B17C7E" w:rsidP="00CC382E">
            <w:pPr>
              <w:spacing w:line="360" w:lineRule="auto"/>
              <w:rPr>
                <w:rFonts w:ascii="Arial" w:hAnsi="Arial" w:cs="Arial"/>
              </w:rPr>
            </w:pPr>
          </w:p>
          <w:p w14:paraId="334A0502" w14:textId="77777777" w:rsidR="00B17C7E" w:rsidRPr="00CC382E" w:rsidRDefault="00B17C7E" w:rsidP="00CC382E">
            <w:pPr>
              <w:spacing w:line="360" w:lineRule="auto"/>
              <w:rPr>
                <w:rFonts w:ascii="Arial" w:hAnsi="Arial" w:cs="Arial"/>
              </w:rPr>
            </w:pPr>
            <w:r w:rsidRPr="00CC382E">
              <w:rPr>
                <w:rFonts w:ascii="Arial" w:hAnsi="Arial" w:cs="Arial"/>
              </w:rPr>
              <w:t>You will be consulted if we receive a request for disclosure of any of the information you have identified as commercially sensitive.</w:t>
            </w:r>
          </w:p>
          <w:p w14:paraId="39AEFC96" w14:textId="77777777" w:rsidR="00B17C7E" w:rsidRPr="00CC382E" w:rsidRDefault="00B17C7E" w:rsidP="00CC382E">
            <w:pPr>
              <w:spacing w:line="360" w:lineRule="auto"/>
              <w:rPr>
                <w:rFonts w:ascii="Arial" w:hAnsi="Arial" w:cs="Arial"/>
                <w:b/>
              </w:rPr>
            </w:pPr>
          </w:p>
        </w:tc>
      </w:tr>
    </w:tbl>
    <w:p w14:paraId="3397B166" w14:textId="77777777" w:rsidR="005A63E4" w:rsidRDefault="005A63E4">
      <w:pPr>
        <w:rPr>
          <w:b/>
        </w:rPr>
      </w:pPr>
    </w:p>
    <w:p w14:paraId="57D24FC1" w14:textId="5AB623FB" w:rsidR="00021357" w:rsidRDefault="00021357"/>
    <w:p w14:paraId="3A4A7D26" w14:textId="77777777" w:rsidR="00FE795B" w:rsidRDefault="00FE795B"/>
    <w:p w14:paraId="56AFF312" w14:textId="77777777" w:rsidR="00FE795B" w:rsidRDefault="00FE795B"/>
    <w:p w14:paraId="5153CA6B" w14:textId="77777777" w:rsidR="00312306" w:rsidRPr="000E62B8" w:rsidRDefault="00312306" w:rsidP="000E62B8">
      <w:pPr>
        <w:spacing w:line="360" w:lineRule="auto"/>
        <w:rPr>
          <w:rFonts w:ascii="Arial" w:hAnsi="Arial" w:cs="Arial"/>
          <w:b/>
        </w:rPr>
      </w:pPr>
      <w:bookmarkStart w:id="0" w:name="_Toc493776657"/>
      <w:r w:rsidRPr="000E62B8">
        <w:rPr>
          <w:rFonts w:ascii="Arial" w:hAnsi="Arial" w:cs="Arial"/>
          <w:b/>
        </w:rPr>
        <w:t>Evaluation criteria</w:t>
      </w:r>
    </w:p>
    <w:p w14:paraId="16893AD3" w14:textId="33F95F7E" w:rsidR="00312306" w:rsidRDefault="00312306" w:rsidP="000E62B8">
      <w:pPr>
        <w:spacing w:line="360" w:lineRule="auto"/>
        <w:rPr>
          <w:rFonts w:ascii="Arial" w:hAnsi="Arial" w:cs="Arial"/>
        </w:rPr>
      </w:pPr>
      <w:r w:rsidRPr="000E62B8">
        <w:rPr>
          <w:rFonts w:ascii="Arial" w:hAnsi="Arial" w:cs="Arial"/>
        </w:rPr>
        <w:t xml:space="preserve">The evaluation will be awarded on the basis of the following criteria including the weighting applicable to each criterion. Applications should structure their bids in line with the criteria below addressing each in turn and in a clear and concise format. </w:t>
      </w:r>
    </w:p>
    <w:p w14:paraId="79D92D98" w14:textId="5AB40DFE" w:rsidR="004D4196" w:rsidRPr="00897434" w:rsidRDefault="004D4196" w:rsidP="004D4196">
      <w:pPr>
        <w:rPr>
          <w:rFonts w:ascii="Arial" w:hAnsi="Arial" w:cs="Arial"/>
        </w:rPr>
      </w:pPr>
    </w:p>
    <w:p w14:paraId="3CCDCBCB" w14:textId="0F5F2C8B" w:rsidR="004D4196" w:rsidRDefault="004D4196" w:rsidP="004D4196">
      <w:pPr>
        <w:rPr>
          <w:rFonts w:ascii="Arial" w:hAnsi="Arial" w:cs="Arial"/>
        </w:rPr>
      </w:pPr>
      <w:r w:rsidRPr="00897434">
        <w:rPr>
          <w:rFonts w:ascii="Arial" w:hAnsi="Arial" w:cs="Arial"/>
        </w:rPr>
        <w:t xml:space="preserve">Each proposal will be evaluated against the following criteria: </w:t>
      </w:r>
    </w:p>
    <w:p w14:paraId="1BF165AC" w14:textId="17964A52" w:rsidR="004D4196" w:rsidRDefault="004D4196" w:rsidP="004D4196">
      <w:pPr>
        <w:pStyle w:val="ListParagraph"/>
        <w:numPr>
          <w:ilvl w:val="0"/>
          <w:numId w:val="25"/>
        </w:numPr>
        <w:rPr>
          <w:rFonts w:ascii="Arial" w:hAnsi="Arial" w:cs="Arial"/>
        </w:rPr>
      </w:pPr>
      <w:r w:rsidRPr="004D4196">
        <w:rPr>
          <w:rFonts w:ascii="Arial" w:hAnsi="Arial" w:cs="Arial"/>
        </w:rPr>
        <w:t xml:space="preserve">Service Offer and understanding of the project brief </w:t>
      </w:r>
    </w:p>
    <w:p w14:paraId="16D63634" w14:textId="659E8914" w:rsidR="004D4196" w:rsidRDefault="004D4196" w:rsidP="004D4196">
      <w:pPr>
        <w:pStyle w:val="ListParagraph"/>
        <w:numPr>
          <w:ilvl w:val="0"/>
          <w:numId w:val="25"/>
        </w:numPr>
        <w:rPr>
          <w:rFonts w:ascii="Arial" w:hAnsi="Arial" w:cs="Arial"/>
        </w:rPr>
      </w:pPr>
      <w:r w:rsidRPr="004D4196">
        <w:rPr>
          <w:rFonts w:ascii="Arial" w:hAnsi="Arial" w:cs="Arial"/>
        </w:rPr>
        <w:t xml:space="preserve">Credibility and proven expertise </w:t>
      </w:r>
    </w:p>
    <w:p w14:paraId="32EA1DA4" w14:textId="6E345946" w:rsidR="004D4196" w:rsidRDefault="004D4196" w:rsidP="004D4196">
      <w:pPr>
        <w:pStyle w:val="ListParagraph"/>
        <w:numPr>
          <w:ilvl w:val="0"/>
          <w:numId w:val="25"/>
        </w:numPr>
        <w:rPr>
          <w:rFonts w:ascii="Arial" w:hAnsi="Arial" w:cs="Arial"/>
        </w:rPr>
      </w:pPr>
      <w:r w:rsidRPr="004D4196">
        <w:rPr>
          <w:rFonts w:ascii="Arial" w:hAnsi="Arial" w:cs="Arial"/>
        </w:rPr>
        <w:t>Effective project management as demonstrated by a realistic and viable methodology</w:t>
      </w:r>
    </w:p>
    <w:p w14:paraId="5A7FF19F" w14:textId="2F08F312" w:rsidR="004D4196" w:rsidRDefault="004D4196" w:rsidP="004D4196">
      <w:pPr>
        <w:pStyle w:val="ListParagraph"/>
        <w:numPr>
          <w:ilvl w:val="0"/>
          <w:numId w:val="25"/>
        </w:numPr>
        <w:rPr>
          <w:rFonts w:ascii="Arial" w:hAnsi="Arial" w:cs="Arial"/>
        </w:rPr>
      </w:pPr>
      <w:r w:rsidRPr="004D4196">
        <w:rPr>
          <w:rFonts w:ascii="Arial" w:hAnsi="Arial" w:cs="Arial"/>
        </w:rPr>
        <w:t xml:space="preserve">Staffing </w:t>
      </w:r>
    </w:p>
    <w:p w14:paraId="796540D1" w14:textId="73CDB6A6" w:rsidR="004D4196" w:rsidRDefault="004D4196" w:rsidP="004D4196">
      <w:pPr>
        <w:pStyle w:val="ListParagraph"/>
        <w:numPr>
          <w:ilvl w:val="0"/>
          <w:numId w:val="25"/>
        </w:numPr>
        <w:rPr>
          <w:rFonts w:ascii="Arial" w:hAnsi="Arial" w:cs="Arial"/>
        </w:rPr>
      </w:pPr>
      <w:r w:rsidRPr="004D4196">
        <w:rPr>
          <w:rFonts w:ascii="Arial" w:hAnsi="Arial" w:cs="Arial"/>
        </w:rPr>
        <w:t xml:space="preserve">Knowledge of our context, our city and our region </w:t>
      </w:r>
    </w:p>
    <w:p w14:paraId="3C748CE2" w14:textId="3ACC766B" w:rsidR="004D4196" w:rsidRDefault="004D4196" w:rsidP="004D4196">
      <w:pPr>
        <w:pStyle w:val="ListParagraph"/>
        <w:numPr>
          <w:ilvl w:val="0"/>
          <w:numId w:val="25"/>
        </w:numPr>
        <w:rPr>
          <w:rFonts w:ascii="Arial" w:hAnsi="Arial" w:cs="Arial"/>
        </w:rPr>
      </w:pPr>
      <w:r w:rsidRPr="004D4196">
        <w:rPr>
          <w:rFonts w:ascii="Arial" w:hAnsi="Arial" w:cs="Arial"/>
        </w:rPr>
        <w:t>Partnership working (community, partners and the Directors)</w:t>
      </w:r>
    </w:p>
    <w:p w14:paraId="5E4D96C9" w14:textId="50CD3123" w:rsidR="004D4196" w:rsidRDefault="004D4196" w:rsidP="004D4196">
      <w:pPr>
        <w:pStyle w:val="ListParagraph"/>
        <w:numPr>
          <w:ilvl w:val="0"/>
          <w:numId w:val="25"/>
        </w:numPr>
        <w:rPr>
          <w:rFonts w:ascii="Arial" w:hAnsi="Arial" w:cs="Arial"/>
        </w:rPr>
      </w:pPr>
      <w:r w:rsidRPr="004D4196">
        <w:rPr>
          <w:rFonts w:ascii="Arial" w:hAnsi="Arial" w:cs="Arial"/>
        </w:rPr>
        <w:t xml:space="preserve">Service Quality and Compliance </w:t>
      </w:r>
    </w:p>
    <w:p w14:paraId="619E914E" w14:textId="14B65B3F" w:rsidR="004D4196" w:rsidRPr="004D4196" w:rsidRDefault="004D4196" w:rsidP="004D4196">
      <w:pPr>
        <w:pStyle w:val="ListParagraph"/>
        <w:numPr>
          <w:ilvl w:val="0"/>
          <w:numId w:val="25"/>
        </w:numPr>
        <w:rPr>
          <w:rFonts w:ascii="Arial" w:hAnsi="Arial" w:cs="Arial"/>
        </w:rPr>
      </w:pPr>
      <w:r w:rsidRPr="004D4196">
        <w:rPr>
          <w:rFonts w:ascii="Arial" w:hAnsi="Arial" w:cs="Arial"/>
        </w:rPr>
        <w:t xml:space="preserve">Price </w:t>
      </w:r>
    </w:p>
    <w:p w14:paraId="023C4F04" w14:textId="55227E56" w:rsidR="004D4196" w:rsidRPr="00897434" w:rsidRDefault="004D4196" w:rsidP="004D4196">
      <w:pPr>
        <w:rPr>
          <w:rFonts w:ascii="Arial" w:hAnsi="Arial" w:cs="Arial"/>
        </w:rPr>
      </w:pPr>
      <w:r w:rsidRPr="00897434">
        <w:rPr>
          <w:rFonts w:ascii="Arial" w:hAnsi="Arial" w:cs="Arial"/>
        </w:rPr>
        <w:t>We will seek value for money in the tender for this project and will judge value not solely on price but on the quality and scope of the proposals being considered.</w:t>
      </w:r>
    </w:p>
    <w:p w14:paraId="5EB00579" w14:textId="77777777" w:rsidR="004D4196" w:rsidRPr="00897434" w:rsidRDefault="004D4196" w:rsidP="004D4196">
      <w:pPr>
        <w:rPr>
          <w:rFonts w:ascii="Arial" w:hAnsi="Arial" w:cs="Arial"/>
        </w:rPr>
      </w:pPr>
      <w:r w:rsidRPr="00897434">
        <w:rPr>
          <w:rFonts w:ascii="Arial" w:hAnsi="Arial" w:cs="Arial"/>
        </w:rPr>
        <w:t>We reserve the right not to award a contract if it is judged that no viable or appropriate tender has been received.</w:t>
      </w:r>
    </w:p>
    <w:p w14:paraId="21CED591" w14:textId="77777777" w:rsidR="004D4196" w:rsidRPr="00897434" w:rsidRDefault="004D4196" w:rsidP="004D4196">
      <w:pPr>
        <w:rPr>
          <w:rFonts w:ascii="Arial" w:hAnsi="Arial" w:cs="Arial"/>
        </w:rPr>
      </w:pPr>
    </w:p>
    <w:p w14:paraId="7DF94C73" w14:textId="44D4ACAB" w:rsidR="004D4196" w:rsidRDefault="004D4196" w:rsidP="000E62B8">
      <w:pPr>
        <w:spacing w:line="360" w:lineRule="auto"/>
        <w:rPr>
          <w:rFonts w:ascii="Arial" w:hAnsi="Arial" w:cs="Arial"/>
        </w:rPr>
      </w:pPr>
    </w:p>
    <w:p w14:paraId="1F689937" w14:textId="187F5E7B" w:rsidR="00591528" w:rsidRDefault="00591528">
      <w:pPr>
        <w:rPr>
          <w:rFonts w:ascii="Arial" w:hAnsi="Arial" w:cs="Arial"/>
        </w:rPr>
      </w:pPr>
    </w:p>
    <w:p w14:paraId="016ACC67" w14:textId="77777777" w:rsidR="00E860D7" w:rsidRPr="000E62B8" w:rsidRDefault="00E860D7" w:rsidP="000E62B8">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773"/>
        <w:gridCol w:w="1332"/>
      </w:tblGrid>
      <w:tr w:rsidR="00312306" w:rsidRPr="000E62B8" w14:paraId="57DB9493" w14:textId="77777777" w:rsidTr="004023E8">
        <w:tc>
          <w:tcPr>
            <w:tcW w:w="7190" w:type="dxa"/>
            <w:gridSpan w:val="2"/>
          </w:tcPr>
          <w:p w14:paraId="54D14434" w14:textId="77777777" w:rsidR="00312306" w:rsidRPr="000E62B8" w:rsidRDefault="00312306" w:rsidP="000E62B8">
            <w:pPr>
              <w:spacing w:line="360" w:lineRule="auto"/>
              <w:rPr>
                <w:rFonts w:ascii="Arial" w:hAnsi="Arial" w:cs="Arial"/>
                <w:b/>
              </w:rPr>
            </w:pPr>
            <w:r w:rsidRPr="000E62B8">
              <w:rPr>
                <w:rFonts w:ascii="Arial" w:hAnsi="Arial" w:cs="Arial"/>
                <w:b/>
              </w:rPr>
              <w:t xml:space="preserve">Evaluation Criteria </w:t>
            </w:r>
          </w:p>
        </w:tc>
        <w:tc>
          <w:tcPr>
            <w:tcW w:w="1332" w:type="dxa"/>
            <w:shd w:val="clear" w:color="auto" w:fill="auto"/>
          </w:tcPr>
          <w:p w14:paraId="7B326863" w14:textId="77777777" w:rsidR="00312306" w:rsidRPr="000E62B8" w:rsidRDefault="00312306" w:rsidP="000E62B8">
            <w:pPr>
              <w:spacing w:line="360" w:lineRule="auto"/>
              <w:rPr>
                <w:rFonts w:ascii="Arial" w:hAnsi="Arial" w:cs="Arial"/>
                <w:b/>
              </w:rPr>
            </w:pPr>
            <w:r w:rsidRPr="000E62B8">
              <w:rPr>
                <w:rFonts w:ascii="Arial" w:hAnsi="Arial" w:cs="Arial"/>
                <w:b/>
              </w:rPr>
              <w:t>Weighting %</w:t>
            </w:r>
          </w:p>
        </w:tc>
      </w:tr>
      <w:tr w:rsidR="00312306" w:rsidRPr="000E62B8" w14:paraId="4081B5EE" w14:textId="77777777" w:rsidTr="004023E8">
        <w:trPr>
          <w:trHeight w:val="395"/>
        </w:trPr>
        <w:tc>
          <w:tcPr>
            <w:tcW w:w="417" w:type="dxa"/>
          </w:tcPr>
          <w:p w14:paraId="1DDFB9ED" w14:textId="77777777" w:rsidR="00312306" w:rsidRPr="000E62B8" w:rsidRDefault="00312306" w:rsidP="000E62B8">
            <w:pPr>
              <w:spacing w:line="360" w:lineRule="auto"/>
              <w:rPr>
                <w:rFonts w:ascii="Arial" w:hAnsi="Arial" w:cs="Arial"/>
                <w:b/>
              </w:rPr>
            </w:pPr>
            <w:r w:rsidRPr="000E62B8">
              <w:rPr>
                <w:rFonts w:ascii="Arial" w:hAnsi="Arial" w:cs="Arial"/>
                <w:b/>
              </w:rPr>
              <w:t>1.</w:t>
            </w:r>
          </w:p>
        </w:tc>
        <w:tc>
          <w:tcPr>
            <w:tcW w:w="6773" w:type="dxa"/>
            <w:shd w:val="clear" w:color="auto" w:fill="auto"/>
          </w:tcPr>
          <w:p w14:paraId="2AEC6981" w14:textId="77777777" w:rsidR="00312306" w:rsidRPr="000E62B8" w:rsidRDefault="00312306" w:rsidP="000E62B8">
            <w:pPr>
              <w:spacing w:line="360" w:lineRule="auto"/>
              <w:rPr>
                <w:rFonts w:ascii="Arial" w:hAnsi="Arial" w:cs="Arial"/>
                <w:b/>
              </w:rPr>
            </w:pPr>
            <w:r w:rsidRPr="000E62B8">
              <w:rPr>
                <w:rFonts w:ascii="Arial" w:hAnsi="Arial" w:cs="Arial"/>
                <w:b/>
              </w:rPr>
              <w:t>A clear and concise demonstration of understanding of hate crime, the policy context, hate crime initiatives.</w:t>
            </w:r>
          </w:p>
          <w:p w14:paraId="4A983A60" w14:textId="77777777" w:rsidR="00312306" w:rsidRPr="000E62B8" w:rsidRDefault="00312306" w:rsidP="000E62B8">
            <w:pPr>
              <w:spacing w:line="360" w:lineRule="auto"/>
              <w:rPr>
                <w:rFonts w:ascii="Arial" w:hAnsi="Arial" w:cs="Arial"/>
              </w:rPr>
            </w:pPr>
          </w:p>
          <w:p w14:paraId="4D045DC6" w14:textId="77777777" w:rsidR="00312306" w:rsidRPr="000E62B8" w:rsidRDefault="00312306" w:rsidP="000E62B8">
            <w:pPr>
              <w:spacing w:line="360" w:lineRule="auto"/>
              <w:rPr>
                <w:rFonts w:ascii="Arial" w:hAnsi="Arial" w:cs="Arial"/>
              </w:rPr>
            </w:pPr>
            <w:r w:rsidRPr="000E62B8">
              <w:rPr>
                <w:rFonts w:ascii="Arial" w:hAnsi="Arial" w:cs="Arial"/>
                <w:u w:val="single"/>
              </w:rPr>
              <w:t>Guidance to applicants</w:t>
            </w:r>
            <w:r w:rsidRPr="000E62B8">
              <w:rPr>
                <w:rFonts w:ascii="Arial" w:hAnsi="Arial" w:cs="Arial"/>
              </w:rPr>
              <w:t xml:space="preserve">: Please demonstrate your understanding of hate crime and the policy and delivery environment. Set out your understanding of any evidence sources/previous projects you think are relevant to this evaluation. Set out your understanding of the rationale for undertaking the research, with reference to the background/context. </w:t>
            </w:r>
          </w:p>
          <w:p w14:paraId="3B8E5A29" w14:textId="77777777" w:rsidR="00312306" w:rsidRPr="000E62B8" w:rsidRDefault="00312306" w:rsidP="000E62B8">
            <w:pPr>
              <w:spacing w:line="360" w:lineRule="auto"/>
              <w:rPr>
                <w:rFonts w:ascii="Arial" w:hAnsi="Arial" w:cs="Arial"/>
              </w:rPr>
            </w:pPr>
          </w:p>
        </w:tc>
        <w:tc>
          <w:tcPr>
            <w:tcW w:w="1332" w:type="dxa"/>
            <w:shd w:val="clear" w:color="auto" w:fill="auto"/>
          </w:tcPr>
          <w:p w14:paraId="5F259994" w14:textId="77777777" w:rsidR="00312306" w:rsidRPr="000E62B8" w:rsidRDefault="00312306" w:rsidP="000E62B8">
            <w:pPr>
              <w:spacing w:line="360" w:lineRule="auto"/>
              <w:rPr>
                <w:rFonts w:ascii="Arial" w:hAnsi="Arial" w:cs="Arial"/>
                <w:b/>
              </w:rPr>
            </w:pPr>
            <w:r w:rsidRPr="000E62B8">
              <w:rPr>
                <w:rFonts w:ascii="Arial" w:hAnsi="Arial" w:cs="Arial"/>
                <w:b/>
              </w:rPr>
              <w:t>25</w:t>
            </w:r>
          </w:p>
        </w:tc>
      </w:tr>
      <w:tr w:rsidR="00312306" w:rsidRPr="000E62B8" w14:paraId="5F182B21" w14:textId="77777777" w:rsidTr="004023E8">
        <w:trPr>
          <w:trHeight w:val="395"/>
        </w:trPr>
        <w:tc>
          <w:tcPr>
            <w:tcW w:w="417" w:type="dxa"/>
          </w:tcPr>
          <w:p w14:paraId="4B2D4C45" w14:textId="77777777" w:rsidR="00312306" w:rsidRPr="000E62B8" w:rsidRDefault="00312306" w:rsidP="000E62B8">
            <w:pPr>
              <w:spacing w:line="360" w:lineRule="auto"/>
              <w:rPr>
                <w:rFonts w:ascii="Arial" w:hAnsi="Arial" w:cs="Arial"/>
                <w:b/>
              </w:rPr>
            </w:pPr>
            <w:r w:rsidRPr="000E62B8">
              <w:rPr>
                <w:rFonts w:ascii="Arial" w:hAnsi="Arial" w:cs="Arial"/>
                <w:b/>
              </w:rPr>
              <w:t>2.</w:t>
            </w:r>
          </w:p>
        </w:tc>
        <w:tc>
          <w:tcPr>
            <w:tcW w:w="6773" w:type="dxa"/>
            <w:shd w:val="clear" w:color="auto" w:fill="auto"/>
          </w:tcPr>
          <w:p w14:paraId="23D3C09F" w14:textId="77777777" w:rsidR="00312306" w:rsidRPr="000E62B8" w:rsidRDefault="00312306" w:rsidP="000E62B8">
            <w:pPr>
              <w:spacing w:line="360" w:lineRule="auto"/>
              <w:rPr>
                <w:rFonts w:ascii="Arial" w:hAnsi="Arial" w:cs="Arial"/>
                <w:b/>
              </w:rPr>
            </w:pPr>
            <w:r w:rsidRPr="000E62B8">
              <w:rPr>
                <w:rFonts w:ascii="Arial" w:hAnsi="Arial" w:cs="Arial"/>
                <w:b/>
              </w:rPr>
              <w:t>Experience of work in hate crime field</w:t>
            </w:r>
          </w:p>
          <w:p w14:paraId="0D91472A" w14:textId="77777777" w:rsidR="00312306" w:rsidRPr="000E62B8" w:rsidRDefault="00312306" w:rsidP="000E62B8">
            <w:pPr>
              <w:spacing w:line="360" w:lineRule="auto"/>
              <w:rPr>
                <w:rFonts w:ascii="Arial" w:hAnsi="Arial" w:cs="Arial"/>
              </w:rPr>
            </w:pPr>
          </w:p>
          <w:p w14:paraId="1963E0F7" w14:textId="77777777" w:rsidR="00312306" w:rsidRPr="000E62B8" w:rsidRDefault="00312306" w:rsidP="000E62B8">
            <w:pPr>
              <w:spacing w:line="360" w:lineRule="auto"/>
              <w:rPr>
                <w:rFonts w:ascii="Arial" w:hAnsi="Arial" w:cs="Arial"/>
              </w:rPr>
            </w:pPr>
            <w:r w:rsidRPr="000E62B8">
              <w:rPr>
                <w:rFonts w:ascii="Arial" w:hAnsi="Arial" w:cs="Arial"/>
                <w:u w:val="single"/>
              </w:rPr>
              <w:t>Guidance to applicants:</w:t>
            </w:r>
            <w:r w:rsidRPr="000E62B8">
              <w:rPr>
                <w:rFonts w:ascii="Arial" w:hAnsi="Arial" w:cs="Arial"/>
              </w:rPr>
              <w:t xml:space="preserve"> Please detail your experience of</w:t>
            </w:r>
            <w:r w:rsidR="00196A13" w:rsidRPr="000E62B8">
              <w:rPr>
                <w:rFonts w:ascii="Arial" w:hAnsi="Arial" w:cs="Arial"/>
              </w:rPr>
              <w:t xml:space="preserve"> delivering a hate crime service.</w:t>
            </w:r>
            <w:r w:rsidRPr="000E62B8">
              <w:rPr>
                <w:rFonts w:ascii="Arial" w:hAnsi="Arial" w:cs="Arial"/>
              </w:rPr>
              <w:t xml:space="preserve"> </w:t>
            </w:r>
          </w:p>
          <w:p w14:paraId="27BA1AE1" w14:textId="77777777" w:rsidR="00312306" w:rsidRPr="000E62B8" w:rsidRDefault="00312306" w:rsidP="000E62B8">
            <w:pPr>
              <w:spacing w:line="360" w:lineRule="auto"/>
              <w:rPr>
                <w:rFonts w:ascii="Arial" w:hAnsi="Arial" w:cs="Arial"/>
              </w:rPr>
            </w:pPr>
          </w:p>
        </w:tc>
        <w:tc>
          <w:tcPr>
            <w:tcW w:w="1332" w:type="dxa"/>
            <w:shd w:val="clear" w:color="auto" w:fill="auto"/>
          </w:tcPr>
          <w:p w14:paraId="29A5F797" w14:textId="77777777" w:rsidR="00312306" w:rsidRPr="000E62B8" w:rsidRDefault="00312306" w:rsidP="000E62B8">
            <w:pPr>
              <w:spacing w:line="360" w:lineRule="auto"/>
              <w:rPr>
                <w:rFonts w:ascii="Arial" w:hAnsi="Arial" w:cs="Arial"/>
                <w:b/>
              </w:rPr>
            </w:pPr>
            <w:r w:rsidRPr="000E62B8">
              <w:rPr>
                <w:rFonts w:ascii="Arial" w:hAnsi="Arial" w:cs="Arial"/>
                <w:b/>
              </w:rPr>
              <w:t>20</w:t>
            </w:r>
          </w:p>
        </w:tc>
      </w:tr>
      <w:tr w:rsidR="00312306" w:rsidRPr="000E62B8" w14:paraId="13DD10DA" w14:textId="77777777" w:rsidTr="004023E8">
        <w:trPr>
          <w:trHeight w:val="395"/>
        </w:trPr>
        <w:tc>
          <w:tcPr>
            <w:tcW w:w="417" w:type="dxa"/>
          </w:tcPr>
          <w:p w14:paraId="3D3B7192" w14:textId="77777777" w:rsidR="00312306" w:rsidRPr="000E62B8" w:rsidRDefault="00312306" w:rsidP="000E62B8">
            <w:pPr>
              <w:spacing w:line="360" w:lineRule="auto"/>
              <w:rPr>
                <w:rFonts w:ascii="Arial" w:hAnsi="Arial" w:cs="Arial"/>
                <w:b/>
              </w:rPr>
            </w:pPr>
            <w:r w:rsidRPr="000E62B8">
              <w:rPr>
                <w:rFonts w:ascii="Arial" w:hAnsi="Arial" w:cs="Arial"/>
                <w:b/>
              </w:rPr>
              <w:t>3.</w:t>
            </w:r>
          </w:p>
        </w:tc>
        <w:tc>
          <w:tcPr>
            <w:tcW w:w="6773" w:type="dxa"/>
            <w:shd w:val="clear" w:color="auto" w:fill="auto"/>
          </w:tcPr>
          <w:p w14:paraId="2C80CD0D" w14:textId="77777777" w:rsidR="00312306" w:rsidRPr="000E62B8" w:rsidRDefault="00312306" w:rsidP="000E62B8">
            <w:pPr>
              <w:spacing w:line="360" w:lineRule="auto"/>
              <w:rPr>
                <w:rFonts w:ascii="Arial" w:hAnsi="Arial" w:cs="Arial"/>
                <w:b/>
              </w:rPr>
            </w:pPr>
            <w:r w:rsidRPr="000E62B8">
              <w:rPr>
                <w:rFonts w:ascii="Arial" w:hAnsi="Arial" w:cs="Arial"/>
                <w:b/>
              </w:rPr>
              <w:t>Relevance of project</w:t>
            </w:r>
          </w:p>
          <w:p w14:paraId="64472B7C" w14:textId="77777777" w:rsidR="00A433E1" w:rsidRPr="000E62B8" w:rsidRDefault="00A433E1" w:rsidP="000E62B8">
            <w:pPr>
              <w:spacing w:line="360" w:lineRule="auto"/>
              <w:rPr>
                <w:rFonts w:ascii="Arial" w:hAnsi="Arial" w:cs="Arial"/>
              </w:rPr>
            </w:pPr>
            <w:r w:rsidRPr="000E62B8">
              <w:rPr>
                <w:rFonts w:ascii="Arial" w:hAnsi="Arial" w:cs="Arial"/>
              </w:rPr>
              <w:t xml:space="preserve">Based on your understanding of gaps in service provision in the West Midlands, please detail how your project will help address the </w:t>
            </w:r>
            <w:r w:rsidR="004F6573" w:rsidRPr="000E62B8">
              <w:rPr>
                <w:rFonts w:ascii="Arial" w:hAnsi="Arial" w:cs="Arial"/>
              </w:rPr>
              <w:t xml:space="preserve">needs of victims of hate crime. </w:t>
            </w:r>
          </w:p>
          <w:p w14:paraId="195C23FE" w14:textId="77777777" w:rsidR="004F6573" w:rsidRPr="000E62B8" w:rsidRDefault="004F6573" w:rsidP="000E62B8">
            <w:pPr>
              <w:spacing w:line="360" w:lineRule="auto"/>
              <w:rPr>
                <w:rFonts w:ascii="Arial" w:hAnsi="Arial" w:cs="Arial"/>
              </w:rPr>
            </w:pPr>
            <w:r w:rsidRPr="000E62B8">
              <w:rPr>
                <w:rFonts w:ascii="Arial" w:hAnsi="Arial" w:cs="Arial"/>
              </w:rPr>
              <w:t xml:space="preserve">How do the project objectives align with the priorities of the WMPCC Police and Crime Plan 2016-2020? </w:t>
            </w:r>
          </w:p>
        </w:tc>
        <w:tc>
          <w:tcPr>
            <w:tcW w:w="1332" w:type="dxa"/>
            <w:shd w:val="clear" w:color="auto" w:fill="auto"/>
          </w:tcPr>
          <w:p w14:paraId="7EDD88FB" w14:textId="77777777" w:rsidR="00312306" w:rsidRPr="000E62B8" w:rsidRDefault="00312306" w:rsidP="000E62B8">
            <w:pPr>
              <w:spacing w:line="360" w:lineRule="auto"/>
              <w:rPr>
                <w:rFonts w:ascii="Arial" w:hAnsi="Arial" w:cs="Arial"/>
                <w:b/>
              </w:rPr>
            </w:pPr>
            <w:r w:rsidRPr="000E62B8">
              <w:rPr>
                <w:rFonts w:ascii="Arial" w:hAnsi="Arial" w:cs="Arial"/>
                <w:b/>
              </w:rPr>
              <w:t>25</w:t>
            </w:r>
          </w:p>
        </w:tc>
      </w:tr>
      <w:tr w:rsidR="00312306" w:rsidRPr="000E62B8" w14:paraId="5EE8204E" w14:textId="77777777" w:rsidTr="004023E8">
        <w:trPr>
          <w:trHeight w:val="395"/>
        </w:trPr>
        <w:tc>
          <w:tcPr>
            <w:tcW w:w="417" w:type="dxa"/>
          </w:tcPr>
          <w:p w14:paraId="22DC44DA" w14:textId="77777777" w:rsidR="00312306" w:rsidRPr="000E62B8" w:rsidRDefault="00312306" w:rsidP="000E62B8">
            <w:pPr>
              <w:spacing w:line="360" w:lineRule="auto"/>
              <w:rPr>
                <w:rFonts w:ascii="Arial" w:hAnsi="Arial" w:cs="Arial"/>
                <w:b/>
              </w:rPr>
            </w:pPr>
            <w:r w:rsidRPr="000E62B8">
              <w:rPr>
                <w:rFonts w:ascii="Arial" w:hAnsi="Arial" w:cs="Arial"/>
                <w:b/>
              </w:rPr>
              <w:t>4.</w:t>
            </w:r>
          </w:p>
        </w:tc>
        <w:tc>
          <w:tcPr>
            <w:tcW w:w="6773" w:type="dxa"/>
            <w:shd w:val="clear" w:color="auto" w:fill="auto"/>
          </w:tcPr>
          <w:p w14:paraId="774A27DF" w14:textId="77777777" w:rsidR="00312306" w:rsidRPr="000E62B8" w:rsidRDefault="00312306" w:rsidP="000E62B8">
            <w:pPr>
              <w:spacing w:line="360" w:lineRule="auto"/>
              <w:rPr>
                <w:rFonts w:ascii="Arial" w:hAnsi="Arial" w:cs="Arial"/>
                <w:b/>
              </w:rPr>
            </w:pPr>
            <w:r w:rsidRPr="000E62B8">
              <w:rPr>
                <w:rFonts w:ascii="Arial" w:hAnsi="Arial" w:cs="Arial"/>
                <w:b/>
              </w:rPr>
              <w:t xml:space="preserve">Staff roles and suitability of staff for those roles: A clear and detailed description of the resources to be deployed, task </w:t>
            </w:r>
            <w:r w:rsidRPr="000E62B8">
              <w:rPr>
                <w:rFonts w:ascii="Arial" w:hAnsi="Arial" w:cs="Arial"/>
                <w:b/>
              </w:rPr>
              <w:lastRenderedPageBreak/>
              <w:t xml:space="preserve">allocation (including evidence of the suitability of the personnel proposed for this </w:t>
            </w:r>
            <w:r w:rsidR="00196A13" w:rsidRPr="000E62B8">
              <w:rPr>
                <w:rFonts w:ascii="Arial" w:hAnsi="Arial" w:cs="Arial"/>
                <w:b/>
              </w:rPr>
              <w:t>service</w:t>
            </w:r>
          </w:p>
          <w:p w14:paraId="72E89D8E" w14:textId="77777777" w:rsidR="00312306" w:rsidRPr="000E62B8" w:rsidRDefault="00312306" w:rsidP="000E62B8">
            <w:pPr>
              <w:spacing w:line="360" w:lineRule="auto"/>
              <w:rPr>
                <w:rFonts w:ascii="Arial" w:hAnsi="Arial" w:cs="Arial"/>
              </w:rPr>
            </w:pPr>
            <w:r w:rsidRPr="000E62B8">
              <w:rPr>
                <w:rFonts w:ascii="Arial" w:hAnsi="Arial" w:cs="Arial"/>
                <w:u w:val="single"/>
              </w:rPr>
              <w:t>Guidance to applicants</w:t>
            </w:r>
            <w:r w:rsidRPr="000E62B8">
              <w:rPr>
                <w:rFonts w:ascii="Arial" w:hAnsi="Arial" w:cs="Arial"/>
              </w:rPr>
              <w:t>: Provide a list of the staff that will be involved in the project at all levels, as well as their specific role in this project and estimated time they will spend on the project. The list should briefly highlight their relevant experience and expertise (e.g. with reference to similar projects they have been involved in).</w:t>
            </w:r>
          </w:p>
          <w:p w14:paraId="60F1410D" w14:textId="77777777" w:rsidR="00312306" w:rsidRPr="000E62B8" w:rsidRDefault="00312306" w:rsidP="000E62B8">
            <w:pPr>
              <w:spacing w:line="360" w:lineRule="auto"/>
              <w:rPr>
                <w:rFonts w:ascii="Arial" w:hAnsi="Arial" w:cs="Arial"/>
              </w:rPr>
            </w:pPr>
            <w:r w:rsidRPr="000E62B8">
              <w:rPr>
                <w:rFonts w:ascii="Arial" w:hAnsi="Arial" w:cs="Arial"/>
              </w:rPr>
              <w:t xml:space="preserve">Provide information on the data security processes, including storage and transmission of personal data, and data protection processes that will be followed. </w:t>
            </w:r>
          </w:p>
        </w:tc>
        <w:tc>
          <w:tcPr>
            <w:tcW w:w="1332" w:type="dxa"/>
            <w:shd w:val="clear" w:color="auto" w:fill="auto"/>
          </w:tcPr>
          <w:p w14:paraId="2259824A" w14:textId="77777777" w:rsidR="00312306" w:rsidRPr="000E62B8" w:rsidRDefault="00312306" w:rsidP="000E62B8">
            <w:pPr>
              <w:spacing w:line="360" w:lineRule="auto"/>
              <w:rPr>
                <w:rFonts w:ascii="Arial" w:hAnsi="Arial" w:cs="Arial"/>
                <w:b/>
              </w:rPr>
            </w:pPr>
            <w:r w:rsidRPr="000E62B8">
              <w:rPr>
                <w:rFonts w:ascii="Arial" w:hAnsi="Arial" w:cs="Arial"/>
                <w:b/>
              </w:rPr>
              <w:lastRenderedPageBreak/>
              <w:t>10</w:t>
            </w:r>
          </w:p>
        </w:tc>
      </w:tr>
      <w:tr w:rsidR="00312306" w:rsidRPr="000E62B8" w14:paraId="77433EA2" w14:textId="77777777" w:rsidTr="004023E8">
        <w:trPr>
          <w:trHeight w:val="420"/>
        </w:trPr>
        <w:tc>
          <w:tcPr>
            <w:tcW w:w="417" w:type="dxa"/>
          </w:tcPr>
          <w:p w14:paraId="0A2C3EDC" w14:textId="77777777" w:rsidR="00312306" w:rsidRPr="000E62B8" w:rsidRDefault="00312306" w:rsidP="000E62B8">
            <w:pPr>
              <w:spacing w:line="360" w:lineRule="auto"/>
              <w:rPr>
                <w:rFonts w:ascii="Arial" w:hAnsi="Arial" w:cs="Arial"/>
                <w:b/>
              </w:rPr>
            </w:pPr>
            <w:r w:rsidRPr="000E62B8">
              <w:rPr>
                <w:rFonts w:ascii="Arial" w:hAnsi="Arial" w:cs="Arial"/>
                <w:b/>
              </w:rPr>
              <w:t>5.</w:t>
            </w:r>
          </w:p>
        </w:tc>
        <w:tc>
          <w:tcPr>
            <w:tcW w:w="6773" w:type="dxa"/>
            <w:shd w:val="clear" w:color="auto" w:fill="auto"/>
          </w:tcPr>
          <w:p w14:paraId="5E742E53" w14:textId="7600A06B" w:rsidR="00B91BC9" w:rsidRPr="004D4196" w:rsidRDefault="003A306D" w:rsidP="000E62B8">
            <w:pPr>
              <w:spacing w:line="360" w:lineRule="auto"/>
              <w:rPr>
                <w:rFonts w:ascii="Arial" w:hAnsi="Arial" w:cs="Arial"/>
                <w:b/>
              </w:rPr>
            </w:pPr>
            <w:r w:rsidRPr="004D4196">
              <w:rPr>
                <w:rFonts w:ascii="Arial" w:hAnsi="Arial" w:cs="Arial"/>
                <w:b/>
              </w:rPr>
              <w:t>The OPCC will assess</w:t>
            </w:r>
            <w:r w:rsidR="00B91BC9" w:rsidRPr="004D4196">
              <w:rPr>
                <w:rFonts w:ascii="Arial" w:hAnsi="Arial" w:cs="Arial"/>
                <w:b/>
              </w:rPr>
              <w:t xml:space="preserve"> how organisations applying for funding will ensure staff to be hired meet the criteria for working with vulnerable people. </w:t>
            </w:r>
          </w:p>
          <w:p w14:paraId="2A220D08" w14:textId="77777777" w:rsidR="00295F4C" w:rsidRPr="000E62B8" w:rsidRDefault="00B91BC9" w:rsidP="000E62B8">
            <w:pPr>
              <w:spacing w:line="360" w:lineRule="auto"/>
              <w:rPr>
                <w:rFonts w:ascii="Arial" w:hAnsi="Arial" w:cs="Arial"/>
              </w:rPr>
            </w:pPr>
            <w:r w:rsidRPr="000E62B8">
              <w:rPr>
                <w:rFonts w:ascii="Arial" w:hAnsi="Arial" w:cs="Arial"/>
              </w:rPr>
              <w:t>Applicants to evidence how due diligence checks are conducted in addition to submitting the following organisational policies:</w:t>
            </w:r>
          </w:p>
          <w:p w14:paraId="775AAE71" w14:textId="77777777" w:rsidR="00B91BC9" w:rsidRPr="000E62B8" w:rsidRDefault="00B91BC9" w:rsidP="000E62B8">
            <w:pPr>
              <w:pStyle w:val="ListParagraph"/>
              <w:numPr>
                <w:ilvl w:val="0"/>
                <w:numId w:val="21"/>
              </w:numPr>
              <w:spacing w:line="360" w:lineRule="auto"/>
              <w:rPr>
                <w:rFonts w:ascii="Arial" w:hAnsi="Arial" w:cs="Arial"/>
              </w:rPr>
            </w:pPr>
            <w:r w:rsidRPr="000E62B8">
              <w:rPr>
                <w:rFonts w:ascii="Arial" w:hAnsi="Arial" w:cs="Arial"/>
              </w:rPr>
              <w:t>Vulnerable adult and child safeguarding policies</w:t>
            </w:r>
          </w:p>
          <w:p w14:paraId="6CE30A47" w14:textId="77777777" w:rsidR="00B91BC9" w:rsidRPr="000E62B8" w:rsidRDefault="00B91BC9" w:rsidP="000E62B8">
            <w:pPr>
              <w:pStyle w:val="ListParagraph"/>
              <w:numPr>
                <w:ilvl w:val="0"/>
                <w:numId w:val="21"/>
              </w:numPr>
              <w:spacing w:line="360" w:lineRule="auto"/>
              <w:rPr>
                <w:rFonts w:ascii="Arial" w:hAnsi="Arial" w:cs="Arial"/>
              </w:rPr>
            </w:pPr>
            <w:r w:rsidRPr="000E62B8">
              <w:rPr>
                <w:rFonts w:ascii="Arial" w:hAnsi="Arial" w:cs="Arial"/>
              </w:rPr>
              <w:t>Data protection policy</w:t>
            </w:r>
          </w:p>
          <w:p w14:paraId="5D0E2EEA" w14:textId="77777777" w:rsidR="00B91BC9" w:rsidRPr="000E62B8" w:rsidRDefault="00B91BC9" w:rsidP="000E62B8">
            <w:pPr>
              <w:pStyle w:val="ListParagraph"/>
              <w:numPr>
                <w:ilvl w:val="0"/>
                <w:numId w:val="21"/>
              </w:numPr>
              <w:spacing w:line="360" w:lineRule="auto"/>
              <w:rPr>
                <w:rFonts w:ascii="Arial" w:hAnsi="Arial" w:cs="Arial"/>
              </w:rPr>
            </w:pPr>
            <w:r w:rsidRPr="000E62B8">
              <w:rPr>
                <w:rFonts w:ascii="Arial" w:hAnsi="Arial" w:cs="Arial"/>
              </w:rPr>
              <w:t>Equality &amp; Diversity Policy</w:t>
            </w:r>
          </w:p>
        </w:tc>
        <w:tc>
          <w:tcPr>
            <w:tcW w:w="1332" w:type="dxa"/>
            <w:shd w:val="clear" w:color="auto" w:fill="auto"/>
          </w:tcPr>
          <w:p w14:paraId="042AC138" w14:textId="77777777" w:rsidR="00312306" w:rsidRPr="000E62B8" w:rsidRDefault="00312306" w:rsidP="000E62B8">
            <w:pPr>
              <w:spacing w:line="360" w:lineRule="auto"/>
              <w:rPr>
                <w:rFonts w:ascii="Arial" w:hAnsi="Arial" w:cs="Arial"/>
                <w:b/>
              </w:rPr>
            </w:pPr>
            <w:r w:rsidRPr="000E62B8">
              <w:rPr>
                <w:rFonts w:ascii="Arial" w:hAnsi="Arial" w:cs="Arial"/>
                <w:b/>
              </w:rPr>
              <w:t>10</w:t>
            </w:r>
          </w:p>
        </w:tc>
      </w:tr>
      <w:tr w:rsidR="00312306" w:rsidRPr="000E62B8" w14:paraId="37A6FC5B" w14:textId="77777777" w:rsidTr="004023E8">
        <w:trPr>
          <w:trHeight w:val="363"/>
        </w:trPr>
        <w:tc>
          <w:tcPr>
            <w:tcW w:w="417" w:type="dxa"/>
          </w:tcPr>
          <w:p w14:paraId="69C6BD04" w14:textId="77777777" w:rsidR="00312306" w:rsidRPr="000E62B8" w:rsidRDefault="00312306" w:rsidP="000E62B8">
            <w:pPr>
              <w:spacing w:line="360" w:lineRule="auto"/>
              <w:rPr>
                <w:rFonts w:ascii="Arial" w:hAnsi="Arial" w:cs="Arial"/>
                <w:b/>
                <w:bCs/>
              </w:rPr>
            </w:pPr>
            <w:r w:rsidRPr="000E62B8">
              <w:rPr>
                <w:rFonts w:ascii="Arial" w:hAnsi="Arial" w:cs="Arial"/>
                <w:b/>
                <w:bCs/>
              </w:rPr>
              <w:t>6.</w:t>
            </w:r>
          </w:p>
        </w:tc>
        <w:tc>
          <w:tcPr>
            <w:tcW w:w="6773" w:type="dxa"/>
            <w:shd w:val="clear" w:color="auto" w:fill="auto"/>
          </w:tcPr>
          <w:p w14:paraId="084E3F83" w14:textId="77777777" w:rsidR="00312306" w:rsidRPr="004D4196" w:rsidRDefault="00312306" w:rsidP="000E62B8">
            <w:pPr>
              <w:spacing w:line="360" w:lineRule="auto"/>
              <w:rPr>
                <w:rFonts w:ascii="Arial" w:hAnsi="Arial" w:cs="Arial"/>
                <w:b/>
                <w:bCs/>
              </w:rPr>
            </w:pPr>
            <w:r w:rsidRPr="004D4196">
              <w:rPr>
                <w:rFonts w:ascii="Arial" w:hAnsi="Arial" w:cs="Arial"/>
                <w:b/>
                <w:bCs/>
              </w:rPr>
              <w:t>Assessment of value for money weighing the quality of the bid with the costs in the submitted detailed price schedule</w:t>
            </w:r>
          </w:p>
          <w:p w14:paraId="3CE73E23" w14:textId="77777777" w:rsidR="00312306" w:rsidRPr="000E62B8" w:rsidRDefault="00312306" w:rsidP="000E62B8">
            <w:pPr>
              <w:spacing w:line="360" w:lineRule="auto"/>
              <w:rPr>
                <w:rFonts w:ascii="Arial" w:hAnsi="Arial" w:cs="Arial"/>
              </w:rPr>
            </w:pPr>
            <w:r w:rsidRPr="000E62B8">
              <w:rPr>
                <w:rFonts w:ascii="Arial" w:hAnsi="Arial" w:cs="Arial"/>
                <w:u w:val="single"/>
              </w:rPr>
              <w:t>Guidance to applicants</w:t>
            </w:r>
            <w:r w:rsidRPr="000E62B8">
              <w:rPr>
                <w:rFonts w:ascii="Arial" w:hAnsi="Arial" w:cs="Arial"/>
              </w:rPr>
              <w:t xml:space="preserve">: The panel will weigh the quality of the bid as set out in the previous sections against the total cost of the evaluation which should be quoted in sterling (excl. and incl. VAT). Separate aspects of the evaluation are to be individually priced and attributed to specific members of the project team along with the estimated number of </w:t>
            </w:r>
            <w:bookmarkStart w:id="1" w:name="_GoBack"/>
            <w:r w:rsidRPr="000E62B8">
              <w:rPr>
                <w:rFonts w:ascii="Arial" w:hAnsi="Arial" w:cs="Arial"/>
              </w:rPr>
              <w:t>day</w:t>
            </w:r>
            <w:bookmarkEnd w:id="1"/>
            <w:r w:rsidRPr="000E62B8">
              <w:rPr>
                <w:rFonts w:ascii="Arial" w:hAnsi="Arial" w:cs="Arial"/>
              </w:rPr>
              <w:t xml:space="preserve">s clearly stated and day rates for project team included (exc. VAT).  In particular cost of a follow up phase and report to look at longer-term outputs should be costed separately. </w:t>
            </w:r>
          </w:p>
          <w:p w14:paraId="0E478B60" w14:textId="77777777" w:rsidR="00312306" w:rsidRPr="000E62B8" w:rsidRDefault="00312306" w:rsidP="000E62B8">
            <w:pPr>
              <w:spacing w:line="360" w:lineRule="auto"/>
              <w:rPr>
                <w:rFonts w:ascii="Arial" w:hAnsi="Arial" w:cs="Arial"/>
              </w:rPr>
            </w:pPr>
            <w:r w:rsidRPr="000E62B8">
              <w:rPr>
                <w:rFonts w:ascii="Arial" w:hAnsi="Arial" w:cs="Arial"/>
              </w:rPr>
              <w:t>Fees should be inclusive of the time and travel costs for meetings, face-to-face interviews, etc.</w:t>
            </w:r>
          </w:p>
        </w:tc>
        <w:tc>
          <w:tcPr>
            <w:tcW w:w="1332" w:type="dxa"/>
            <w:shd w:val="clear" w:color="auto" w:fill="auto"/>
          </w:tcPr>
          <w:p w14:paraId="69BAA05D" w14:textId="77777777" w:rsidR="00312306" w:rsidRPr="000E62B8" w:rsidRDefault="00312306" w:rsidP="000E62B8">
            <w:pPr>
              <w:spacing w:line="360" w:lineRule="auto"/>
              <w:rPr>
                <w:rFonts w:ascii="Arial" w:hAnsi="Arial" w:cs="Arial"/>
                <w:b/>
              </w:rPr>
            </w:pPr>
            <w:r w:rsidRPr="000E62B8">
              <w:rPr>
                <w:rFonts w:ascii="Arial" w:hAnsi="Arial" w:cs="Arial"/>
                <w:b/>
              </w:rPr>
              <w:t>10</w:t>
            </w:r>
          </w:p>
        </w:tc>
      </w:tr>
    </w:tbl>
    <w:p w14:paraId="1C2C1078" w14:textId="77777777" w:rsidR="00312306" w:rsidRPr="000E62B8" w:rsidRDefault="00312306" w:rsidP="000E62B8">
      <w:pPr>
        <w:spacing w:line="360" w:lineRule="auto"/>
        <w:rPr>
          <w:rFonts w:ascii="Arial" w:hAnsi="Arial" w:cs="Arial"/>
        </w:rPr>
      </w:pPr>
    </w:p>
    <w:bookmarkEnd w:id="0"/>
    <w:p w14:paraId="2A08964F" w14:textId="02E7DF21" w:rsidR="00312306" w:rsidRPr="000E62B8" w:rsidRDefault="00A40812" w:rsidP="000E62B8">
      <w:pPr>
        <w:spacing w:line="360" w:lineRule="auto"/>
        <w:rPr>
          <w:rFonts w:ascii="Arial" w:hAnsi="Arial" w:cs="Arial"/>
          <w:b/>
        </w:rPr>
      </w:pPr>
      <w:r w:rsidRPr="000E62B8">
        <w:rPr>
          <w:rFonts w:ascii="Arial" w:hAnsi="Arial" w:cs="Arial"/>
          <w:b/>
        </w:rPr>
        <w:lastRenderedPageBreak/>
        <w:t xml:space="preserve">Service Delivery </w:t>
      </w:r>
    </w:p>
    <w:p w14:paraId="6B04250E" w14:textId="5D6A3E29" w:rsidR="00021357" w:rsidRPr="000E62B8" w:rsidRDefault="00A40812" w:rsidP="000E62B8">
      <w:pPr>
        <w:spacing w:line="360" w:lineRule="auto"/>
        <w:rPr>
          <w:rFonts w:ascii="Arial" w:hAnsi="Arial" w:cs="Arial"/>
        </w:rPr>
      </w:pPr>
      <w:r w:rsidRPr="000E62B8">
        <w:rPr>
          <w:rFonts w:ascii="Arial" w:hAnsi="Arial" w:cs="Arial"/>
        </w:rPr>
        <w:t>All projects are to be delivered within twelve months from the date of commencement, a</w:t>
      </w:r>
      <w:r w:rsidR="00312306" w:rsidRPr="000E62B8">
        <w:rPr>
          <w:rFonts w:ascii="Arial" w:hAnsi="Arial" w:cs="Arial"/>
        </w:rPr>
        <w:t>ny variations to these milestones must be agreed, in advance, with the OPCC and confirmed in writing.</w:t>
      </w:r>
    </w:p>
    <w:p w14:paraId="190E75FC" w14:textId="77777777" w:rsidR="00021357" w:rsidRPr="000E62B8" w:rsidRDefault="00021357" w:rsidP="000E62B8">
      <w:pPr>
        <w:spacing w:line="360" w:lineRule="auto"/>
        <w:rPr>
          <w:rFonts w:ascii="Arial" w:hAnsi="Arial" w:cs="Arial"/>
        </w:rPr>
      </w:pPr>
    </w:p>
    <w:p w14:paraId="5AD10D9A" w14:textId="77777777" w:rsidR="00021357" w:rsidRDefault="00021357"/>
    <w:p w14:paraId="2103AA9C" w14:textId="77777777" w:rsidR="00021357" w:rsidRDefault="00021357"/>
    <w:sectPr w:rsidR="000213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E0BB0" w14:textId="77777777" w:rsidR="007A527D" w:rsidRDefault="007A527D" w:rsidP="00972E6F">
      <w:pPr>
        <w:spacing w:after="0" w:line="240" w:lineRule="auto"/>
      </w:pPr>
      <w:r>
        <w:separator/>
      </w:r>
    </w:p>
  </w:endnote>
  <w:endnote w:type="continuationSeparator" w:id="0">
    <w:p w14:paraId="74463807" w14:textId="77777777" w:rsidR="007A527D" w:rsidRDefault="007A527D" w:rsidP="0097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57586"/>
      <w:docPartObj>
        <w:docPartGallery w:val="Page Numbers (Bottom of Page)"/>
        <w:docPartUnique/>
      </w:docPartObj>
    </w:sdtPr>
    <w:sdtEndPr>
      <w:rPr>
        <w:noProof/>
      </w:rPr>
    </w:sdtEndPr>
    <w:sdtContent>
      <w:p w14:paraId="6B7DD37C" w14:textId="57882790" w:rsidR="006A6C67" w:rsidRDefault="006A6C67">
        <w:pPr>
          <w:pStyle w:val="Footer"/>
          <w:jc w:val="right"/>
        </w:pPr>
        <w:r>
          <w:fldChar w:fldCharType="begin"/>
        </w:r>
        <w:r>
          <w:instrText xml:space="preserve"> PAGE   \* MERGEFORMAT </w:instrText>
        </w:r>
        <w:r>
          <w:fldChar w:fldCharType="separate"/>
        </w:r>
        <w:r w:rsidR="00DB562F">
          <w:rPr>
            <w:noProof/>
          </w:rPr>
          <w:t>15</w:t>
        </w:r>
        <w:r>
          <w:rPr>
            <w:noProof/>
          </w:rPr>
          <w:fldChar w:fldCharType="end"/>
        </w:r>
      </w:p>
    </w:sdtContent>
  </w:sdt>
  <w:p w14:paraId="55272B17" w14:textId="77777777" w:rsidR="006A6C67" w:rsidRDefault="006A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045A" w14:textId="77777777" w:rsidR="007A527D" w:rsidRDefault="007A527D" w:rsidP="00972E6F">
      <w:pPr>
        <w:spacing w:after="0" w:line="240" w:lineRule="auto"/>
      </w:pPr>
      <w:r>
        <w:separator/>
      </w:r>
    </w:p>
  </w:footnote>
  <w:footnote w:type="continuationSeparator" w:id="0">
    <w:p w14:paraId="6DC86DAD" w14:textId="77777777" w:rsidR="007A527D" w:rsidRDefault="007A527D" w:rsidP="00972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276"/>
      </v:shape>
    </w:pict>
  </w:numPicBullet>
  <w:abstractNum w:abstractNumId="0" w15:restartNumberingAfterBreak="0">
    <w:nsid w:val="0603494D"/>
    <w:multiLevelType w:val="hybridMultilevel"/>
    <w:tmpl w:val="A988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F39A6"/>
    <w:multiLevelType w:val="hybridMultilevel"/>
    <w:tmpl w:val="8F44B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1E4B"/>
    <w:multiLevelType w:val="hybridMultilevel"/>
    <w:tmpl w:val="81DC3B32"/>
    <w:lvl w:ilvl="0" w:tplc="43FA483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B3579D"/>
    <w:multiLevelType w:val="multilevel"/>
    <w:tmpl w:val="DFAE8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7C6F37"/>
    <w:multiLevelType w:val="hybridMultilevel"/>
    <w:tmpl w:val="CB42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7653B"/>
    <w:multiLevelType w:val="hybridMultilevel"/>
    <w:tmpl w:val="A3E8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635B"/>
    <w:multiLevelType w:val="hybridMultilevel"/>
    <w:tmpl w:val="E968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4AA9"/>
    <w:multiLevelType w:val="hybridMultilevel"/>
    <w:tmpl w:val="3844F3A2"/>
    <w:lvl w:ilvl="0" w:tplc="08090001">
      <w:start w:val="1"/>
      <w:numFmt w:val="bullet"/>
      <w:lvlText w:val=""/>
      <w:lvlJc w:val="left"/>
      <w:pPr>
        <w:ind w:left="720" w:hanging="360"/>
      </w:pPr>
      <w:rPr>
        <w:rFonts w:ascii="Symbol" w:hAnsi="Symbol" w:hint="default"/>
      </w:rPr>
    </w:lvl>
    <w:lvl w:ilvl="1" w:tplc="474209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E7D7F"/>
    <w:multiLevelType w:val="hybridMultilevel"/>
    <w:tmpl w:val="35AC9954"/>
    <w:lvl w:ilvl="0" w:tplc="08090001">
      <w:start w:val="1"/>
      <w:numFmt w:val="bullet"/>
      <w:lvlText w:val=""/>
      <w:lvlJc w:val="left"/>
      <w:pPr>
        <w:ind w:left="720" w:hanging="360"/>
      </w:pPr>
      <w:rPr>
        <w:rFonts w:ascii="Symbol" w:hAnsi="Symbol" w:hint="default"/>
      </w:rPr>
    </w:lvl>
    <w:lvl w:ilvl="1" w:tplc="D78CA9B2">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E58E4"/>
    <w:multiLevelType w:val="hybridMultilevel"/>
    <w:tmpl w:val="C7E088DE"/>
    <w:lvl w:ilvl="0" w:tplc="05E0D0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73363A"/>
    <w:multiLevelType w:val="hybridMultilevel"/>
    <w:tmpl w:val="2088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50829"/>
    <w:multiLevelType w:val="hybridMultilevel"/>
    <w:tmpl w:val="7420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E5322"/>
    <w:multiLevelType w:val="hybridMultilevel"/>
    <w:tmpl w:val="17FA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631A"/>
    <w:multiLevelType w:val="hybridMultilevel"/>
    <w:tmpl w:val="13FE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272FC"/>
    <w:multiLevelType w:val="hybridMultilevel"/>
    <w:tmpl w:val="18AE4300"/>
    <w:lvl w:ilvl="0" w:tplc="08090001">
      <w:start w:val="1"/>
      <w:numFmt w:val="bullet"/>
      <w:lvlText w:val=""/>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07110"/>
    <w:multiLevelType w:val="hybridMultilevel"/>
    <w:tmpl w:val="A0A2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34662"/>
    <w:multiLevelType w:val="hybridMultilevel"/>
    <w:tmpl w:val="D83A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42FCA"/>
    <w:multiLevelType w:val="hybridMultilevel"/>
    <w:tmpl w:val="350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33B95"/>
    <w:multiLevelType w:val="hybridMultilevel"/>
    <w:tmpl w:val="19B0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7ED"/>
    <w:multiLevelType w:val="hybridMultilevel"/>
    <w:tmpl w:val="FF98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3239F"/>
    <w:multiLevelType w:val="hybridMultilevel"/>
    <w:tmpl w:val="315CE7B8"/>
    <w:lvl w:ilvl="0" w:tplc="BCB27120">
      <w:start w:val="8"/>
      <w:numFmt w:val="bullet"/>
      <w:lvlText w:val="-"/>
      <w:lvlJc w:val="left"/>
      <w:pPr>
        <w:ind w:left="72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01840"/>
    <w:multiLevelType w:val="hybridMultilevel"/>
    <w:tmpl w:val="E712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55CB1"/>
    <w:multiLevelType w:val="hybridMultilevel"/>
    <w:tmpl w:val="ED9866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B5901"/>
    <w:multiLevelType w:val="hybridMultilevel"/>
    <w:tmpl w:val="77BC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02BF7"/>
    <w:multiLevelType w:val="hybridMultilevel"/>
    <w:tmpl w:val="BAB6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1108D"/>
    <w:multiLevelType w:val="hybridMultilevel"/>
    <w:tmpl w:val="63D6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86AD4"/>
    <w:multiLevelType w:val="hybridMultilevel"/>
    <w:tmpl w:val="3AE0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6A32"/>
    <w:multiLevelType w:val="hybridMultilevel"/>
    <w:tmpl w:val="8E8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D61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734B60"/>
    <w:multiLevelType w:val="hybridMultilevel"/>
    <w:tmpl w:val="CE263D54"/>
    <w:lvl w:ilvl="0" w:tplc="08090001">
      <w:start w:val="1"/>
      <w:numFmt w:val="bullet"/>
      <w:lvlText w:val=""/>
      <w:lvlJc w:val="left"/>
      <w:pPr>
        <w:ind w:left="720" w:hanging="360"/>
      </w:pPr>
      <w:rPr>
        <w:rFonts w:ascii="Symbol" w:hAnsi="Symbol" w:hint="default"/>
      </w:rPr>
    </w:lvl>
    <w:lvl w:ilvl="1" w:tplc="1D7EF5CE">
      <w:numFmt w:val="bullet"/>
      <w:lvlText w:val="-"/>
      <w:lvlJc w:val="left"/>
      <w:pPr>
        <w:ind w:left="2010" w:hanging="93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6"/>
  </w:num>
  <w:num w:numId="4">
    <w:abstractNumId w:val="29"/>
  </w:num>
  <w:num w:numId="5">
    <w:abstractNumId w:val="18"/>
  </w:num>
  <w:num w:numId="6">
    <w:abstractNumId w:val="28"/>
  </w:num>
  <w:num w:numId="7">
    <w:abstractNumId w:val="8"/>
  </w:num>
  <w:num w:numId="8">
    <w:abstractNumId w:val="21"/>
  </w:num>
  <w:num w:numId="9">
    <w:abstractNumId w:val="12"/>
  </w:num>
  <w:num w:numId="10">
    <w:abstractNumId w:val="7"/>
  </w:num>
  <w:num w:numId="11">
    <w:abstractNumId w:val="11"/>
  </w:num>
  <w:num w:numId="12">
    <w:abstractNumId w:val="17"/>
  </w:num>
  <w:num w:numId="13">
    <w:abstractNumId w:val="0"/>
  </w:num>
  <w:num w:numId="14">
    <w:abstractNumId w:val="23"/>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24"/>
  </w:num>
  <w:num w:numId="20">
    <w:abstractNumId w:val="13"/>
  </w:num>
  <w:num w:numId="21">
    <w:abstractNumId w:val="6"/>
  </w:num>
  <w:num w:numId="22">
    <w:abstractNumId w:val="15"/>
  </w:num>
  <w:num w:numId="23">
    <w:abstractNumId w:val="19"/>
  </w:num>
  <w:num w:numId="24">
    <w:abstractNumId w:val="16"/>
  </w:num>
  <w:num w:numId="25">
    <w:abstractNumId w:val="27"/>
  </w:num>
  <w:num w:numId="26">
    <w:abstractNumId w:val="9"/>
  </w:num>
  <w:num w:numId="27">
    <w:abstractNumId w:val="1"/>
  </w:num>
  <w:num w:numId="28">
    <w:abstractNumId w:val="14"/>
  </w:num>
  <w:num w:numId="29">
    <w:abstractNumId w:val="22"/>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6F"/>
    <w:rsid w:val="000001A4"/>
    <w:rsid w:val="00021357"/>
    <w:rsid w:val="00041A98"/>
    <w:rsid w:val="000C6903"/>
    <w:rsid w:val="000D6A5F"/>
    <w:rsid w:val="000E62B8"/>
    <w:rsid w:val="000F452A"/>
    <w:rsid w:val="00104310"/>
    <w:rsid w:val="001468AB"/>
    <w:rsid w:val="00153207"/>
    <w:rsid w:val="00153EF5"/>
    <w:rsid w:val="0016672B"/>
    <w:rsid w:val="001802F2"/>
    <w:rsid w:val="00182490"/>
    <w:rsid w:val="00196A13"/>
    <w:rsid w:val="001A5A26"/>
    <w:rsid w:val="001E1499"/>
    <w:rsid w:val="00224D9A"/>
    <w:rsid w:val="002565CC"/>
    <w:rsid w:val="00295F4C"/>
    <w:rsid w:val="002A7FFC"/>
    <w:rsid w:val="002F11AD"/>
    <w:rsid w:val="00312306"/>
    <w:rsid w:val="00321CF2"/>
    <w:rsid w:val="003539E4"/>
    <w:rsid w:val="003864D0"/>
    <w:rsid w:val="003A306D"/>
    <w:rsid w:val="003C0553"/>
    <w:rsid w:val="003C6178"/>
    <w:rsid w:val="00403244"/>
    <w:rsid w:val="00451489"/>
    <w:rsid w:val="0045678C"/>
    <w:rsid w:val="004A4EEB"/>
    <w:rsid w:val="004D4196"/>
    <w:rsid w:val="004F6573"/>
    <w:rsid w:val="00504877"/>
    <w:rsid w:val="00523E15"/>
    <w:rsid w:val="005305B9"/>
    <w:rsid w:val="0059074E"/>
    <w:rsid w:val="00591528"/>
    <w:rsid w:val="005A63E4"/>
    <w:rsid w:val="005B42C1"/>
    <w:rsid w:val="005B5AE8"/>
    <w:rsid w:val="00685299"/>
    <w:rsid w:val="006A2F96"/>
    <w:rsid w:val="006A6C67"/>
    <w:rsid w:val="006A6E27"/>
    <w:rsid w:val="006F3878"/>
    <w:rsid w:val="007A527D"/>
    <w:rsid w:val="007E0C3C"/>
    <w:rsid w:val="00806B21"/>
    <w:rsid w:val="0081647A"/>
    <w:rsid w:val="00820E24"/>
    <w:rsid w:val="00833522"/>
    <w:rsid w:val="00843B31"/>
    <w:rsid w:val="00871926"/>
    <w:rsid w:val="0088201A"/>
    <w:rsid w:val="008D0107"/>
    <w:rsid w:val="008D2CFC"/>
    <w:rsid w:val="00924F7B"/>
    <w:rsid w:val="00954542"/>
    <w:rsid w:val="00972E6F"/>
    <w:rsid w:val="009759B4"/>
    <w:rsid w:val="00981DA6"/>
    <w:rsid w:val="009841AB"/>
    <w:rsid w:val="009B6302"/>
    <w:rsid w:val="009C6BC0"/>
    <w:rsid w:val="00A04504"/>
    <w:rsid w:val="00A04ADA"/>
    <w:rsid w:val="00A1061A"/>
    <w:rsid w:val="00A3444D"/>
    <w:rsid w:val="00A406D0"/>
    <w:rsid w:val="00A40812"/>
    <w:rsid w:val="00A433E1"/>
    <w:rsid w:val="00A46B22"/>
    <w:rsid w:val="00A61617"/>
    <w:rsid w:val="00A62106"/>
    <w:rsid w:val="00AB5702"/>
    <w:rsid w:val="00AC3DBE"/>
    <w:rsid w:val="00AF32DE"/>
    <w:rsid w:val="00B17C7E"/>
    <w:rsid w:val="00B505C9"/>
    <w:rsid w:val="00B91BC9"/>
    <w:rsid w:val="00BC0DDB"/>
    <w:rsid w:val="00BC2F8D"/>
    <w:rsid w:val="00BC5824"/>
    <w:rsid w:val="00BC5C5E"/>
    <w:rsid w:val="00BD0EE1"/>
    <w:rsid w:val="00BE24D9"/>
    <w:rsid w:val="00C02805"/>
    <w:rsid w:val="00C356FA"/>
    <w:rsid w:val="00CA0EF4"/>
    <w:rsid w:val="00CC382E"/>
    <w:rsid w:val="00CE44A7"/>
    <w:rsid w:val="00D44DE7"/>
    <w:rsid w:val="00DB562F"/>
    <w:rsid w:val="00DD62DD"/>
    <w:rsid w:val="00DD7F36"/>
    <w:rsid w:val="00DF0A34"/>
    <w:rsid w:val="00E46C05"/>
    <w:rsid w:val="00E55523"/>
    <w:rsid w:val="00E860D7"/>
    <w:rsid w:val="00E940B3"/>
    <w:rsid w:val="00EC1B6F"/>
    <w:rsid w:val="00ED5F2B"/>
    <w:rsid w:val="00F22023"/>
    <w:rsid w:val="00F25457"/>
    <w:rsid w:val="00F45637"/>
    <w:rsid w:val="00F73B15"/>
    <w:rsid w:val="00F73F34"/>
    <w:rsid w:val="00F83B86"/>
    <w:rsid w:val="00FC23E4"/>
    <w:rsid w:val="00FE795B"/>
    <w:rsid w:val="00FF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DDB59"/>
  <w15:chartTrackingRefBased/>
  <w15:docId w15:val="{1B1EE5CC-E400-4C4D-B6C7-C3C6A131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6F"/>
  </w:style>
  <w:style w:type="paragraph" w:styleId="Footer">
    <w:name w:val="footer"/>
    <w:basedOn w:val="Normal"/>
    <w:link w:val="FooterChar"/>
    <w:uiPriority w:val="99"/>
    <w:unhideWhenUsed/>
    <w:rsid w:val="00972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6F"/>
  </w:style>
  <w:style w:type="paragraph" w:styleId="ListParagraph">
    <w:name w:val="List Paragraph"/>
    <w:basedOn w:val="Normal"/>
    <w:uiPriority w:val="34"/>
    <w:qFormat/>
    <w:rsid w:val="00972E6F"/>
    <w:pPr>
      <w:ind w:left="720"/>
      <w:contextualSpacing/>
    </w:pPr>
  </w:style>
  <w:style w:type="table" w:styleId="TableGrid">
    <w:name w:val="Table Grid"/>
    <w:basedOn w:val="TableNormal"/>
    <w:uiPriority w:val="39"/>
    <w:rsid w:val="005A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1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5824"/>
    <w:rPr>
      <w:sz w:val="16"/>
      <w:szCs w:val="16"/>
    </w:rPr>
  </w:style>
  <w:style w:type="paragraph" w:styleId="CommentText">
    <w:name w:val="annotation text"/>
    <w:basedOn w:val="Normal"/>
    <w:link w:val="CommentTextChar"/>
    <w:uiPriority w:val="99"/>
    <w:semiHidden/>
    <w:unhideWhenUsed/>
    <w:rsid w:val="00BC5824"/>
    <w:pPr>
      <w:spacing w:line="240" w:lineRule="auto"/>
    </w:pPr>
    <w:rPr>
      <w:sz w:val="20"/>
      <w:szCs w:val="20"/>
    </w:rPr>
  </w:style>
  <w:style w:type="character" w:customStyle="1" w:styleId="CommentTextChar">
    <w:name w:val="Comment Text Char"/>
    <w:basedOn w:val="DefaultParagraphFont"/>
    <w:link w:val="CommentText"/>
    <w:uiPriority w:val="99"/>
    <w:semiHidden/>
    <w:rsid w:val="00BC5824"/>
    <w:rPr>
      <w:sz w:val="20"/>
      <w:szCs w:val="20"/>
    </w:rPr>
  </w:style>
  <w:style w:type="paragraph" w:styleId="CommentSubject">
    <w:name w:val="annotation subject"/>
    <w:basedOn w:val="CommentText"/>
    <w:next w:val="CommentText"/>
    <w:link w:val="CommentSubjectChar"/>
    <w:uiPriority w:val="99"/>
    <w:semiHidden/>
    <w:unhideWhenUsed/>
    <w:rsid w:val="00BC5824"/>
    <w:rPr>
      <w:b/>
      <w:bCs/>
    </w:rPr>
  </w:style>
  <w:style w:type="character" w:customStyle="1" w:styleId="CommentSubjectChar">
    <w:name w:val="Comment Subject Char"/>
    <w:basedOn w:val="CommentTextChar"/>
    <w:link w:val="CommentSubject"/>
    <w:uiPriority w:val="99"/>
    <w:semiHidden/>
    <w:rsid w:val="00BC5824"/>
    <w:rPr>
      <w:b/>
      <w:bCs/>
      <w:sz w:val="20"/>
      <w:szCs w:val="20"/>
    </w:rPr>
  </w:style>
  <w:style w:type="paragraph" w:styleId="BalloonText">
    <w:name w:val="Balloon Text"/>
    <w:basedOn w:val="Normal"/>
    <w:link w:val="BalloonTextChar"/>
    <w:uiPriority w:val="99"/>
    <w:semiHidden/>
    <w:unhideWhenUsed/>
    <w:rsid w:val="00BC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47989">
      <w:bodyDiv w:val="1"/>
      <w:marLeft w:val="0"/>
      <w:marRight w:val="0"/>
      <w:marTop w:val="0"/>
      <w:marBottom w:val="0"/>
      <w:divBdr>
        <w:top w:val="none" w:sz="0" w:space="0" w:color="auto"/>
        <w:left w:val="none" w:sz="0" w:space="0" w:color="auto"/>
        <w:bottom w:val="none" w:sz="0" w:space="0" w:color="auto"/>
        <w:right w:val="none" w:sz="0" w:space="0" w:color="auto"/>
      </w:divBdr>
    </w:div>
    <w:div w:id="20776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634E5-05E6-48BE-B195-EEB09D06F691}" type="doc">
      <dgm:prSet loTypeId="urn:microsoft.com/office/officeart/2009/3/layout/HorizontalOrganizationChart" loCatId="hierarchy" qsTypeId="urn:microsoft.com/office/officeart/2005/8/quickstyle/3d2" qsCatId="3D" csTypeId="urn:microsoft.com/office/officeart/2005/8/colors/accent5_4" csCatId="accent5" phldr="1"/>
      <dgm:spPr/>
      <dgm:t>
        <a:bodyPr/>
        <a:lstStyle/>
        <a:p>
          <a:endParaRPr lang="en-GB"/>
        </a:p>
      </dgm:t>
    </dgm:pt>
    <dgm:pt modelId="{3C449AC3-3FAA-4A04-BF2B-D61651E50DE6}">
      <dgm:prSet phldrT="[Text]"/>
      <dgm:spPr/>
      <dgm:t>
        <a:bodyPr/>
        <a:lstStyle/>
        <a:p>
          <a:r>
            <a:rPr lang="en-GB" b="1"/>
            <a:t>1. Crime Report To West Midlands Police  </a:t>
          </a:r>
        </a:p>
      </dgm:t>
    </dgm:pt>
    <dgm:pt modelId="{83F57F62-27E5-4CD4-8E32-9E9EF88E9BE0}" type="parTrans" cxnId="{E86F1E87-42F3-4639-A944-2618764095D5}">
      <dgm:prSet/>
      <dgm:spPr/>
      <dgm:t>
        <a:bodyPr/>
        <a:lstStyle/>
        <a:p>
          <a:endParaRPr lang="en-GB"/>
        </a:p>
      </dgm:t>
    </dgm:pt>
    <dgm:pt modelId="{CB1F1297-707A-4B22-8509-8E8675B4A239}" type="sibTrans" cxnId="{E86F1E87-42F3-4639-A944-2618764095D5}">
      <dgm:prSet/>
      <dgm:spPr/>
      <dgm:t>
        <a:bodyPr/>
        <a:lstStyle/>
        <a:p>
          <a:endParaRPr lang="en-GB"/>
        </a:p>
      </dgm:t>
    </dgm:pt>
    <dgm:pt modelId="{ECBF530F-C35B-4382-A73F-43901AE69F9A}" type="asst">
      <dgm:prSet phldrT="[Text]"/>
      <dgm:spPr/>
      <dgm:t>
        <a:bodyPr/>
        <a:lstStyle/>
        <a:p>
          <a:r>
            <a:rPr lang="en-GB" b="1"/>
            <a:t>2. Referrals from WMP shared with single provider</a:t>
          </a:r>
        </a:p>
      </dgm:t>
    </dgm:pt>
    <dgm:pt modelId="{62FAB18A-EA72-4C53-AD15-300C5644C318}" type="parTrans" cxnId="{FDB06E06-CE0E-41D4-B1C8-A18E477D65B0}">
      <dgm:prSet/>
      <dgm:spPr/>
      <dgm:t>
        <a:bodyPr/>
        <a:lstStyle/>
        <a:p>
          <a:endParaRPr lang="en-GB"/>
        </a:p>
      </dgm:t>
    </dgm:pt>
    <dgm:pt modelId="{8BDCB8BE-9635-4707-80A1-D0660040E56D}" type="sibTrans" cxnId="{FDB06E06-CE0E-41D4-B1C8-A18E477D65B0}">
      <dgm:prSet/>
      <dgm:spPr/>
      <dgm:t>
        <a:bodyPr/>
        <a:lstStyle/>
        <a:p>
          <a:endParaRPr lang="en-GB"/>
        </a:p>
      </dgm:t>
    </dgm:pt>
    <dgm:pt modelId="{842BC6E6-ED88-4D68-A484-1EFC18B9DBE2}">
      <dgm:prSet phldrT="[Text]"/>
      <dgm:spPr/>
      <dgm:t>
        <a:bodyPr/>
        <a:lstStyle/>
        <a:p>
          <a:r>
            <a:rPr lang="en-GB" b="1"/>
            <a:t>3. Referral to equalities-based support service</a:t>
          </a:r>
        </a:p>
      </dgm:t>
    </dgm:pt>
    <dgm:pt modelId="{3755FE06-C1A0-42D0-8290-1ABDA1B12CC6}" type="parTrans" cxnId="{8ABFDEB6-305A-4F31-8E2E-36E15CF3D6DF}">
      <dgm:prSet/>
      <dgm:spPr/>
      <dgm:t>
        <a:bodyPr/>
        <a:lstStyle/>
        <a:p>
          <a:endParaRPr lang="en-GB"/>
        </a:p>
      </dgm:t>
    </dgm:pt>
    <dgm:pt modelId="{DDD21811-715C-4953-A481-F43F91B45E38}" type="sibTrans" cxnId="{8ABFDEB6-305A-4F31-8E2E-36E15CF3D6DF}">
      <dgm:prSet/>
      <dgm:spPr/>
      <dgm:t>
        <a:bodyPr/>
        <a:lstStyle/>
        <a:p>
          <a:endParaRPr lang="en-GB"/>
        </a:p>
      </dgm:t>
    </dgm:pt>
    <dgm:pt modelId="{D20A14F5-CF5E-44B5-8CE5-2F2FFCEB087B}" type="pres">
      <dgm:prSet presAssocID="{0CC634E5-05E6-48BE-B195-EEB09D06F691}" presName="hierChild1" presStyleCnt="0">
        <dgm:presLayoutVars>
          <dgm:orgChart val="1"/>
          <dgm:chPref val="1"/>
          <dgm:dir/>
          <dgm:animOne val="branch"/>
          <dgm:animLvl val="lvl"/>
          <dgm:resizeHandles/>
        </dgm:presLayoutVars>
      </dgm:prSet>
      <dgm:spPr/>
      <dgm:t>
        <a:bodyPr/>
        <a:lstStyle/>
        <a:p>
          <a:endParaRPr lang="en-US"/>
        </a:p>
      </dgm:t>
    </dgm:pt>
    <dgm:pt modelId="{B1DBC6D4-8B86-4791-B21B-2EEB2F9C2B98}" type="pres">
      <dgm:prSet presAssocID="{3C449AC3-3FAA-4A04-BF2B-D61651E50DE6}" presName="hierRoot1" presStyleCnt="0">
        <dgm:presLayoutVars>
          <dgm:hierBranch val="init"/>
        </dgm:presLayoutVars>
      </dgm:prSet>
      <dgm:spPr/>
      <dgm:t>
        <a:bodyPr/>
        <a:lstStyle/>
        <a:p>
          <a:endParaRPr lang="en-US"/>
        </a:p>
      </dgm:t>
    </dgm:pt>
    <dgm:pt modelId="{57C11181-A946-451F-821C-C333EF002B7F}" type="pres">
      <dgm:prSet presAssocID="{3C449AC3-3FAA-4A04-BF2B-D61651E50DE6}" presName="rootComposite1" presStyleCnt="0"/>
      <dgm:spPr/>
      <dgm:t>
        <a:bodyPr/>
        <a:lstStyle/>
        <a:p>
          <a:endParaRPr lang="en-US"/>
        </a:p>
      </dgm:t>
    </dgm:pt>
    <dgm:pt modelId="{FFD1EFE6-EDAA-4763-8D52-1F6363F84A67}" type="pres">
      <dgm:prSet presAssocID="{3C449AC3-3FAA-4A04-BF2B-D61651E50DE6}" presName="rootText1" presStyleLbl="node0" presStyleIdx="0" presStyleCnt="1" custScaleX="167276" custScaleY="325685">
        <dgm:presLayoutVars>
          <dgm:chPref val="3"/>
        </dgm:presLayoutVars>
      </dgm:prSet>
      <dgm:spPr/>
      <dgm:t>
        <a:bodyPr/>
        <a:lstStyle/>
        <a:p>
          <a:endParaRPr lang="en-US"/>
        </a:p>
      </dgm:t>
    </dgm:pt>
    <dgm:pt modelId="{1D081094-57ED-46B6-A7DA-C92B9DCB31BF}" type="pres">
      <dgm:prSet presAssocID="{3C449AC3-3FAA-4A04-BF2B-D61651E50DE6}" presName="rootConnector1" presStyleLbl="node1" presStyleIdx="0" presStyleCnt="0"/>
      <dgm:spPr/>
      <dgm:t>
        <a:bodyPr/>
        <a:lstStyle/>
        <a:p>
          <a:endParaRPr lang="en-US"/>
        </a:p>
      </dgm:t>
    </dgm:pt>
    <dgm:pt modelId="{F24BA12B-6480-4B84-95EF-6A8F09A202DB}" type="pres">
      <dgm:prSet presAssocID="{3C449AC3-3FAA-4A04-BF2B-D61651E50DE6}" presName="hierChild2" presStyleCnt="0"/>
      <dgm:spPr/>
      <dgm:t>
        <a:bodyPr/>
        <a:lstStyle/>
        <a:p>
          <a:endParaRPr lang="en-US"/>
        </a:p>
      </dgm:t>
    </dgm:pt>
    <dgm:pt modelId="{D0CECA3D-4664-4FED-877C-788DFF8CBC46}" type="pres">
      <dgm:prSet presAssocID="{3755FE06-C1A0-42D0-8290-1ABDA1B12CC6}" presName="Name64" presStyleLbl="parChTrans1D2" presStyleIdx="0" presStyleCnt="2"/>
      <dgm:spPr/>
      <dgm:t>
        <a:bodyPr/>
        <a:lstStyle/>
        <a:p>
          <a:endParaRPr lang="en-US"/>
        </a:p>
      </dgm:t>
    </dgm:pt>
    <dgm:pt modelId="{9469C264-AD7D-4CA6-A694-12ADB7C7CBD1}" type="pres">
      <dgm:prSet presAssocID="{842BC6E6-ED88-4D68-A484-1EFC18B9DBE2}" presName="hierRoot2" presStyleCnt="0">
        <dgm:presLayoutVars>
          <dgm:hierBranch val="init"/>
        </dgm:presLayoutVars>
      </dgm:prSet>
      <dgm:spPr/>
      <dgm:t>
        <a:bodyPr/>
        <a:lstStyle/>
        <a:p>
          <a:endParaRPr lang="en-US"/>
        </a:p>
      </dgm:t>
    </dgm:pt>
    <dgm:pt modelId="{AD0C5A85-35D9-4E99-9CD9-A18D17377F42}" type="pres">
      <dgm:prSet presAssocID="{842BC6E6-ED88-4D68-A484-1EFC18B9DBE2}" presName="rootComposite" presStyleCnt="0"/>
      <dgm:spPr/>
      <dgm:t>
        <a:bodyPr/>
        <a:lstStyle/>
        <a:p>
          <a:endParaRPr lang="en-US"/>
        </a:p>
      </dgm:t>
    </dgm:pt>
    <dgm:pt modelId="{4794BDBC-E661-4274-8156-9239E5EA0E58}" type="pres">
      <dgm:prSet presAssocID="{842BC6E6-ED88-4D68-A484-1EFC18B9DBE2}" presName="rootText" presStyleLbl="node2" presStyleIdx="0" presStyleCnt="1" custScaleX="125021" custScaleY="245845">
        <dgm:presLayoutVars>
          <dgm:chPref val="3"/>
        </dgm:presLayoutVars>
      </dgm:prSet>
      <dgm:spPr/>
      <dgm:t>
        <a:bodyPr/>
        <a:lstStyle/>
        <a:p>
          <a:endParaRPr lang="en-US"/>
        </a:p>
      </dgm:t>
    </dgm:pt>
    <dgm:pt modelId="{B99D6D1D-1B17-4A12-B2C9-56FA6E606734}" type="pres">
      <dgm:prSet presAssocID="{842BC6E6-ED88-4D68-A484-1EFC18B9DBE2}" presName="rootConnector" presStyleLbl="node2" presStyleIdx="0" presStyleCnt="1"/>
      <dgm:spPr/>
      <dgm:t>
        <a:bodyPr/>
        <a:lstStyle/>
        <a:p>
          <a:endParaRPr lang="en-US"/>
        </a:p>
      </dgm:t>
    </dgm:pt>
    <dgm:pt modelId="{E6D657F1-F7E5-467E-AEF8-EF349173F0C1}" type="pres">
      <dgm:prSet presAssocID="{842BC6E6-ED88-4D68-A484-1EFC18B9DBE2}" presName="hierChild4" presStyleCnt="0"/>
      <dgm:spPr/>
      <dgm:t>
        <a:bodyPr/>
        <a:lstStyle/>
        <a:p>
          <a:endParaRPr lang="en-US"/>
        </a:p>
      </dgm:t>
    </dgm:pt>
    <dgm:pt modelId="{8C059225-B7EA-4790-B0CE-BD3309040C2B}" type="pres">
      <dgm:prSet presAssocID="{842BC6E6-ED88-4D68-A484-1EFC18B9DBE2}" presName="hierChild5" presStyleCnt="0"/>
      <dgm:spPr/>
      <dgm:t>
        <a:bodyPr/>
        <a:lstStyle/>
        <a:p>
          <a:endParaRPr lang="en-US"/>
        </a:p>
      </dgm:t>
    </dgm:pt>
    <dgm:pt modelId="{6AAC7B51-B72E-4C7C-B0C5-04205128FBE5}" type="pres">
      <dgm:prSet presAssocID="{3C449AC3-3FAA-4A04-BF2B-D61651E50DE6}" presName="hierChild3" presStyleCnt="0"/>
      <dgm:spPr/>
      <dgm:t>
        <a:bodyPr/>
        <a:lstStyle/>
        <a:p>
          <a:endParaRPr lang="en-US"/>
        </a:p>
      </dgm:t>
    </dgm:pt>
    <dgm:pt modelId="{42A06C50-87CF-4377-B8F9-A02D426E2E77}" type="pres">
      <dgm:prSet presAssocID="{62FAB18A-EA72-4C53-AD15-300C5644C318}" presName="Name115" presStyleLbl="parChTrans1D2" presStyleIdx="1" presStyleCnt="2"/>
      <dgm:spPr/>
      <dgm:t>
        <a:bodyPr/>
        <a:lstStyle/>
        <a:p>
          <a:endParaRPr lang="en-US"/>
        </a:p>
      </dgm:t>
    </dgm:pt>
    <dgm:pt modelId="{2D006ED2-518B-4E29-B46F-693DA7625420}" type="pres">
      <dgm:prSet presAssocID="{ECBF530F-C35B-4382-A73F-43901AE69F9A}" presName="hierRoot3" presStyleCnt="0">
        <dgm:presLayoutVars>
          <dgm:hierBranch val="init"/>
        </dgm:presLayoutVars>
      </dgm:prSet>
      <dgm:spPr/>
      <dgm:t>
        <a:bodyPr/>
        <a:lstStyle/>
        <a:p>
          <a:endParaRPr lang="en-US"/>
        </a:p>
      </dgm:t>
    </dgm:pt>
    <dgm:pt modelId="{DF1E25AE-8E10-4553-8270-2576D92208DB}" type="pres">
      <dgm:prSet presAssocID="{ECBF530F-C35B-4382-A73F-43901AE69F9A}" presName="rootComposite3" presStyleCnt="0"/>
      <dgm:spPr/>
      <dgm:t>
        <a:bodyPr/>
        <a:lstStyle/>
        <a:p>
          <a:endParaRPr lang="en-US"/>
        </a:p>
      </dgm:t>
    </dgm:pt>
    <dgm:pt modelId="{8904AC4C-E2F7-4A42-BB2F-30D228B30AFA}" type="pres">
      <dgm:prSet presAssocID="{ECBF530F-C35B-4382-A73F-43901AE69F9A}" presName="rootText3" presStyleLbl="asst1" presStyleIdx="0" presStyleCnt="1" custScaleX="132910" custScaleY="334819" custLinFactNeighborX="-1853">
        <dgm:presLayoutVars>
          <dgm:chPref val="3"/>
        </dgm:presLayoutVars>
      </dgm:prSet>
      <dgm:spPr/>
      <dgm:t>
        <a:bodyPr/>
        <a:lstStyle/>
        <a:p>
          <a:endParaRPr lang="en-US"/>
        </a:p>
      </dgm:t>
    </dgm:pt>
    <dgm:pt modelId="{FB1D5B4C-4078-492A-A9F7-D44AE3072D0F}" type="pres">
      <dgm:prSet presAssocID="{ECBF530F-C35B-4382-A73F-43901AE69F9A}" presName="rootConnector3" presStyleLbl="asst1" presStyleIdx="0" presStyleCnt="1"/>
      <dgm:spPr/>
      <dgm:t>
        <a:bodyPr/>
        <a:lstStyle/>
        <a:p>
          <a:endParaRPr lang="en-US"/>
        </a:p>
      </dgm:t>
    </dgm:pt>
    <dgm:pt modelId="{7A719D6B-3827-4377-82C8-603C3CE0BB51}" type="pres">
      <dgm:prSet presAssocID="{ECBF530F-C35B-4382-A73F-43901AE69F9A}" presName="hierChild6" presStyleCnt="0"/>
      <dgm:spPr/>
      <dgm:t>
        <a:bodyPr/>
        <a:lstStyle/>
        <a:p>
          <a:endParaRPr lang="en-US"/>
        </a:p>
      </dgm:t>
    </dgm:pt>
    <dgm:pt modelId="{F170D3AD-E3F3-4E3D-B527-491AED12A09F}" type="pres">
      <dgm:prSet presAssocID="{ECBF530F-C35B-4382-A73F-43901AE69F9A}" presName="hierChild7" presStyleCnt="0"/>
      <dgm:spPr/>
      <dgm:t>
        <a:bodyPr/>
        <a:lstStyle/>
        <a:p>
          <a:endParaRPr lang="en-US"/>
        </a:p>
      </dgm:t>
    </dgm:pt>
  </dgm:ptLst>
  <dgm:cxnLst>
    <dgm:cxn modelId="{8ABFDEB6-305A-4F31-8E2E-36E15CF3D6DF}" srcId="{3C449AC3-3FAA-4A04-BF2B-D61651E50DE6}" destId="{842BC6E6-ED88-4D68-A484-1EFC18B9DBE2}" srcOrd="1" destOrd="0" parTransId="{3755FE06-C1A0-42D0-8290-1ABDA1B12CC6}" sibTransId="{DDD21811-715C-4953-A481-F43F91B45E38}"/>
    <dgm:cxn modelId="{B61E0C74-463D-421A-9DCB-7B9ECB5AB29B}" type="presOf" srcId="{842BC6E6-ED88-4D68-A484-1EFC18B9DBE2}" destId="{B99D6D1D-1B17-4A12-B2C9-56FA6E606734}" srcOrd="1" destOrd="0" presId="urn:microsoft.com/office/officeart/2009/3/layout/HorizontalOrganizationChart"/>
    <dgm:cxn modelId="{23F81AA4-FFF1-4EE8-8AB2-FCC1C0F3E484}" type="presOf" srcId="{ECBF530F-C35B-4382-A73F-43901AE69F9A}" destId="{8904AC4C-E2F7-4A42-BB2F-30D228B30AFA}" srcOrd="0" destOrd="0" presId="urn:microsoft.com/office/officeart/2009/3/layout/HorizontalOrganizationChart"/>
    <dgm:cxn modelId="{349A5EFF-4980-42D4-ADB9-FAAD67E3A02A}" type="presOf" srcId="{62FAB18A-EA72-4C53-AD15-300C5644C318}" destId="{42A06C50-87CF-4377-B8F9-A02D426E2E77}" srcOrd="0" destOrd="0" presId="urn:microsoft.com/office/officeart/2009/3/layout/HorizontalOrganizationChart"/>
    <dgm:cxn modelId="{CF1ED82B-CED6-4E0A-ADE8-B6BBD4BA4B63}" type="presOf" srcId="{0CC634E5-05E6-48BE-B195-EEB09D06F691}" destId="{D20A14F5-CF5E-44B5-8CE5-2F2FFCEB087B}" srcOrd="0" destOrd="0" presId="urn:microsoft.com/office/officeart/2009/3/layout/HorizontalOrganizationChart"/>
    <dgm:cxn modelId="{FDB06E06-CE0E-41D4-B1C8-A18E477D65B0}" srcId="{3C449AC3-3FAA-4A04-BF2B-D61651E50DE6}" destId="{ECBF530F-C35B-4382-A73F-43901AE69F9A}" srcOrd="0" destOrd="0" parTransId="{62FAB18A-EA72-4C53-AD15-300C5644C318}" sibTransId="{8BDCB8BE-9635-4707-80A1-D0660040E56D}"/>
    <dgm:cxn modelId="{A57C3568-E75C-4AB5-BB90-65E896C11269}" type="presOf" srcId="{3C449AC3-3FAA-4A04-BF2B-D61651E50DE6}" destId="{1D081094-57ED-46B6-A7DA-C92B9DCB31BF}" srcOrd="1" destOrd="0" presId="urn:microsoft.com/office/officeart/2009/3/layout/HorizontalOrganizationChart"/>
    <dgm:cxn modelId="{AD66C51D-168D-4583-A9F8-596C54D17E2D}" type="presOf" srcId="{ECBF530F-C35B-4382-A73F-43901AE69F9A}" destId="{FB1D5B4C-4078-492A-A9F7-D44AE3072D0F}" srcOrd="1" destOrd="0" presId="urn:microsoft.com/office/officeart/2009/3/layout/HorizontalOrganizationChart"/>
    <dgm:cxn modelId="{F7BE93AC-2F3F-46A3-851C-F0D77A0F6281}" type="presOf" srcId="{842BC6E6-ED88-4D68-A484-1EFC18B9DBE2}" destId="{4794BDBC-E661-4274-8156-9239E5EA0E58}" srcOrd="0" destOrd="0" presId="urn:microsoft.com/office/officeart/2009/3/layout/HorizontalOrganizationChart"/>
    <dgm:cxn modelId="{E86F1E87-42F3-4639-A944-2618764095D5}" srcId="{0CC634E5-05E6-48BE-B195-EEB09D06F691}" destId="{3C449AC3-3FAA-4A04-BF2B-D61651E50DE6}" srcOrd="0" destOrd="0" parTransId="{83F57F62-27E5-4CD4-8E32-9E9EF88E9BE0}" sibTransId="{CB1F1297-707A-4B22-8509-8E8675B4A239}"/>
    <dgm:cxn modelId="{4712059F-84C2-4A56-9D14-F8F2E53A46A3}" type="presOf" srcId="{3C449AC3-3FAA-4A04-BF2B-D61651E50DE6}" destId="{FFD1EFE6-EDAA-4763-8D52-1F6363F84A67}" srcOrd="0" destOrd="0" presId="urn:microsoft.com/office/officeart/2009/3/layout/HorizontalOrganizationChart"/>
    <dgm:cxn modelId="{6B6CE366-C56A-4CB0-9BA3-0DF1E4BE07B3}" type="presOf" srcId="{3755FE06-C1A0-42D0-8290-1ABDA1B12CC6}" destId="{D0CECA3D-4664-4FED-877C-788DFF8CBC46}" srcOrd="0" destOrd="0" presId="urn:microsoft.com/office/officeart/2009/3/layout/HorizontalOrganizationChart"/>
    <dgm:cxn modelId="{53EED0E1-2BC4-4BB3-9DC1-74E4F7AC6648}" type="presParOf" srcId="{D20A14F5-CF5E-44B5-8CE5-2F2FFCEB087B}" destId="{B1DBC6D4-8B86-4791-B21B-2EEB2F9C2B98}" srcOrd="0" destOrd="0" presId="urn:microsoft.com/office/officeart/2009/3/layout/HorizontalOrganizationChart"/>
    <dgm:cxn modelId="{E6310CEA-3C20-47D0-9450-1E76FCC8A15F}" type="presParOf" srcId="{B1DBC6D4-8B86-4791-B21B-2EEB2F9C2B98}" destId="{57C11181-A946-451F-821C-C333EF002B7F}" srcOrd="0" destOrd="0" presId="urn:microsoft.com/office/officeart/2009/3/layout/HorizontalOrganizationChart"/>
    <dgm:cxn modelId="{1144A750-C422-4387-A8CB-614F3B997410}" type="presParOf" srcId="{57C11181-A946-451F-821C-C333EF002B7F}" destId="{FFD1EFE6-EDAA-4763-8D52-1F6363F84A67}" srcOrd="0" destOrd="0" presId="urn:microsoft.com/office/officeart/2009/3/layout/HorizontalOrganizationChart"/>
    <dgm:cxn modelId="{3B6C9403-D9A4-4862-9F97-741DFBD323E8}" type="presParOf" srcId="{57C11181-A946-451F-821C-C333EF002B7F}" destId="{1D081094-57ED-46B6-A7DA-C92B9DCB31BF}" srcOrd="1" destOrd="0" presId="urn:microsoft.com/office/officeart/2009/3/layout/HorizontalOrganizationChart"/>
    <dgm:cxn modelId="{FF2F2B4B-D70E-4D1F-A218-D7EB7477A541}" type="presParOf" srcId="{B1DBC6D4-8B86-4791-B21B-2EEB2F9C2B98}" destId="{F24BA12B-6480-4B84-95EF-6A8F09A202DB}" srcOrd="1" destOrd="0" presId="urn:microsoft.com/office/officeart/2009/3/layout/HorizontalOrganizationChart"/>
    <dgm:cxn modelId="{82620BA2-11CF-4E56-8C44-9A76D8277F36}" type="presParOf" srcId="{F24BA12B-6480-4B84-95EF-6A8F09A202DB}" destId="{D0CECA3D-4664-4FED-877C-788DFF8CBC46}" srcOrd="0" destOrd="0" presId="urn:microsoft.com/office/officeart/2009/3/layout/HorizontalOrganizationChart"/>
    <dgm:cxn modelId="{E937A40B-7335-4471-B60D-DDF3669AFF3F}" type="presParOf" srcId="{F24BA12B-6480-4B84-95EF-6A8F09A202DB}" destId="{9469C264-AD7D-4CA6-A694-12ADB7C7CBD1}" srcOrd="1" destOrd="0" presId="urn:microsoft.com/office/officeart/2009/3/layout/HorizontalOrganizationChart"/>
    <dgm:cxn modelId="{9883FBF7-27B5-48C0-A2A8-A85B67DCCFEF}" type="presParOf" srcId="{9469C264-AD7D-4CA6-A694-12ADB7C7CBD1}" destId="{AD0C5A85-35D9-4E99-9CD9-A18D17377F42}" srcOrd="0" destOrd="0" presId="urn:microsoft.com/office/officeart/2009/3/layout/HorizontalOrganizationChart"/>
    <dgm:cxn modelId="{A0DEC357-FFF6-4AB6-A50D-25861A3EB963}" type="presParOf" srcId="{AD0C5A85-35D9-4E99-9CD9-A18D17377F42}" destId="{4794BDBC-E661-4274-8156-9239E5EA0E58}" srcOrd="0" destOrd="0" presId="urn:microsoft.com/office/officeart/2009/3/layout/HorizontalOrganizationChart"/>
    <dgm:cxn modelId="{339263B0-3445-41AD-9B22-D1CBE0DBDC75}" type="presParOf" srcId="{AD0C5A85-35D9-4E99-9CD9-A18D17377F42}" destId="{B99D6D1D-1B17-4A12-B2C9-56FA6E606734}" srcOrd="1" destOrd="0" presId="urn:microsoft.com/office/officeart/2009/3/layout/HorizontalOrganizationChart"/>
    <dgm:cxn modelId="{743F4E17-0328-45AE-9878-EEB9C81622FF}" type="presParOf" srcId="{9469C264-AD7D-4CA6-A694-12ADB7C7CBD1}" destId="{E6D657F1-F7E5-467E-AEF8-EF349173F0C1}" srcOrd="1" destOrd="0" presId="urn:microsoft.com/office/officeart/2009/3/layout/HorizontalOrganizationChart"/>
    <dgm:cxn modelId="{2A8997C0-01C8-4C07-80E5-5E611D230907}" type="presParOf" srcId="{9469C264-AD7D-4CA6-A694-12ADB7C7CBD1}" destId="{8C059225-B7EA-4790-B0CE-BD3309040C2B}" srcOrd="2" destOrd="0" presId="urn:microsoft.com/office/officeart/2009/3/layout/HorizontalOrganizationChart"/>
    <dgm:cxn modelId="{39DAFE1E-8342-4CA3-8461-8909081D04EA}" type="presParOf" srcId="{B1DBC6D4-8B86-4791-B21B-2EEB2F9C2B98}" destId="{6AAC7B51-B72E-4C7C-B0C5-04205128FBE5}" srcOrd="2" destOrd="0" presId="urn:microsoft.com/office/officeart/2009/3/layout/HorizontalOrganizationChart"/>
    <dgm:cxn modelId="{C98806DB-8DD7-419D-80B6-0BCFD145F198}" type="presParOf" srcId="{6AAC7B51-B72E-4C7C-B0C5-04205128FBE5}" destId="{42A06C50-87CF-4377-B8F9-A02D426E2E77}" srcOrd="0" destOrd="0" presId="urn:microsoft.com/office/officeart/2009/3/layout/HorizontalOrganizationChart"/>
    <dgm:cxn modelId="{3CE91083-53A1-43EC-A5A9-8F67B3EF1E1D}" type="presParOf" srcId="{6AAC7B51-B72E-4C7C-B0C5-04205128FBE5}" destId="{2D006ED2-518B-4E29-B46F-693DA7625420}" srcOrd="1" destOrd="0" presId="urn:microsoft.com/office/officeart/2009/3/layout/HorizontalOrganizationChart"/>
    <dgm:cxn modelId="{5F45BC0E-B860-481E-9306-75B44BA5615E}" type="presParOf" srcId="{2D006ED2-518B-4E29-B46F-693DA7625420}" destId="{DF1E25AE-8E10-4553-8270-2576D92208DB}" srcOrd="0" destOrd="0" presId="urn:microsoft.com/office/officeart/2009/3/layout/HorizontalOrganizationChart"/>
    <dgm:cxn modelId="{EED99A77-3AAC-4D88-8A15-D124530951A4}" type="presParOf" srcId="{DF1E25AE-8E10-4553-8270-2576D92208DB}" destId="{8904AC4C-E2F7-4A42-BB2F-30D228B30AFA}" srcOrd="0" destOrd="0" presId="urn:microsoft.com/office/officeart/2009/3/layout/HorizontalOrganizationChart"/>
    <dgm:cxn modelId="{F59F9A35-2F8A-45AF-AFE8-36351E3B7AB4}" type="presParOf" srcId="{DF1E25AE-8E10-4553-8270-2576D92208DB}" destId="{FB1D5B4C-4078-492A-A9F7-D44AE3072D0F}" srcOrd="1" destOrd="0" presId="urn:microsoft.com/office/officeart/2009/3/layout/HorizontalOrganizationChart"/>
    <dgm:cxn modelId="{4370E9F1-84AF-41EA-B886-1A5CBD4279B2}" type="presParOf" srcId="{2D006ED2-518B-4E29-B46F-693DA7625420}" destId="{7A719D6B-3827-4377-82C8-603C3CE0BB51}" srcOrd="1" destOrd="0" presId="urn:microsoft.com/office/officeart/2009/3/layout/HorizontalOrganizationChart"/>
    <dgm:cxn modelId="{31039F61-9009-46CB-9A4A-3BA441BA36F8}" type="presParOf" srcId="{2D006ED2-518B-4E29-B46F-693DA7625420}" destId="{F170D3AD-E3F3-4E3D-B527-491AED12A09F}"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06C50-87CF-4377-B8F9-A02D426E2E77}">
      <dsp:nvSpPr>
        <dsp:cNvPr id="0" name=""/>
        <dsp:cNvSpPr/>
      </dsp:nvSpPr>
      <dsp:spPr>
        <a:xfrm>
          <a:off x="1991442" y="2029327"/>
          <a:ext cx="1006453" cy="91440"/>
        </a:xfrm>
        <a:custGeom>
          <a:avLst/>
          <a:gdLst/>
          <a:ahLst/>
          <a:cxnLst/>
          <a:rect l="0" t="0" r="0" b="0"/>
          <a:pathLst>
            <a:path>
              <a:moveTo>
                <a:pt x="0" y="120072"/>
              </a:moveTo>
              <a:lnTo>
                <a:pt x="1006453" y="120072"/>
              </a:lnTo>
              <a:lnTo>
                <a:pt x="1006453" y="45720"/>
              </a:lnTo>
            </a:path>
          </a:pathLst>
        </a:custGeom>
        <a:noFill/>
        <a:ln w="12700" cap="flat" cmpd="sng" algn="ctr">
          <a:solidFill>
            <a:schemeClr val="accent5">
              <a:tint val="9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CECA3D-4664-4FED-877C-788DFF8CBC46}">
      <dsp:nvSpPr>
        <dsp:cNvPr id="0" name=""/>
        <dsp:cNvSpPr/>
      </dsp:nvSpPr>
      <dsp:spPr>
        <a:xfrm>
          <a:off x="1991442" y="2103679"/>
          <a:ext cx="2056994" cy="91440"/>
        </a:xfrm>
        <a:custGeom>
          <a:avLst/>
          <a:gdLst/>
          <a:ahLst/>
          <a:cxnLst/>
          <a:rect l="0" t="0" r="0" b="0"/>
          <a:pathLst>
            <a:path>
              <a:moveTo>
                <a:pt x="0" y="45720"/>
              </a:moveTo>
              <a:lnTo>
                <a:pt x="2056994" y="45720"/>
              </a:lnTo>
            </a:path>
          </a:pathLst>
        </a:custGeom>
        <a:noFill/>
        <a:ln w="12700" cap="flat" cmpd="sng" algn="ctr">
          <a:solidFill>
            <a:schemeClr val="accent5">
              <a:tint val="9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D1EFE6-EDAA-4763-8D52-1F6363F84A67}">
      <dsp:nvSpPr>
        <dsp:cNvPr id="0" name=""/>
        <dsp:cNvSpPr/>
      </dsp:nvSpPr>
      <dsp:spPr>
        <a:xfrm>
          <a:off x="1472" y="1558544"/>
          <a:ext cx="1989970" cy="1181708"/>
        </a:xfrm>
        <a:prstGeom prst="rect">
          <a:avLst/>
        </a:prstGeom>
        <a:gradFill rotWithShape="0">
          <a:gsLst>
            <a:gs pos="0">
              <a:schemeClr val="accent5">
                <a:shade val="60000"/>
                <a:hueOff val="0"/>
                <a:satOff val="0"/>
                <a:lumOff val="0"/>
                <a:alphaOff val="0"/>
                <a:satMod val="103000"/>
                <a:lumMod val="102000"/>
                <a:tint val="94000"/>
              </a:schemeClr>
            </a:gs>
            <a:gs pos="50000">
              <a:schemeClr val="accent5">
                <a:shade val="60000"/>
                <a:hueOff val="0"/>
                <a:satOff val="0"/>
                <a:lumOff val="0"/>
                <a:alphaOff val="0"/>
                <a:satMod val="110000"/>
                <a:lumMod val="100000"/>
                <a:shade val="100000"/>
              </a:schemeClr>
            </a:gs>
            <a:gs pos="100000">
              <a:schemeClr val="accent5">
                <a:shade val="6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1. Crime Report To West Midlands Police  </a:t>
          </a:r>
        </a:p>
      </dsp:txBody>
      <dsp:txXfrm>
        <a:off x="1472" y="1558544"/>
        <a:ext cx="1989970" cy="1181708"/>
      </dsp:txXfrm>
    </dsp:sp>
    <dsp:sp modelId="{4794BDBC-E661-4274-8156-9239E5EA0E58}">
      <dsp:nvSpPr>
        <dsp:cNvPr id="0" name=""/>
        <dsp:cNvSpPr/>
      </dsp:nvSpPr>
      <dsp:spPr>
        <a:xfrm>
          <a:off x="4048436" y="1703389"/>
          <a:ext cx="1487290" cy="892019"/>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3. Referral to equalities-based support service</a:t>
          </a:r>
        </a:p>
      </dsp:txBody>
      <dsp:txXfrm>
        <a:off x="4048436" y="1703389"/>
        <a:ext cx="1487290" cy="892019"/>
      </dsp:txXfrm>
    </dsp:sp>
    <dsp:sp modelId="{8904AC4C-E2F7-4A42-BB2F-30D228B30AFA}">
      <dsp:nvSpPr>
        <dsp:cNvPr id="0" name=""/>
        <dsp:cNvSpPr/>
      </dsp:nvSpPr>
      <dsp:spPr>
        <a:xfrm>
          <a:off x="2207325" y="860196"/>
          <a:ext cx="1581140" cy="1214850"/>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t>2. Referrals from WMP shared with single provider</a:t>
          </a:r>
        </a:p>
      </dsp:txBody>
      <dsp:txXfrm>
        <a:off x="2207325" y="860196"/>
        <a:ext cx="1581140" cy="121485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Harjeet Chakira</dc:creator>
  <cp:keywords/>
  <dc:description/>
  <cp:lastModifiedBy>Tara Muchemenyi</cp:lastModifiedBy>
  <cp:revision>2</cp:revision>
  <dcterms:created xsi:type="dcterms:W3CDTF">2021-01-12T12:08:00Z</dcterms:created>
  <dcterms:modified xsi:type="dcterms:W3CDTF">2021-01-12T12:08:00Z</dcterms:modified>
</cp:coreProperties>
</file>