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8484" w:type="dxa"/>
        <w:tblLook w:val="04A0" w:firstRow="1" w:lastRow="0" w:firstColumn="1" w:lastColumn="0" w:noHBand="0" w:noVBand="1"/>
      </w:tblPr>
      <w:tblGrid>
        <w:gridCol w:w="4621"/>
        <w:gridCol w:w="4621"/>
        <w:gridCol w:w="9242"/>
      </w:tblGrid>
      <w:tr w:rsidR="00E46DFF" w:rsidRPr="00E57AF7" w14:paraId="080C30D2" w14:textId="77777777" w:rsidTr="00F51BBE">
        <w:trPr>
          <w:gridAfter w:val="1"/>
          <w:wAfter w:w="9242" w:type="dxa"/>
          <w:trHeight w:val="1276"/>
        </w:trPr>
        <w:tc>
          <w:tcPr>
            <w:tcW w:w="4621" w:type="dxa"/>
            <w:tcBorders>
              <w:bottom w:val="single" w:sz="4" w:space="0" w:color="auto"/>
            </w:tcBorders>
            <w:shd w:val="clear" w:color="auto" w:fill="auto"/>
          </w:tcPr>
          <w:p w14:paraId="4588F4FF" w14:textId="77777777" w:rsidR="00E46DFF" w:rsidRPr="00E57AF7" w:rsidRDefault="00E46DFF" w:rsidP="00F51BBE">
            <w:pPr>
              <w:ind w:right="543"/>
              <w:rPr>
                <w:b/>
                <w:sz w:val="32"/>
                <w:szCs w:val="32"/>
              </w:rPr>
            </w:pPr>
            <w:bookmarkStart w:id="0" w:name="_GoBack"/>
            <w:bookmarkEnd w:id="0"/>
            <w:r w:rsidRPr="00E57AF7">
              <w:rPr>
                <w:b/>
                <w:sz w:val="32"/>
                <w:szCs w:val="32"/>
              </w:rPr>
              <w:t>WEST MIDLANDS POLICE AND CRIME COMMISSIONER</w:t>
            </w:r>
          </w:p>
        </w:tc>
        <w:tc>
          <w:tcPr>
            <w:tcW w:w="4621" w:type="dxa"/>
            <w:tcBorders>
              <w:bottom w:val="single" w:sz="4" w:space="0" w:color="auto"/>
            </w:tcBorders>
            <w:shd w:val="clear" w:color="auto" w:fill="auto"/>
          </w:tcPr>
          <w:p w14:paraId="322BB035" w14:textId="77777777" w:rsidR="00E46DFF" w:rsidRPr="00E57AF7" w:rsidRDefault="00E46DFF" w:rsidP="00F51BBE">
            <w:pPr>
              <w:ind w:right="543"/>
              <w:rPr>
                <w:b/>
                <w:sz w:val="28"/>
                <w:szCs w:val="28"/>
              </w:rPr>
            </w:pPr>
            <w:r w:rsidRPr="00E57AF7">
              <w:rPr>
                <w:b/>
                <w:sz w:val="28"/>
                <w:szCs w:val="28"/>
              </w:rPr>
              <w:t xml:space="preserve">NON-CONFIDENTIAL </w:t>
            </w:r>
          </w:p>
          <w:p w14:paraId="5113A55D" w14:textId="77777777" w:rsidR="00E46DFF" w:rsidRPr="00E57AF7" w:rsidRDefault="00E46DFF" w:rsidP="00F51BBE">
            <w:pPr>
              <w:ind w:right="543"/>
              <w:rPr>
                <w:b/>
                <w:sz w:val="28"/>
                <w:szCs w:val="28"/>
              </w:rPr>
            </w:pPr>
            <w:r w:rsidRPr="00E57AF7">
              <w:rPr>
                <w:b/>
                <w:sz w:val="28"/>
                <w:szCs w:val="28"/>
              </w:rPr>
              <w:t>NOTICE OF DECISION</w:t>
            </w:r>
          </w:p>
          <w:p w14:paraId="79BBBEE4" w14:textId="77777777" w:rsidR="00E46DFF" w:rsidRDefault="00E46DFF" w:rsidP="00F51BBE">
            <w:pPr>
              <w:ind w:right="543"/>
              <w:rPr>
                <w:b/>
                <w:sz w:val="24"/>
                <w:szCs w:val="24"/>
              </w:rPr>
            </w:pPr>
          </w:p>
          <w:p w14:paraId="3297366D" w14:textId="77777777" w:rsidR="00E46DFF" w:rsidRDefault="00E46DFF" w:rsidP="00F51BBE">
            <w:pPr>
              <w:ind w:right="543"/>
              <w:rPr>
                <w:b/>
                <w:sz w:val="24"/>
                <w:szCs w:val="24"/>
              </w:rPr>
            </w:pPr>
          </w:p>
          <w:p w14:paraId="6E0FC857" w14:textId="77777777" w:rsidR="00E46DFF" w:rsidRDefault="00E46DFF" w:rsidP="00F51BBE">
            <w:pPr>
              <w:ind w:right="543"/>
              <w:rPr>
                <w:b/>
                <w:sz w:val="24"/>
                <w:szCs w:val="24"/>
              </w:rPr>
            </w:pPr>
          </w:p>
          <w:p w14:paraId="6E859C27" w14:textId="77777777" w:rsidR="00E46DFF" w:rsidRDefault="0098617C" w:rsidP="00F51BBE">
            <w:pPr>
              <w:ind w:right="543"/>
              <w:rPr>
                <w:b/>
                <w:sz w:val="24"/>
                <w:szCs w:val="24"/>
              </w:rPr>
            </w:pPr>
            <w:r>
              <w:rPr>
                <w:b/>
                <w:sz w:val="24"/>
                <w:szCs w:val="24"/>
              </w:rPr>
              <w:t>[011/2021</w:t>
            </w:r>
            <w:r w:rsidR="00E46DFF" w:rsidRPr="00E57AF7">
              <w:rPr>
                <w:b/>
                <w:sz w:val="24"/>
                <w:szCs w:val="24"/>
              </w:rPr>
              <w:t>]</w:t>
            </w:r>
          </w:p>
          <w:p w14:paraId="16C46966" w14:textId="77777777" w:rsidR="00E46DFF" w:rsidRPr="00E57AF7" w:rsidRDefault="00E46DFF" w:rsidP="00F51BBE">
            <w:pPr>
              <w:ind w:right="543"/>
              <w:rPr>
                <w:b/>
                <w:sz w:val="24"/>
                <w:szCs w:val="24"/>
              </w:rPr>
            </w:pPr>
          </w:p>
        </w:tc>
      </w:tr>
      <w:tr w:rsidR="00E46DFF" w:rsidRPr="00B02337" w14:paraId="3071EE0A" w14:textId="77777777" w:rsidTr="00F51BBE">
        <w:trPr>
          <w:gridAfter w:val="1"/>
          <w:wAfter w:w="9242" w:type="dxa"/>
        </w:trPr>
        <w:tc>
          <w:tcPr>
            <w:tcW w:w="4621" w:type="dxa"/>
            <w:shd w:val="clear" w:color="auto" w:fill="auto"/>
          </w:tcPr>
          <w:p w14:paraId="56B995B2" w14:textId="77777777" w:rsidR="00E46DFF" w:rsidRDefault="00E46DFF" w:rsidP="00F51BBE">
            <w:pPr>
              <w:ind w:right="543"/>
            </w:pPr>
          </w:p>
          <w:p w14:paraId="28B0AA5A" w14:textId="77777777" w:rsidR="00E46DFF" w:rsidRDefault="00E46DFF" w:rsidP="00F51BBE">
            <w:pPr>
              <w:ind w:right="543"/>
            </w:pPr>
            <w:r w:rsidRPr="00B02337">
              <w:t>Contact Officer:</w:t>
            </w:r>
          </w:p>
          <w:p w14:paraId="1C840CA0" w14:textId="77777777" w:rsidR="00E46DFF" w:rsidRPr="00B02337" w:rsidRDefault="00E46DFF" w:rsidP="00F51BBE">
            <w:pPr>
              <w:ind w:right="543"/>
            </w:pPr>
          </w:p>
        </w:tc>
        <w:tc>
          <w:tcPr>
            <w:tcW w:w="4621" w:type="dxa"/>
            <w:shd w:val="clear" w:color="auto" w:fill="auto"/>
          </w:tcPr>
          <w:p w14:paraId="10E50602" w14:textId="77777777" w:rsidR="00E46DFF" w:rsidRDefault="00E46DFF" w:rsidP="00F51BBE">
            <w:pPr>
              <w:ind w:right="543"/>
            </w:pPr>
          </w:p>
          <w:p w14:paraId="3D2430D3" w14:textId="77777777" w:rsidR="00E46DFF" w:rsidRPr="00B02337" w:rsidRDefault="00E46DFF" w:rsidP="00F51BBE">
            <w:pPr>
              <w:ind w:right="543"/>
            </w:pPr>
            <w:r w:rsidRPr="00B02337">
              <w:t>Mark Kenyon, Chief Finance Officer</w:t>
            </w:r>
          </w:p>
        </w:tc>
      </w:tr>
      <w:tr w:rsidR="00E46DFF" w:rsidRPr="00B02337" w14:paraId="0B1C10E0" w14:textId="77777777" w:rsidTr="00F51BBE">
        <w:trPr>
          <w:gridAfter w:val="1"/>
          <w:wAfter w:w="9242" w:type="dxa"/>
        </w:trPr>
        <w:tc>
          <w:tcPr>
            <w:tcW w:w="4621" w:type="dxa"/>
            <w:shd w:val="clear" w:color="auto" w:fill="auto"/>
          </w:tcPr>
          <w:p w14:paraId="1DC5B1E1" w14:textId="77777777" w:rsidR="00E46DFF" w:rsidRDefault="00E46DFF" w:rsidP="00F51BBE">
            <w:pPr>
              <w:ind w:right="543"/>
            </w:pPr>
            <w:r w:rsidRPr="00B02337">
              <w:t>Telephone Number:</w:t>
            </w:r>
          </w:p>
          <w:p w14:paraId="4445B9B6" w14:textId="77777777" w:rsidR="00E46DFF" w:rsidRPr="00B02337" w:rsidRDefault="00E46DFF" w:rsidP="00F51BBE">
            <w:pPr>
              <w:ind w:right="543"/>
            </w:pPr>
          </w:p>
        </w:tc>
        <w:tc>
          <w:tcPr>
            <w:tcW w:w="4621" w:type="dxa"/>
            <w:shd w:val="clear" w:color="auto" w:fill="auto"/>
          </w:tcPr>
          <w:p w14:paraId="41F26511" w14:textId="77777777" w:rsidR="00E46DFF" w:rsidRPr="00B02337" w:rsidRDefault="00E46DFF" w:rsidP="00F51BBE">
            <w:pPr>
              <w:ind w:right="543"/>
            </w:pPr>
            <w:r w:rsidRPr="00B02337">
              <w:t>0121 626 6060 or 801 6048</w:t>
            </w:r>
          </w:p>
        </w:tc>
      </w:tr>
      <w:tr w:rsidR="00E46DFF" w:rsidRPr="00B02337" w14:paraId="198F1E0E" w14:textId="77777777" w:rsidTr="00F51BBE">
        <w:trPr>
          <w:gridAfter w:val="1"/>
          <w:wAfter w:w="9242" w:type="dxa"/>
        </w:trPr>
        <w:tc>
          <w:tcPr>
            <w:tcW w:w="4621" w:type="dxa"/>
            <w:shd w:val="clear" w:color="auto" w:fill="auto"/>
          </w:tcPr>
          <w:p w14:paraId="4EC010BB" w14:textId="77777777" w:rsidR="00E46DFF" w:rsidRPr="00B02337" w:rsidRDefault="00E46DFF" w:rsidP="00F51BBE">
            <w:pPr>
              <w:ind w:right="543"/>
            </w:pPr>
            <w:r w:rsidRPr="00B02337">
              <w:t>Email:</w:t>
            </w:r>
          </w:p>
        </w:tc>
        <w:tc>
          <w:tcPr>
            <w:tcW w:w="4621" w:type="dxa"/>
            <w:shd w:val="clear" w:color="auto" w:fill="auto"/>
          </w:tcPr>
          <w:p w14:paraId="394EA7FB" w14:textId="77777777" w:rsidR="00E46DFF" w:rsidRPr="00B02337" w:rsidRDefault="00927D9F" w:rsidP="00F51BBE">
            <w:pPr>
              <w:ind w:right="543"/>
            </w:pPr>
            <w:hyperlink r:id="rId11" w:history="1">
              <w:r w:rsidR="00E46DFF" w:rsidRPr="005516A5">
                <w:rPr>
                  <w:rStyle w:val="Hyperlink"/>
                </w:rPr>
                <w:t>m.kenyon@west-midlands.pnn.police.uk</w:t>
              </w:r>
            </w:hyperlink>
          </w:p>
        </w:tc>
      </w:tr>
      <w:tr w:rsidR="00E46DFF" w:rsidRPr="00B02337" w14:paraId="0952E90B" w14:textId="77777777" w:rsidTr="00F51BBE">
        <w:trPr>
          <w:trHeight w:val="645"/>
        </w:trPr>
        <w:tc>
          <w:tcPr>
            <w:tcW w:w="9242" w:type="dxa"/>
            <w:gridSpan w:val="2"/>
            <w:tcBorders>
              <w:bottom w:val="single" w:sz="4" w:space="0" w:color="auto"/>
            </w:tcBorders>
            <w:shd w:val="clear" w:color="auto" w:fill="auto"/>
          </w:tcPr>
          <w:p w14:paraId="2280B8B5" w14:textId="77777777" w:rsidR="00E46DFF" w:rsidRDefault="00E46DFF" w:rsidP="00F51BBE">
            <w:pPr>
              <w:ind w:right="543"/>
              <w:rPr>
                <w:b/>
              </w:rPr>
            </w:pPr>
          </w:p>
          <w:p w14:paraId="3F3AC561" w14:textId="77777777" w:rsidR="00E46DFF" w:rsidRPr="00B02337" w:rsidRDefault="00E46DFF" w:rsidP="00F51BBE">
            <w:pPr>
              <w:ind w:right="543"/>
              <w:rPr>
                <w:b/>
              </w:rPr>
            </w:pPr>
            <w:r w:rsidRPr="00B02337">
              <w:rPr>
                <w:b/>
              </w:rPr>
              <w:t>T</w:t>
            </w:r>
            <w:r w:rsidR="00421D81">
              <w:rPr>
                <w:b/>
              </w:rPr>
              <w:t>reasury Management Strategy 2021/22</w:t>
            </w:r>
          </w:p>
        </w:tc>
        <w:tc>
          <w:tcPr>
            <w:tcW w:w="9242" w:type="dxa"/>
          </w:tcPr>
          <w:p w14:paraId="4CB2FAF8" w14:textId="77777777" w:rsidR="00E46DFF" w:rsidRPr="00B02337" w:rsidRDefault="00E46DFF" w:rsidP="00F51BBE">
            <w:pPr>
              <w:ind w:right="543"/>
              <w:rPr>
                <w:b/>
              </w:rPr>
            </w:pPr>
          </w:p>
        </w:tc>
      </w:tr>
      <w:tr w:rsidR="00E46DFF" w:rsidRPr="00B02337" w14:paraId="09790C48" w14:textId="77777777" w:rsidTr="00F51BBE">
        <w:trPr>
          <w:gridAfter w:val="1"/>
          <w:wAfter w:w="9242" w:type="dxa"/>
          <w:trHeight w:val="345"/>
        </w:trPr>
        <w:tc>
          <w:tcPr>
            <w:tcW w:w="9242" w:type="dxa"/>
            <w:gridSpan w:val="2"/>
            <w:tcBorders>
              <w:top w:val="single" w:sz="4" w:space="0" w:color="auto"/>
            </w:tcBorders>
            <w:shd w:val="clear" w:color="auto" w:fill="auto"/>
          </w:tcPr>
          <w:p w14:paraId="4CC30284" w14:textId="77777777" w:rsidR="00E46DFF" w:rsidRPr="00B02337" w:rsidRDefault="00E46DFF" w:rsidP="00F51BBE">
            <w:pPr>
              <w:ind w:right="543"/>
              <w:rPr>
                <w:b/>
                <w:u w:val="single"/>
              </w:rPr>
            </w:pPr>
          </w:p>
          <w:p w14:paraId="704472A5" w14:textId="77777777" w:rsidR="00E46DFF" w:rsidRDefault="00E46DFF" w:rsidP="00F51BBE">
            <w:pPr>
              <w:ind w:right="543"/>
              <w:rPr>
                <w:b/>
                <w:u w:val="single"/>
              </w:rPr>
            </w:pPr>
            <w:r w:rsidRPr="00B02337">
              <w:rPr>
                <w:b/>
                <w:u w:val="single"/>
              </w:rPr>
              <w:t xml:space="preserve">EXECUTIVE SUMMARY </w:t>
            </w:r>
          </w:p>
          <w:p w14:paraId="0CEF04FA" w14:textId="77777777" w:rsidR="00E46DFF" w:rsidRPr="00B02337" w:rsidRDefault="00E46DFF" w:rsidP="00F51BBE">
            <w:pPr>
              <w:ind w:right="543"/>
              <w:rPr>
                <w:b/>
                <w:u w:val="single"/>
              </w:rPr>
            </w:pPr>
          </w:p>
          <w:p w14:paraId="489EA6FD" w14:textId="77777777" w:rsidR="00E46DFF" w:rsidRPr="00B02337" w:rsidRDefault="00E46DFF" w:rsidP="00F51BBE">
            <w:pPr>
              <w:ind w:right="543"/>
            </w:pPr>
            <w:r w:rsidRPr="00B02337">
              <w:t xml:space="preserve">This report sets out the Police and Crime Commissioner’s </w:t>
            </w:r>
            <w:r>
              <w:t>Tre</w:t>
            </w:r>
            <w:r w:rsidR="00421D81">
              <w:t>asury Strategy Statement 2021/22</w:t>
            </w:r>
            <w:r>
              <w:t xml:space="preserve"> </w:t>
            </w:r>
            <w:r w:rsidRPr="00B02337">
              <w:t>and updates on debt management activity and investment activit</w:t>
            </w:r>
            <w:r>
              <w:t>y d</w:t>
            </w:r>
            <w:r w:rsidR="00421D81">
              <w:t>uring the financial year 2020/21</w:t>
            </w:r>
            <w:r w:rsidR="00F51BBE">
              <w:t>.</w:t>
            </w:r>
          </w:p>
        </w:tc>
      </w:tr>
      <w:tr w:rsidR="00E46DFF" w:rsidRPr="00B02337" w14:paraId="342A0A9B" w14:textId="77777777" w:rsidTr="00F51BBE">
        <w:trPr>
          <w:gridAfter w:val="1"/>
          <w:wAfter w:w="9242" w:type="dxa"/>
        </w:trPr>
        <w:tc>
          <w:tcPr>
            <w:tcW w:w="9242" w:type="dxa"/>
            <w:gridSpan w:val="2"/>
            <w:shd w:val="clear" w:color="auto" w:fill="auto"/>
          </w:tcPr>
          <w:p w14:paraId="03D8EDDE" w14:textId="77777777" w:rsidR="00E46DFF" w:rsidRPr="00B02337" w:rsidRDefault="00E46DFF" w:rsidP="00F51BBE">
            <w:pPr>
              <w:ind w:right="543"/>
              <w:rPr>
                <w:b/>
              </w:rPr>
            </w:pPr>
          </w:p>
        </w:tc>
      </w:tr>
      <w:tr w:rsidR="00E46DFF" w:rsidRPr="00B02337" w14:paraId="7641A079" w14:textId="77777777" w:rsidTr="00F51BBE">
        <w:trPr>
          <w:gridAfter w:val="1"/>
          <w:wAfter w:w="9242" w:type="dxa"/>
          <w:trHeight w:val="2475"/>
        </w:trPr>
        <w:tc>
          <w:tcPr>
            <w:tcW w:w="9242" w:type="dxa"/>
            <w:gridSpan w:val="2"/>
            <w:tcBorders>
              <w:bottom w:val="single" w:sz="4" w:space="0" w:color="auto"/>
            </w:tcBorders>
            <w:shd w:val="clear" w:color="auto" w:fill="auto"/>
          </w:tcPr>
          <w:p w14:paraId="4BE5B58C" w14:textId="77777777" w:rsidR="00E46DFF" w:rsidRDefault="00E46DFF" w:rsidP="00F51BBE">
            <w:pPr>
              <w:ind w:right="543"/>
              <w:rPr>
                <w:b/>
                <w:u w:val="single"/>
              </w:rPr>
            </w:pPr>
            <w:r w:rsidRPr="00B02337">
              <w:rPr>
                <w:b/>
                <w:u w:val="single"/>
              </w:rPr>
              <w:t>DECISION</w:t>
            </w:r>
          </w:p>
          <w:p w14:paraId="4672A283" w14:textId="77777777" w:rsidR="00E46DFF" w:rsidRPr="00B02337" w:rsidRDefault="00E46DFF" w:rsidP="00F51BBE">
            <w:pPr>
              <w:ind w:right="543"/>
              <w:rPr>
                <w:b/>
                <w:u w:val="single"/>
              </w:rPr>
            </w:pPr>
          </w:p>
          <w:p w14:paraId="36D14F96" w14:textId="77777777" w:rsidR="00E46DFF" w:rsidRDefault="00E46DFF" w:rsidP="00F51BBE">
            <w:pPr>
              <w:numPr>
                <w:ilvl w:val="0"/>
                <w:numId w:val="38"/>
              </w:numPr>
              <w:ind w:right="543"/>
            </w:pPr>
            <w:r w:rsidRPr="00B02337">
              <w:t>The Commissioner formally adopts the CIPFA Code of Practice for Treasury Management.</w:t>
            </w:r>
          </w:p>
          <w:p w14:paraId="16E6F8B9" w14:textId="77777777" w:rsidR="00E46DFF" w:rsidRPr="00B02337" w:rsidRDefault="00E46DFF" w:rsidP="00F51BBE">
            <w:pPr>
              <w:ind w:left="1080" w:right="543"/>
            </w:pPr>
          </w:p>
          <w:p w14:paraId="35E092C5" w14:textId="77777777" w:rsidR="00E46DFF" w:rsidRDefault="00E46DFF" w:rsidP="00F51BBE">
            <w:pPr>
              <w:numPr>
                <w:ilvl w:val="0"/>
                <w:numId w:val="38"/>
              </w:numPr>
              <w:ind w:right="543"/>
            </w:pPr>
            <w:r w:rsidRPr="00B02337">
              <w:t>The Commissioner approves the Trea</w:t>
            </w:r>
            <w:r>
              <w:t>sur</w:t>
            </w:r>
            <w:r w:rsidR="00421D81">
              <w:t>y Strategy Statement for 2021/22</w:t>
            </w:r>
            <w:r w:rsidRPr="00B02337">
              <w:t xml:space="preserve"> set out in Appendix B.</w:t>
            </w:r>
          </w:p>
          <w:p w14:paraId="036B66F0" w14:textId="77777777" w:rsidR="00E46DFF" w:rsidRPr="00B02337" w:rsidRDefault="00E46DFF" w:rsidP="00F51BBE">
            <w:pPr>
              <w:ind w:right="543"/>
            </w:pPr>
          </w:p>
          <w:p w14:paraId="4A58B0B8" w14:textId="77777777" w:rsidR="00E46DFF" w:rsidRDefault="00E46DFF" w:rsidP="00F51BBE">
            <w:pPr>
              <w:numPr>
                <w:ilvl w:val="0"/>
                <w:numId w:val="38"/>
              </w:numPr>
              <w:ind w:right="543"/>
            </w:pPr>
            <w:r w:rsidRPr="00B02337">
              <w:t>The Commissioner approves the criteria for selecting counter parties and the current eligible counter parties and their limits as set out in Appendix C.</w:t>
            </w:r>
          </w:p>
          <w:p w14:paraId="47807123" w14:textId="77777777" w:rsidR="00F51BBE" w:rsidRDefault="00F51BBE" w:rsidP="00F51BBE">
            <w:pPr>
              <w:pStyle w:val="ListParagraph"/>
            </w:pPr>
          </w:p>
          <w:p w14:paraId="258133F1" w14:textId="77777777" w:rsidR="00F51BBE" w:rsidRDefault="00DF6DDC" w:rsidP="00F51BBE">
            <w:pPr>
              <w:numPr>
                <w:ilvl w:val="0"/>
                <w:numId w:val="38"/>
              </w:numPr>
              <w:ind w:right="543"/>
            </w:pPr>
            <w:r>
              <w:t>The Commissioner d</w:t>
            </w:r>
            <w:r w:rsidR="00F51BBE">
              <w:t xml:space="preserve">elegates to the Chief Finance Officer of the OPCC any amendments to Treasury Strategy Statement 2021/22 and counter party details.  </w:t>
            </w:r>
          </w:p>
          <w:p w14:paraId="68B2716D" w14:textId="77777777" w:rsidR="00E46DFF" w:rsidRPr="00B02337" w:rsidRDefault="00E46DFF" w:rsidP="00F51BBE">
            <w:pPr>
              <w:ind w:right="543"/>
            </w:pPr>
          </w:p>
          <w:p w14:paraId="20B64A60" w14:textId="77777777" w:rsidR="00E46DFF" w:rsidRPr="00B02337" w:rsidRDefault="00E46DFF" w:rsidP="00F51BBE">
            <w:pPr>
              <w:numPr>
                <w:ilvl w:val="0"/>
                <w:numId w:val="38"/>
              </w:numPr>
              <w:ind w:right="543"/>
              <w:rPr>
                <w:b/>
              </w:rPr>
            </w:pPr>
            <w:r w:rsidRPr="00B02337">
              <w:t>The Commissioner will undertake a mid-year review of Treasury Management activity in accordance with the CIPFA Code of Practice for Treasury Management.  This will be reported to the Joint Audit Committee.</w:t>
            </w:r>
          </w:p>
          <w:p w14:paraId="0C500E4F" w14:textId="77777777" w:rsidR="00E46DFF" w:rsidRPr="00B02337" w:rsidRDefault="00E46DFF" w:rsidP="00F51BBE">
            <w:pPr>
              <w:ind w:right="543"/>
              <w:rPr>
                <w:b/>
              </w:rPr>
            </w:pPr>
          </w:p>
        </w:tc>
      </w:tr>
      <w:tr w:rsidR="00E46DFF" w:rsidRPr="00B02337" w14:paraId="564B6DAD" w14:textId="77777777" w:rsidTr="00F51BBE">
        <w:trPr>
          <w:gridAfter w:val="1"/>
          <w:wAfter w:w="9242" w:type="dxa"/>
        </w:trPr>
        <w:tc>
          <w:tcPr>
            <w:tcW w:w="9242" w:type="dxa"/>
            <w:gridSpan w:val="2"/>
            <w:shd w:val="clear" w:color="auto" w:fill="auto"/>
          </w:tcPr>
          <w:p w14:paraId="4EB62F80" w14:textId="77777777" w:rsidR="00E46DFF" w:rsidRDefault="00E46DFF" w:rsidP="00F51BBE">
            <w:pPr>
              <w:ind w:right="543"/>
              <w:rPr>
                <w:b/>
              </w:rPr>
            </w:pPr>
          </w:p>
          <w:p w14:paraId="3E4930EB" w14:textId="77777777" w:rsidR="00E46DFF" w:rsidRDefault="00E46DFF" w:rsidP="00F51BBE">
            <w:pPr>
              <w:ind w:right="543"/>
              <w:rPr>
                <w:b/>
              </w:rPr>
            </w:pPr>
            <w:r w:rsidRPr="00B02337">
              <w:rPr>
                <w:b/>
              </w:rPr>
              <w:t>West Midlands Police and Crime Commissioner</w:t>
            </w:r>
          </w:p>
          <w:p w14:paraId="18E68509" w14:textId="77777777" w:rsidR="00E46DFF" w:rsidRPr="00B02337" w:rsidRDefault="00E46DFF" w:rsidP="00F51BBE">
            <w:pPr>
              <w:ind w:right="543"/>
              <w:rPr>
                <w:b/>
              </w:rPr>
            </w:pPr>
          </w:p>
          <w:p w14:paraId="5E8A5FB1" w14:textId="77777777" w:rsidR="00E46DFF" w:rsidRPr="00B02337" w:rsidRDefault="00E46DFF" w:rsidP="00F51BBE">
            <w:pPr>
              <w:ind w:right="543"/>
            </w:pPr>
            <w:r w:rsidRPr="00B02337">
              <w:t>I confirm that I do not have any disclosable pecuniary interests in this decision and take the decision in compliance with the Code of Conduct for the Police and Crime Commissioner for the West Midlands.  Any interests are indicated below.</w:t>
            </w:r>
          </w:p>
          <w:p w14:paraId="7D85F6B1" w14:textId="77777777" w:rsidR="00B32B71" w:rsidRDefault="00B32B71" w:rsidP="00F51BBE">
            <w:pPr>
              <w:ind w:right="543"/>
              <w:rPr>
                <w:b/>
              </w:rPr>
            </w:pPr>
          </w:p>
          <w:p w14:paraId="1755EC00" w14:textId="77777777" w:rsidR="00DF6DDC" w:rsidRPr="00B02337" w:rsidRDefault="00DF6DDC" w:rsidP="00F51BBE">
            <w:pPr>
              <w:ind w:right="543"/>
              <w:rPr>
                <w:b/>
              </w:rPr>
            </w:pPr>
          </w:p>
        </w:tc>
      </w:tr>
      <w:tr w:rsidR="00E46DFF" w:rsidRPr="00B02337" w14:paraId="6AF03671" w14:textId="77777777" w:rsidTr="00F51BBE">
        <w:trPr>
          <w:gridAfter w:val="1"/>
          <w:wAfter w:w="9242" w:type="dxa"/>
        </w:trPr>
        <w:tc>
          <w:tcPr>
            <w:tcW w:w="9242" w:type="dxa"/>
            <w:gridSpan w:val="2"/>
            <w:shd w:val="clear" w:color="auto" w:fill="auto"/>
          </w:tcPr>
          <w:p w14:paraId="26BB7019" w14:textId="77777777" w:rsidR="00E46DFF" w:rsidRDefault="00E46DFF" w:rsidP="00F51BBE">
            <w:pPr>
              <w:ind w:right="543"/>
            </w:pPr>
            <w:r w:rsidRPr="00B02337">
              <w:t>Signature………………………………………………….</w:t>
            </w:r>
          </w:p>
          <w:p w14:paraId="7FC83849" w14:textId="77777777" w:rsidR="00E46DFF" w:rsidRDefault="00E46DFF" w:rsidP="00F51BBE">
            <w:pPr>
              <w:ind w:right="543"/>
            </w:pPr>
          </w:p>
          <w:p w14:paraId="3F24341E" w14:textId="77777777" w:rsidR="00E46DFF" w:rsidRPr="00B02337" w:rsidRDefault="00E46DFF" w:rsidP="00B32B71">
            <w:pPr>
              <w:ind w:right="543"/>
              <w:rPr>
                <w:b/>
              </w:rPr>
            </w:pPr>
            <w:r w:rsidRPr="00B02337">
              <w:t>Date</w:t>
            </w:r>
            <w:r w:rsidR="00F51BBE">
              <w:t xml:space="preserve"> </w:t>
            </w:r>
          </w:p>
        </w:tc>
      </w:tr>
    </w:tbl>
    <w:p w14:paraId="1C657B33" w14:textId="77777777" w:rsidR="00B32B71" w:rsidRDefault="00B32B71" w:rsidP="00BD1911">
      <w:pPr>
        <w:ind w:left="426" w:right="543" w:hanging="426"/>
        <w:rPr>
          <w:b/>
        </w:rPr>
      </w:pPr>
    </w:p>
    <w:p w14:paraId="7C340799" w14:textId="77777777" w:rsidR="00421D81" w:rsidRPr="00544436" w:rsidRDefault="00421D81" w:rsidP="00421D81">
      <w:pPr>
        <w:pStyle w:val="Heading1"/>
        <w:ind w:left="426" w:hanging="426"/>
        <w:rPr>
          <w:b w:val="0"/>
        </w:rPr>
      </w:pPr>
      <w:r w:rsidRPr="00544436">
        <w:rPr>
          <w:rFonts w:ascii="Arial" w:hAnsi="Arial" w:cs="Arial"/>
          <w:sz w:val="22"/>
          <w:szCs w:val="22"/>
        </w:rPr>
        <w:t>1.</w:t>
      </w:r>
      <w:r>
        <w:rPr>
          <w:rFonts w:ascii="Arial" w:hAnsi="Arial" w:cs="Arial"/>
          <w:sz w:val="22"/>
          <w:szCs w:val="22"/>
        </w:rPr>
        <w:tab/>
      </w:r>
      <w:r w:rsidRPr="00544436">
        <w:rPr>
          <w:rFonts w:ascii="Arial" w:hAnsi="Arial" w:cs="Arial"/>
          <w:sz w:val="22"/>
          <w:szCs w:val="22"/>
        </w:rPr>
        <w:t>PURPOSE OF REPORT</w:t>
      </w:r>
    </w:p>
    <w:p w14:paraId="731481FF" w14:textId="77777777" w:rsidR="00421D81" w:rsidRDefault="00421D81" w:rsidP="00421D81">
      <w:pPr>
        <w:ind w:right="543"/>
      </w:pPr>
    </w:p>
    <w:p w14:paraId="74CC18EE" w14:textId="77777777" w:rsidR="00421D81" w:rsidRDefault="00421D81" w:rsidP="00421D81">
      <w:pPr>
        <w:pStyle w:val="ListParagraph"/>
        <w:numPr>
          <w:ilvl w:val="1"/>
          <w:numId w:val="12"/>
        </w:numPr>
        <w:ind w:left="426" w:right="28" w:hanging="426"/>
        <w:jc w:val="both"/>
      </w:pPr>
      <w:r>
        <w:t>This</w:t>
      </w:r>
      <w:r w:rsidRPr="00194B10">
        <w:t xml:space="preserve"> </w:t>
      </w:r>
      <w:r>
        <w:t xml:space="preserve">report sets out the </w:t>
      </w:r>
      <w:r w:rsidRPr="002B038D">
        <w:t>Police and Crime Commissioner’s</w:t>
      </w:r>
      <w:r>
        <w:t xml:space="preserve"> Treasury Strategy Statement for 2021/22 and updates on debt management activity and investment activity during the financial year 2020/21.</w:t>
      </w:r>
    </w:p>
    <w:p w14:paraId="54E5680F" w14:textId="77777777" w:rsidR="00421D81" w:rsidRDefault="00421D81" w:rsidP="00421D81">
      <w:pPr>
        <w:pStyle w:val="ListParagraph"/>
        <w:ind w:left="360" w:right="28"/>
        <w:jc w:val="both"/>
      </w:pPr>
      <w:r>
        <w:t xml:space="preserve"> </w:t>
      </w:r>
    </w:p>
    <w:p w14:paraId="7FD5DC31" w14:textId="77777777" w:rsidR="00421D81" w:rsidRDefault="00421D81" w:rsidP="00421D81">
      <w:pPr>
        <w:pStyle w:val="ListParagraph"/>
        <w:numPr>
          <w:ilvl w:val="1"/>
          <w:numId w:val="12"/>
        </w:numPr>
        <w:ind w:left="426" w:right="28" w:hanging="426"/>
        <w:jc w:val="both"/>
      </w:pPr>
      <w:r>
        <w:t>This report also updates</w:t>
      </w:r>
      <w:r w:rsidRPr="00953C68">
        <w:t xml:space="preserve"> on recent Treasury Management activity, in line with recommended best practice and the revised CIPFA Code of Pra</w:t>
      </w:r>
      <w:r>
        <w:t>ctice for Treasury Management.</w:t>
      </w:r>
    </w:p>
    <w:p w14:paraId="4A6D2E59" w14:textId="77777777" w:rsidR="00421D81" w:rsidRDefault="00421D81" w:rsidP="00421D81">
      <w:pPr>
        <w:pStyle w:val="ListParagraph"/>
        <w:ind w:left="360" w:right="28"/>
        <w:jc w:val="both"/>
      </w:pPr>
    </w:p>
    <w:p w14:paraId="5997F18F" w14:textId="77777777" w:rsidR="00421D81" w:rsidRDefault="00421D81" w:rsidP="00421D81">
      <w:pPr>
        <w:pStyle w:val="ListParagraph"/>
        <w:numPr>
          <w:ilvl w:val="1"/>
          <w:numId w:val="12"/>
        </w:numPr>
        <w:ind w:left="426" w:right="28" w:hanging="426"/>
        <w:jc w:val="both"/>
      </w:pPr>
      <w:r>
        <w:t xml:space="preserve">It </w:t>
      </w:r>
      <w:r w:rsidRPr="00953C68">
        <w:t xml:space="preserve">is important to note that financial information contained within this report should not be used by any individual or organisation as a basis for making investment or borrowing decisions. </w:t>
      </w:r>
      <w:r>
        <w:t xml:space="preserve"> </w:t>
      </w:r>
      <w:r w:rsidRPr="00953C68">
        <w:t xml:space="preserve">The </w:t>
      </w:r>
      <w:r>
        <w:t>Commissioner</w:t>
      </w:r>
      <w:r w:rsidRPr="00953C68">
        <w:t xml:space="preserve"> and </w:t>
      </w:r>
      <w:r>
        <w:t xml:space="preserve">his </w:t>
      </w:r>
      <w:r w:rsidRPr="00953C68">
        <w:t>treasury advis</w:t>
      </w:r>
      <w:r>
        <w:t>e</w:t>
      </w:r>
      <w:r w:rsidRPr="00953C68">
        <w:t>rs will not accept any liability on behalf of any individual or organisation who seeks to act on the financial information contained within this report.</w:t>
      </w:r>
    </w:p>
    <w:p w14:paraId="351AE400" w14:textId="77777777" w:rsidR="00421D81" w:rsidRDefault="00421D81" w:rsidP="00421D81">
      <w:pPr>
        <w:ind w:right="28"/>
      </w:pPr>
    </w:p>
    <w:p w14:paraId="63A9A0CD" w14:textId="77777777" w:rsidR="00421D81" w:rsidRPr="00544436" w:rsidRDefault="00421D81" w:rsidP="00421D81">
      <w:pPr>
        <w:pStyle w:val="Heading1"/>
        <w:ind w:left="426" w:hanging="426"/>
        <w:rPr>
          <w:b w:val="0"/>
        </w:rPr>
      </w:pPr>
      <w:r>
        <w:rPr>
          <w:rFonts w:ascii="Arial" w:hAnsi="Arial" w:cs="Arial"/>
          <w:sz w:val="22"/>
          <w:szCs w:val="22"/>
        </w:rPr>
        <w:t xml:space="preserve">2.    </w:t>
      </w:r>
      <w:r w:rsidRPr="00544436">
        <w:rPr>
          <w:rFonts w:ascii="Arial" w:hAnsi="Arial" w:cs="Arial"/>
          <w:sz w:val="22"/>
          <w:szCs w:val="22"/>
        </w:rPr>
        <w:t>INTRODUCTION AND BACKGROUND</w:t>
      </w:r>
    </w:p>
    <w:p w14:paraId="7D8AB947" w14:textId="77777777" w:rsidR="00421D81" w:rsidRDefault="00421D81" w:rsidP="00421D81"/>
    <w:p w14:paraId="4DF2CCB5" w14:textId="77777777" w:rsidR="00421D81" w:rsidRPr="00BD5CA1" w:rsidRDefault="00421D81" w:rsidP="00421D81">
      <w:pPr>
        <w:ind w:left="426" w:right="28" w:hanging="426"/>
        <w:jc w:val="both"/>
        <w:rPr>
          <w:b/>
        </w:rPr>
      </w:pPr>
      <w:r>
        <w:t>2.1</w:t>
      </w:r>
      <w:r>
        <w:tab/>
        <w:t xml:space="preserve">The Commissioner is legally required to produce an Annual Investment Strategy.  Therefore, included is an Investment Strategy as part of the Treasury Strategy Statement shown in </w:t>
      </w:r>
      <w:r w:rsidRPr="00BD5CA1">
        <w:rPr>
          <w:b/>
        </w:rPr>
        <w:t>Appendix B.</w:t>
      </w:r>
    </w:p>
    <w:p w14:paraId="76A41597" w14:textId="77777777" w:rsidR="00421D81" w:rsidRDefault="00421D81" w:rsidP="00421D81">
      <w:pPr>
        <w:jc w:val="both"/>
      </w:pPr>
    </w:p>
    <w:p w14:paraId="0FDD39E5" w14:textId="77777777" w:rsidR="00421D81" w:rsidRPr="00BD5CA1" w:rsidRDefault="00421D81" w:rsidP="00421D81">
      <w:pPr>
        <w:ind w:left="426" w:right="28" w:hanging="426"/>
        <w:jc w:val="both"/>
        <w:rPr>
          <w:b/>
        </w:rPr>
      </w:pPr>
      <w:r>
        <w:t>2.2</w:t>
      </w:r>
      <w:r>
        <w:tab/>
        <w:t>I</w:t>
      </w:r>
      <w:r w:rsidRPr="00BA13EA">
        <w:t xml:space="preserve">n order to protect the Commissioner’s position if an individual or organisation were to act upon this advice, it is deemed necessary to produce a disclaimer, which is shown as a note at the head of </w:t>
      </w:r>
      <w:r w:rsidRPr="00BD5CA1">
        <w:rPr>
          <w:b/>
        </w:rPr>
        <w:t>Appendix B.</w:t>
      </w:r>
    </w:p>
    <w:p w14:paraId="3502B95E" w14:textId="77777777" w:rsidR="00421D81" w:rsidRDefault="00421D81" w:rsidP="00421D81">
      <w:pPr>
        <w:jc w:val="both"/>
        <w:rPr>
          <w:b/>
          <w:bCs/>
        </w:rPr>
      </w:pPr>
    </w:p>
    <w:p w14:paraId="448E274F" w14:textId="77777777" w:rsidR="00421D81" w:rsidRDefault="00421D81" w:rsidP="00421D81">
      <w:pPr>
        <w:ind w:left="426" w:right="28" w:hanging="426"/>
        <w:jc w:val="both"/>
      </w:pPr>
      <w:r>
        <w:t>2.3</w:t>
      </w:r>
      <w:r>
        <w:tab/>
        <w:t xml:space="preserve">The Commissioner is responsible for administering a Capital Programme </w:t>
      </w:r>
      <w:r w:rsidRPr="000F0B9C">
        <w:t xml:space="preserve">of </w:t>
      </w:r>
      <w:r w:rsidRPr="00BD5CA1">
        <w:t>£150.2m</w:t>
      </w:r>
      <w:r>
        <w:t xml:space="preserve"> </w:t>
      </w:r>
      <w:r w:rsidRPr="00BD5CA1">
        <w:t>between</w:t>
      </w:r>
      <w:r>
        <w:t xml:space="preserve"> 2021-22 and 2024-25.  As far as possible all surplus revenue money and other reserves are invested on a daily basis until they are required.</w:t>
      </w:r>
    </w:p>
    <w:p w14:paraId="1C86EB93" w14:textId="77777777" w:rsidR="00421D81" w:rsidRDefault="00421D81" w:rsidP="00421D81">
      <w:pPr>
        <w:ind w:left="720" w:hanging="720"/>
        <w:jc w:val="both"/>
      </w:pPr>
    </w:p>
    <w:p w14:paraId="7F083320" w14:textId="77777777" w:rsidR="00421D81" w:rsidRDefault="00421D81" w:rsidP="00421D81">
      <w:pPr>
        <w:ind w:left="426" w:right="28" w:hanging="426"/>
        <w:jc w:val="both"/>
      </w:pPr>
      <w:r>
        <w:t>2.4</w:t>
      </w:r>
      <w:r>
        <w:tab/>
        <w:t>The Commissioner follows the Code of Practice for Treasury Management produced by the Chartered Institute of Public Finance and Accountancy (CIPFA). The Code emphasises the following key points:</w:t>
      </w:r>
    </w:p>
    <w:p w14:paraId="789E52D3" w14:textId="77777777" w:rsidR="00421D81" w:rsidRPr="00667EFE" w:rsidRDefault="00421D81" w:rsidP="00421D81">
      <w:pPr>
        <w:numPr>
          <w:ilvl w:val="0"/>
          <w:numId w:val="20"/>
        </w:numPr>
        <w:tabs>
          <w:tab w:val="clear" w:pos="2160"/>
        </w:tabs>
        <w:ind w:left="1843" w:hanging="425"/>
        <w:jc w:val="both"/>
      </w:pPr>
      <w:r>
        <w:t>The Commissioner</w:t>
      </w:r>
      <w:r w:rsidRPr="00625D3F">
        <w:t xml:space="preserve"> must formally adopt the Code</w:t>
      </w:r>
      <w:r>
        <w:t>.</w:t>
      </w:r>
    </w:p>
    <w:p w14:paraId="6CDC60C3" w14:textId="77777777" w:rsidR="00421D81" w:rsidRDefault="00421D81" w:rsidP="00421D81">
      <w:pPr>
        <w:numPr>
          <w:ilvl w:val="0"/>
          <w:numId w:val="20"/>
        </w:numPr>
        <w:tabs>
          <w:tab w:val="clear" w:pos="2160"/>
          <w:tab w:val="num" w:pos="720"/>
        </w:tabs>
        <w:autoSpaceDE w:val="0"/>
        <w:autoSpaceDN w:val="0"/>
        <w:adjustRightInd w:val="0"/>
        <w:ind w:left="1843" w:hanging="425"/>
        <w:jc w:val="both"/>
      </w:pPr>
      <w:r w:rsidRPr="00625D3F">
        <w:t>The strategy report will affirm that the effective management and control of risk are prime objectives</w:t>
      </w:r>
      <w:r>
        <w:t>.</w:t>
      </w:r>
    </w:p>
    <w:p w14:paraId="5D78F945" w14:textId="77777777" w:rsidR="00421D81" w:rsidRDefault="00421D81" w:rsidP="00421D81">
      <w:pPr>
        <w:numPr>
          <w:ilvl w:val="0"/>
          <w:numId w:val="20"/>
        </w:numPr>
        <w:tabs>
          <w:tab w:val="clear" w:pos="2160"/>
          <w:tab w:val="num" w:pos="720"/>
        </w:tabs>
        <w:autoSpaceDE w:val="0"/>
        <w:autoSpaceDN w:val="0"/>
        <w:adjustRightInd w:val="0"/>
        <w:ind w:left="1843" w:hanging="425"/>
        <w:jc w:val="both"/>
      </w:pPr>
      <w:r w:rsidRPr="00625D3F">
        <w:t xml:space="preserve">The </w:t>
      </w:r>
      <w:r>
        <w:t>Commissioner’s</w:t>
      </w:r>
      <w:r w:rsidRPr="00625D3F">
        <w:t xml:space="preserve"> appetite for risk must be clearly identified within the strategy report and </w:t>
      </w:r>
      <w:r>
        <w:t>the</w:t>
      </w:r>
      <w:r w:rsidRPr="00625D3F">
        <w:t xml:space="preserve"> priority given to security of capital and liquidity when investing funds and </w:t>
      </w:r>
      <w:r>
        <w:t>an expla</w:t>
      </w:r>
      <w:r w:rsidRPr="00625D3F">
        <w:t>n</w:t>
      </w:r>
      <w:r>
        <w:t xml:space="preserve">ation as to </w:t>
      </w:r>
      <w:r w:rsidRPr="00625D3F">
        <w:t>how that will be carried out.</w:t>
      </w:r>
    </w:p>
    <w:p w14:paraId="04FFC395" w14:textId="77777777" w:rsidR="00421D81" w:rsidRDefault="00421D81" w:rsidP="00421D81">
      <w:pPr>
        <w:numPr>
          <w:ilvl w:val="0"/>
          <w:numId w:val="20"/>
        </w:numPr>
        <w:tabs>
          <w:tab w:val="clear" w:pos="2160"/>
          <w:tab w:val="num" w:pos="720"/>
        </w:tabs>
        <w:autoSpaceDE w:val="0"/>
        <w:autoSpaceDN w:val="0"/>
        <w:adjustRightInd w:val="0"/>
        <w:ind w:left="1843" w:hanging="425"/>
        <w:jc w:val="both"/>
      </w:pPr>
      <w:r w:rsidRPr="00625D3F">
        <w:t>Responsibility for risk management and control lies within the organisation</w:t>
      </w:r>
      <w:r>
        <w:t>.</w:t>
      </w:r>
    </w:p>
    <w:p w14:paraId="62FED3BD" w14:textId="77777777" w:rsidR="00421D81" w:rsidRDefault="00421D81" w:rsidP="00421D81">
      <w:pPr>
        <w:numPr>
          <w:ilvl w:val="0"/>
          <w:numId w:val="20"/>
        </w:numPr>
        <w:tabs>
          <w:tab w:val="clear" w:pos="2160"/>
          <w:tab w:val="num" w:pos="720"/>
        </w:tabs>
        <w:autoSpaceDE w:val="0"/>
        <w:autoSpaceDN w:val="0"/>
        <w:adjustRightInd w:val="0"/>
        <w:ind w:left="1843" w:hanging="425"/>
        <w:jc w:val="both"/>
      </w:pPr>
      <w:r w:rsidRPr="00625D3F">
        <w:t>Credit ratings should be used as a starting point when considering risk</w:t>
      </w:r>
      <w:r>
        <w:t xml:space="preserve"> but use</w:t>
      </w:r>
      <w:r w:rsidRPr="00625D3F">
        <w:t xml:space="preserve"> should also be made of market data and information, the financial </w:t>
      </w:r>
      <w:r>
        <w:t>media</w:t>
      </w:r>
      <w:r w:rsidRPr="00625D3F">
        <w:t xml:space="preserve">, information on government support for banks and the credit ratings of that government support. </w:t>
      </w:r>
    </w:p>
    <w:p w14:paraId="650DE4BB" w14:textId="77777777" w:rsidR="00421D81" w:rsidRDefault="00421D81" w:rsidP="00421D81">
      <w:pPr>
        <w:numPr>
          <w:ilvl w:val="0"/>
          <w:numId w:val="20"/>
        </w:numPr>
        <w:tabs>
          <w:tab w:val="clear" w:pos="2160"/>
          <w:tab w:val="num" w:pos="720"/>
        </w:tabs>
        <w:autoSpaceDE w:val="0"/>
        <w:autoSpaceDN w:val="0"/>
        <w:adjustRightInd w:val="0"/>
        <w:ind w:left="1843" w:hanging="425"/>
        <w:jc w:val="both"/>
      </w:pPr>
      <w:r>
        <w:t xml:space="preserve">The Commissioner </w:t>
      </w:r>
      <w:r w:rsidRPr="00625D3F">
        <w:t>need</w:t>
      </w:r>
      <w:r>
        <w:t>s</w:t>
      </w:r>
      <w:r w:rsidRPr="00625D3F">
        <w:t xml:space="preserve"> a sound diversification policy with high credit quality counterparties and should consider setting co</w:t>
      </w:r>
      <w:r>
        <w:t>untry, sector and group limits.</w:t>
      </w:r>
    </w:p>
    <w:p w14:paraId="610CC96D" w14:textId="77777777" w:rsidR="00421D81" w:rsidRDefault="00421D81" w:rsidP="00421D81">
      <w:pPr>
        <w:numPr>
          <w:ilvl w:val="0"/>
          <w:numId w:val="20"/>
        </w:numPr>
        <w:tabs>
          <w:tab w:val="clear" w:pos="2160"/>
          <w:tab w:val="num" w:pos="720"/>
        </w:tabs>
        <w:autoSpaceDE w:val="0"/>
        <w:autoSpaceDN w:val="0"/>
        <w:adjustRightInd w:val="0"/>
        <w:ind w:left="1843" w:hanging="425"/>
        <w:jc w:val="both"/>
      </w:pPr>
      <w:r w:rsidRPr="00625D3F">
        <w:t xml:space="preserve">Borrowing in advance of need is only </w:t>
      </w:r>
      <w:r>
        <w:t>allowed</w:t>
      </w:r>
      <w:r w:rsidRPr="00625D3F">
        <w:t xml:space="preserve"> when there is a clear business case for doing so and only for the current capital programme or to finance future debt maturities.</w:t>
      </w:r>
    </w:p>
    <w:p w14:paraId="42983F3A" w14:textId="77777777" w:rsidR="00421D81" w:rsidRDefault="00421D81" w:rsidP="00421D81">
      <w:pPr>
        <w:numPr>
          <w:ilvl w:val="0"/>
          <w:numId w:val="20"/>
        </w:numPr>
        <w:tabs>
          <w:tab w:val="clear" w:pos="2160"/>
          <w:tab w:val="num" w:pos="720"/>
        </w:tabs>
        <w:autoSpaceDE w:val="0"/>
        <w:autoSpaceDN w:val="0"/>
        <w:adjustRightInd w:val="0"/>
        <w:ind w:left="1843" w:hanging="425"/>
        <w:jc w:val="both"/>
      </w:pPr>
      <w:r w:rsidRPr="00625D3F">
        <w:lastRenderedPageBreak/>
        <w:t>There needs to be, at a minimum, a mid</w:t>
      </w:r>
      <w:r>
        <w:t>-</w:t>
      </w:r>
      <w:r w:rsidRPr="00625D3F">
        <w:t>year review of treasury management strategy and performance</w:t>
      </w:r>
      <w:r>
        <w:t xml:space="preserve"> to </w:t>
      </w:r>
      <w:r w:rsidRPr="00625D3F">
        <w:t>highlight any areas of concern that have arisen since the original strategy was approved.</w:t>
      </w:r>
    </w:p>
    <w:p w14:paraId="65BE6BBC" w14:textId="77777777" w:rsidR="00421D81" w:rsidRDefault="00421D81" w:rsidP="00421D81">
      <w:pPr>
        <w:numPr>
          <w:ilvl w:val="0"/>
          <w:numId w:val="20"/>
        </w:numPr>
        <w:tabs>
          <w:tab w:val="clear" w:pos="2160"/>
          <w:tab w:val="num" w:pos="720"/>
        </w:tabs>
        <w:autoSpaceDE w:val="0"/>
        <w:autoSpaceDN w:val="0"/>
        <w:adjustRightInd w:val="0"/>
        <w:ind w:left="1843" w:hanging="425"/>
        <w:jc w:val="both"/>
      </w:pPr>
      <w:r>
        <w:t>The Commissioner</w:t>
      </w:r>
      <w:r w:rsidRPr="00625D3F">
        <w:t xml:space="preserve"> must delegate the role of scrutiny of treasury management strategy and policies to a specific named body.</w:t>
      </w:r>
    </w:p>
    <w:p w14:paraId="5537F911" w14:textId="77777777" w:rsidR="00421D81" w:rsidRDefault="00421D81" w:rsidP="00421D81">
      <w:pPr>
        <w:numPr>
          <w:ilvl w:val="0"/>
          <w:numId w:val="20"/>
        </w:numPr>
        <w:tabs>
          <w:tab w:val="clear" w:pos="2160"/>
          <w:tab w:val="num" w:pos="720"/>
        </w:tabs>
        <w:autoSpaceDE w:val="0"/>
        <w:autoSpaceDN w:val="0"/>
        <w:adjustRightInd w:val="0"/>
        <w:ind w:left="1843" w:hanging="425"/>
        <w:jc w:val="both"/>
      </w:pPr>
      <w:r w:rsidRPr="00625D3F">
        <w:t>Treasury management performance and policy setting should be subjected to prior scrutiny.</w:t>
      </w:r>
    </w:p>
    <w:p w14:paraId="5F5ADEFC" w14:textId="77777777" w:rsidR="00421D81" w:rsidRDefault="00421D81" w:rsidP="00421D81">
      <w:pPr>
        <w:numPr>
          <w:ilvl w:val="0"/>
          <w:numId w:val="20"/>
        </w:numPr>
        <w:tabs>
          <w:tab w:val="clear" w:pos="2160"/>
          <w:tab w:val="num" w:pos="720"/>
        </w:tabs>
        <w:autoSpaceDE w:val="0"/>
        <w:autoSpaceDN w:val="0"/>
        <w:adjustRightInd w:val="0"/>
        <w:ind w:left="1843" w:hanging="425"/>
        <w:jc w:val="both"/>
      </w:pPr>
      <w:r>
        <w:t>The Commissioner, and his staff,</w:t>
      </w:r>
      <w:r w:rsidRPr="00625D3F">
        <w:t xml:space="preserve"> should be provided with access to relevant training</w:t>
      </w:r>
      <w:r>
        <w:t xml:space="preserve"> as t</w:t>
      </w:r>
      <w:r w:rsidRPr="00625D3F">
        <w:t>hose charged with governance are also personally responsible for ensuring they have the necessary skills and training.</w:t>
      </w:r>
    </w:p>
    <w:p w14:paraId="3C295345" w14:textId="77777777" w:rsidR="00421D81" w:rsidRDefault="00421D81" w:rsidP="00421D81">
      <w:pPr>
        <w:numPr>
          <w:ilvl w:val="0"/>
          <w:numId w:val="20"/>
        </w:numPr>
        <w:tabs>
          <w:tab w:val="clear" w:pos="2160"/>
          <w:tab w:val="num" w:pos="720"/>
        </w:tabs>
        <w:autoSpaceDE w:val="0"/>
        <w:autoSpaceDN w:val="0"/>
        <w:adjustRightInd w:val="0"/>
        <w:ind w:left="1843" w:hanging="425"/>
        <w:jc w:val="both"/>
      </w:pPr>
      <w:r w:rsidRPr="00625D3F">
        <w:t xml:space="preserve">Officers involved in treasury management must be explicitly required to follow treasury management policies and procedures when making investment and borrowing decisions on behalf of the </w:t>
      </w:r>
      <w:r>
        <w:t>Commissioner.</w:t>
      </w:r>
    </w:p>
    <w:p w14:paraId="186C6339" w14:textId="77777777" w:rsidR="00421D81" w:rsidRPr="00247306" w:rsidRDefault="00421D81" w:rsidP="00421D81"/>
    <w:p w14:paraId="11273D6E" w14:textId="77777777" w:rsidR="00421D81" w:rsidRPr="00247306" w:rsidRDefault="00421D81" w:rsidP="00421D81">
      <w:pPr>
        <w:ind w:left="426" w:hanging="426"/>
        <w:jc w:val="both"/>
        <w:rPr>
          <w:rFonts w:cs="Times New Roman"/>
          <w:lang w:eastAsia="en-US"/>
        </w:rPr>
      </w:pPr>
      <w:r>
        <w:t>2.5</w:t>
      </w:r>
      <w:r>
        <w:tab/>
      </w:r>
      <w:r>
        <w:rPr>
          <w:rFonts w:cs="Times New Roman"/>
          <w:lang w:eastAsia="en-US"/>
        </w:rPr>
        <w:t xml:space="preserve">The </w:t>
      </w:r>
      <w:r w:rsidRPr="00247306">
        <w:rPr>
          <w:rFonts w:cs="Times New Roman"/>
          <w:lang w:eastAsia="en-US"/>
        </w:rPr>
        <w:t>C</w:t>
      </w:r>
      <w:r>
        <w:rPr>
          <w:rFonts w:cs="Times New Roman"/>
          <w:lang w:eastAsia="en-US"/>
        </w:rPr>
        <w:t>ommissioner</w:t>
      </w:r>
      <w:r w:rsidRPr="00247306">
        <w:rPr>
          <w:rFonts w:cs="Times New Roman"/>
          <w:lang w:eastAsia="en-US"/>
        </w:rPr>
        <w:t>'s Treasury Management activ</w:t>
      </w:r>
      <w:r>
        <w:rPr>
          <w:rFonts w:cs="Times New Roman"/>
          <w:lang w:eastAsia="en-US"/>
        </w:rPr>
        <w:t xml:space="preserve">ity is governed by the following </w:t>
      </w:r>
      <w:r w:rsidRPr="00247306">
        <w:rPr>
          <w:rFonts w:cs="Times New Roman"/>
          <w:lang w:eastAsia="en-US"/>
        </w:rPr>
        <w:t>documents:</w:t>
      </w:r>
    </w:p>
    <w:p w14:paraId="296C4F86" w14:textId="77777777" w:rsidR="00421D81" w:rsidRPr="00247306" w:rsidRDefault="00421D81" w:rsidP="00421D81">
      <w:pPr>
        <w:spacing w:line="276" w:lineRule="auto"/>
        <w:ind w:left="720" w:hanging="720"/>
        <w:jc w:val="both"/>
        <w:rPr>
          <w:rFonts w:cs="Times New Roman"/>
          <w:lang w:eastAsia="en-US"/>
        </w:rPr>
      </w:pPr>
    </w:p>
    <w:p w14:paraId="3B3381C0" w14:textId="77777777" w:rsidR="00421D81" w:rsidRPr="00BD5CA1" w:rsidRDefault="00421D81" w:rsidP="00421D81">
      <w:pPr>
        <w:numPr>
          <w:ilvl w:val="0"/>
          <w:numId w:val="23"/>
        </w:numPr>
        <w:spacing w:after="200" w:line="276" w:lineRule="auto"/>
        <w:jc w:val="both"/>
        <w:rPr>
          <w:rFonts w:cs="Times New Roman"/>
          <w:b/>
          <w:lang w:eastAsia="en-US"/>
        </w:rPr>
      </w:pPr>
      <w:r w:rsidRPr="00247306">
        <w:rPr>
          <w:rFonts w:cs="Times New Roman"/>
          <w:b/>
          <w:bCs/>
          <w:lang w:eastAsia="en-US"/>
        </w:rPr>
        <w:t>Treasury Policy Statement.</w:t>
      </w:r>
      <w:r w:rsidRPr="00247306">
        <w:rPr>
          <w:rFonts w:cs="Times New Roman"/>
          <w:lang w:eastAsia="en-US"/>
        </w:rPr>
        <w:t xml:space="preserve">  This is a statement, defining treasury management and the general approach to it.  It emphasises firstly the control of risk and secondly the pursuit of best value as the main factors defining the approach.  A copy is attached at </w:t>
      </w:r>
      <w:r w:rsidRPr="00BD5CA1">
        <w:rPr>
          <w:rFonts w:cs="Times New Roman"/>
          <w:b/>
          <w:lang w:eastAsia="en-US"/>
        </w:rPr>
        <w:t>Appendix A.</w:t>
      </w:r>
    </w:p>
    <w:p w14:paraId="420573D3" w14:textId="77777777" w:rsidR="00421D81" w:rsidRPr="00077F36" w:rsidRDefault="00421D81" w:rsidP="00421D81">
      <w:pPr>
        <w:numPr>
          <w:ilvl w:val="0"/>
          <w:numId w:val="23"/>
        </w:numPr>
        <w:spacing w:after="200" w:line="276" w:lineRule="auto"/>
        <w:jc w:val="both"/>
        <w:rPr>
          <w:rFonts w:cs="Times New Roman"/>
          <w:lang w:eastAsia="en-US"/>
        </w:rPr>
      </w:pPr>
      <w:r w:rsidRPr="00247306">
        <w:rPr>
          <w:rFonts w:cs="Times New Roman"/>
          <w:b/>
          <w:bCs/>
          <w:lang w:eastAsia="en-US"/>
        </w:rPr>
        <w:t>Treasury Management Practices</w:t>
      </w:r>
      <w:r w:rsidRPr="00247306">
        <w:rPr>
          <w:rFonts w:cs="Times New Roman"/>
          <w:lang w:eastAsia="en-US"/>
        </w:rPr>
        <w:t xml:space="preserve"> (TMPs) and Schedules to TMPs. TMPs define the overall approach to various aspects of treasury management, including such things as risk management, performance monitoring and management, segregation of duties and dealing arrangements, cash flow management, money laundering and staff training. The Schedules to TMPs deal with the criteria for selecting third parties (banks and bui</w:t>
      </w:r>
      <w:r>
        <w:rPr>
          <w:rFonts w:cs="Times New Roman"/>
          <w:lang w:eastAsia="en-US"/>
        </w:rPr>
        <w:t xml:space="preserve">lding societies) with whom the </w:t>
      </w:r>
      <w:r w:rsidRPr="00247306">
        <w:rPr>
          <w:rFonts w:cs="Times New Roman"/>
          <w:lang w:eastAsia="en-US"/>
        </w:rPr>
        <w:t>C</w:t>
      </w:r>
      <w:r>
        <w:rPr>
          <w:rFonts w:cs="Times New Roman"/>
          <w:lang w:eastAsia="en-US"/>
        </w:rPr>
        <w:t>ommissioner</w:t>
      </w:r>
      <w:r w:rsidRPr="00247306">
        <w:rPr>
          <w:rFonts w:cs="Times New Roman"/>
          <w:lang w:eastAsia="en-US"/>
        </w:rPr>
        <w:t xml:space="preserve"> is prepared to deposit funds.  The TMPs and Schedules are reviewed regularly by the C</w:t>
      </w:r>
      <w:r>
        <w:rPr>
          <w:rFonts w:cs="Times New Roman"/>
          <w:lang w:eastAsia="en-US"/>
        </w:rPr>
        <w:t>ommissioner</w:t>
      </w:r>
      <w:r w:rsidRPr="00247306">
        <w:rPr>
          <w:rFonts w:cs="Times New Roman"/>
          <w:lang w:eastAsia="en-US"/>
        </w:rPr>
        <w:t xml:space="preserve">’s CFO and </w:t>
      </w:r>
      <w:r>
        <w:rPr>
          <w:rFonts w:cs="Times New Roman"/>
          <w:lang w:eastAsia="en-US"/>
        </w:rPr>
        <w:t xml:space="preserve">electronic </w:t>
      </w:r>
      <w:r w:rsidRPr="00247306">
        <w:rPr>
          <w:rFonts w:cs="Times New Roman"/>
          <w:lang w:eastAsia="en-US"/>
        </w:rPr>
        <w:t xml:space="preserve">copies are available on request. </w:t>
      </w:r>
    </w:p>
    <w:p w14:paraId="66392DA8" w14:textId="77777777" w:rsidR="00421D81" w:rsidRPr="00247306" w:rsidRDefault="00421D81" w:rsidP="00421D81">
      <w:pPr>
        <w:numPr>
          <w:ilvl w:val="0"/>
          <w:numId w:val="23"/>
        </w:numPr>
        <w:spacing w:after="200" w:line="276" w:lineRule="auto"/>
        <w:jc w:val="both"/>
        <w:rPr>
          <w:rFonts w:cs="Times New Roman"/>
          <w:b/>
          <w:bCs/>
          <w:lang w:eastAsia="en-US"/>
        </w:rPr>
      </w:pPr>
      <w:r w:rsidRPr="00247306">
        <w:rPr>
          <w:rFonts w:cs="Times New Roman"/>
          <w:b/>
          <w:bCs/>
          <w:lang w:eastAsia="en-US"/>
        </w:rPr>
        <w:t xml:space="preserve">Annual Treasury Strategy Statement </w:t>
      </w:r>
      <w:r w:rsidRPr="00247306">
        <w:rPr>
          <w:rFonts w:cs="Times New Roman"/>
          <w:lang w:eastAsia="en-US"/>
        </w:rPr>
        <w:t>details the expected activities of the treasury fu</w:t>
      </w:r>
      <w:r>
        <w:rPr>
          <w:rFonts w:cs="Times New Roman"/>
          <w:lang w:eastAsia="en-US"/>
        </w:rPr>
        <w:t>nction in the financial year 2021-22</w:t>
      </w:r>
      <w:r w:rsidRPr="00247306">
        <w:rPr>
          <w:rFonts w:cs="Times New Roman"/>
          <w:lang w:eastAsia="en-US"/>
        </w:rPr>
        <w:t xml:space="preserve">. A copy is attached at </w:t>
      </w:r>
      <w:r w:rsidRPr="00BD5CA1">
        <w:rPr>
          <w:rFonts w:cs="Times New Roman"/>
          <w:b/>
          <w:lang w:eastAsia="en-US"/>
        </w:rPr>
        <w:t>Appendix B.</w:t>
      </w:r>
    </w:p>
    <w:p w14:paraId="3A99753A" w14:textId="77777777" w:rsidR="00421D81" w:rsidRPr="00544436" w:rsidRDefault="00421D81" w:rsidP="00421D81">
      <w:pPr>
        <w:pStyle w:val="Heading1"/>
        <w:ind w:left="426" w:hanging="426"/>
        <w:jc w:val="both"/>
        <w:rPr>
          <w:b w:val="0"/>
        </w:rPr>
      </w:pPr>
      <w:r w:rsidRPr="00544436">
        <w:rPr>
          <w:rFonts w:ascii="Arial" w:hAnsi="Arial" w:cs="Arial"/>
          <w:sz w:val="22"/>
          <w:szCs w:val="22"/>
        </w:rPr>
        <w:t xml:space="preserve">3. </w:t>
      </w:r>
      <w:r w:rsidRPr="00544436">
        <w:rPr>
          <w:rFonts w:ascii="Arial" w:hAnsi="Arial" w:cs="Arial"/>
          <w:sz w:val="22"/>
          <w:szCs w:val="22"/>
        </w:rPr>
        <w:tab/>
        <w:t>DEBT MANAGEMENT ACTIVITY 20</w:t>
      </w:r>
      <w:r>
        <w:rPr>
          <w:rFonts w:ascii="Arial" w:hAnsi="Arial" w:cs="Arial"/>
          <w:sz w:val="22"/>
          <w:szCs w:val="22"/>
        </w:rPr>
        <w:t>20/21</w:t>
      </w:r>
    </w:p>
    <w:p w14:paraId="2C32FAD4" w14:textId="77777777" w:rsidR="00421D81" w:rsidRDefault="00421D81" w:rsidP="00421D81">
      <w:pPr>
        <w:tabs>
          <w:tab w:val="left" w:pos="2745"/>
        </w:tabs>
        <w:jc w:val="both"/>
      </w:pPr>
      <w:r>
        <w:tab/>
      </w:r>
    </w:p>
    <w:p w14:paraId="3ACD58CE" w14:textId="77777777" w:rsidR="00421D81" w:rsidRDefault="00421D81" w:rsidP="00421D81">
      <w:pPr>
        <w:pStyle w:val="ListParagraph"/>
        <w:numPr>
          <w:ilvl w:val="1"/>
          <w:numId w:val="14"/>
        </w:numPr>
        <w:ind w:left="426" w:hanging="426"/>
        <w:jc w:val="both"/>
      </w:pPr>
      <w:r>
        <w:t>Since April 1986, the Police Authority had been incurring long term debt from the Public Works Loans Board to finance major capital expenditure. All the borrowing was transferred to the Commissioner in November 2012.</w:t>
      </w:r>
    </w:p>
    <w:p w14:paraId="72D49CBE" w14:textId="77777777" w:rsidR="00421D81" w:rsidRDefault="00421D81" w:rsidP="00421D81">
      <w:pPr>
        <w:pStyle w:val="ListParagraph"/>
        <w:ind w:left="426" w:hanging="426"/>
        <w:jc w:val="both"/>
      </w:pPr>
    </w:p>
    <w:p w14:paraId="618E10EB" w14:textId="77777777" w:rsidR="00421D81" w:rsidRDefault="00421D81" w:rsidP="00421D81">
      <w:pPr>
        <w:pStyle w:val="ListParagraph"/>
        <w:numPr>
          <w:ilvl w:val="1"/>
          <w:numId w:val="14"/>
        </w:numPr>
        <w:ind w:left="426" w:hanging="426"/>
        <w:jc w:val="both"/>
      </w:pPr>
      <w:r>
        <w:t>Borrowing at the 31 March 2021 is expected to total £94.5</w:t>
      </w:r>
      <w:r w:rsidRPr="006A2EC2">
        <w:t>m</w:t>
      </w:r>
      <w:r>
        <w:t>, all at fixed rates and repayable over various periods up to 2069.</w:t>
      </w:r>
    </w:p>
    <w:p w14:paraId="222BF6CB" w14:textId="77777777" w:rsidR="00421D81" w:rsidRPr="00BA13EA" w:rsidRDefault="00421D81" w:rsidP="00421D81">
      <w:pPr>
        <w:ind w:left="426" w:hanging="426"/>
        <w:jc w:val="both"/>
        <w:rPr>
          <w:color w:val="000000"/>
        </w:rPr>
      </w:pPr>
    </w:p>
    <w:p w14:paraId="0BA7810C" w14:textId="77777777" w:rsidR="00421D81" w:rsidRDefault="00421D81" w:rsidP="00421D81">
      <w:pPr>
        <w:pStyle w:val="ListParagraph"/>
        <w:numPr>
          <w:ilvl w:val="1"/>
          <w:numId w:val="14"/>
        </w:numPr>
        <w:ind w:left="426" w:hanging="426"/>
        <w:jc w:val="both"/>
      </w:pPr>
      <w:r>
        <w:t>The Commissioner has the capacity to undertake variable rate borrowing (up to 20% of the total debt portfolio) should the need arise or to take advantage of favourable rates to fund identified need.</w:t>
      </w:r>
    </w:p>
    <w:p w14:paraId="340E5EC9" w14:textId="77777777" w:rsidR="00421D81" w:rsidRDefault="00421D81" w:rsidP="00421D81">
      <w:pPr>
        <w:ind w:left="426" w:hanging="426"/>
        <w:jc w:val="both"/>
      </w:pPr>
    </w:p>
    <w:p w14:paraId="26570C0E" w14:textId="77777777" w:rsidR="00421D81" w:rsidRDefault="00421D81" w:rsidP="00421D81">
      <w:pPr>
        <w:pStyle w:val="ListParagraph"/>
        <w:numPr>
          <w:ilvl w:val="1"/>
          <w:numId w:val="14"/>
        </w:numPr>
        <w:ind w:left="426" w:hanging="426"/>
        <w:jc w:val="both"/>
      </w:pPr>
      <w:r>
        <w:t xml:space="preserve">One loan for £2.8m matured during 2020/21 and no new borrowing was taken out. PWLB rates dropped 100 basis points (1%) in November 2020 in response to a consultation.  The current borrowing rate represents the lowest that has been available for some time. </w:t>
      </w:r>
    </w:p>
    <w:p w14:paraId="7476300D" w14:textId="77777777" w:rsidR="00421D81" w:rsidRDefault="00421D81" w:rsidP="00421D81">
      <w:pPr>
        <w:pStyle w:val="ListParagraph"/>
        <w:ind w:left="426" w:hanging="426"/>
        <w:jc w:val="both"/>
      </w:pPr>
    </w:p>
    <w:p w14:paraId="751E610D" w14:textId="77777777" w:rsidR="00421D81" w:rsidRDefault="00421D81" w:rsidP="00421D81">
      <w:pPr>
        <w:pStyle w:val="ListParagraph"/>
        <w:numPr>
          <w:ilvl w:val="1"/>
          <w:numId w:val="14"/>
        </w:numPr>
        <w:ind w:left="426" w:hanging="426"/>
        <w:jc w:val="both"/>
      </w:pPr>
      <w:r>
        <w:t>As a result of the loan maturing there was a change to the average rate of interest payable on debt from 3.32% to 3.29%. Link Asset Services, the Commissioner’s treasury advisors, continue to advise on debt restructuring to enable the Commissioner to take advantage of opportunities to reduce the overall cost of debt, set in the context of the financial constraints and markets. There were no opportunities for this during 2020/21.  This is likely to be the case for the foreseeable future with low interest rates forecast in the context of the national economy.</w:t>
      </w:r>
    </w:p>
    <w:p w14:paraId="297E1327" w14:textId="77777777" w:rsidR="00421D81" w:rsidRDefault="00421D81" w:rsidP="00421D81">
      <w:pPr>
        <w:pStyle w:val="ListParagraph"/>
        <w:ind w:left="426" w:hanging="426"/>
        <w:jc w:val="both"/>
      </w:pPr>
    </w:p>
    <w:p w14:paraId="64B19A81" w14:textId="77777777" w:rsidR="00421D81" w:rsidRDefault="00421D81" w:rsidP="00421D81">
      <w:pPr>
        <w:pStyle w:val="ListParagraph"/>
        <w:numPr>
          <w:ilvl w:val="1"/>
          <w:numId w:val="14"/>
        </w:numPr>
        <w:ind w:left="426" w:hanging="426"/>
        <w:jc w:val="both"/>
      </w:pPr>
      <w:r>
        <w:t>The table below shows the level of borrowing during 2019/20 and the average interest rate and the change since 2019/20.</w:t>
      </w:r>
    </w:p>
    <w:p w14:paraId="0C8130D1" w14:textId="77777777" w:rsidR="00421D81" w:rsidRDefault="00421D81" w:rsidP="00421D81">
      <w:pPr>
        <w:pStyle w:val="ListParagraph"/>
        <w:jc w:val="both"/>
      </w:pPr>
    </w:p>
    <w:p w14:paraId="533A6F42" w14:textId="77777777" w:rsidR="00421D81" w:rsidRDefault="00421D81" w:rsidP="00421D81">
      <w:pPr>
        <w:jc w:val="both"/>
      </w:pPr>
      <w:r>
        <w:rPr>
          <w:b/>
        </w:rPr>
        <w:t>PWLB Borrowing</w:t>
      </w:r>
      <w:r>
        <w:t xml:space="preserve">   </w:t>
      </w:r>
    </w:p>
    <w:p w14:paraId="03CB0CB3" w14:textId="77777777" w:rsidR="00421D81" w:rsidRDefault="00421D81" w:rsidP="00421D81">
      <w:pPr>
        <w:jc w:val="both"/>
      </w:pPr>
      <w:r>
        <w:t xml:space="preserve">                                </w:t>
      </w:r>
    </w:p>
    <w:tbl>
      <w:tblPr>
        <w:tblW w:w="0" w:type="auto"/>
        <w:tblInd w:w="1226" w:type="dxa"/>
        <w:tblCellMar>
          <w:left w:w="30" w:type="dxa"/>
          <w:right w:w="30" w:type="dxa"/>
        </w:tblCellMar>
        <w:tblLook w:val="0000" w:firstRow="0" w:lastRow="0" w:firstColumn="0" w:lastColumn="0" w:noHBand="0" w:noVBand="0"/>
      </w:tblPr>
      <w:tblGrid>
        <w:gridCol w:w="1249"/>
        <w:gridCol w:w="1504"/>
        <w:gridCol w:w="1640"/>
        <w:gridCol w:w="1740"/>
        <w:gridCol w:w="1651"/>
      </w:tblGrid>
      <w:tr w:rsidR="00421D81" w14:paraId="1AF2DB09" w14:textId="77777777" w:rsidTr="00F51BBE">
        <w:trPr>
          <w:cantSplit/>
          <w:trHeight w:val="262"/>
        </w:trPr>
        <w:tc>
          <w:tcPr>
            <w:tcW w:w="1249" w:type="dxa"/>
            <w:tcBorders>
              <w:top w:val="single" w:sz="6" w:space="0" w:color="auto"/>
              <w:left w:val="single" w:sz="6" w:space="0" w:color="auto"/>
              <w:bottom w:val="single" w:sz="6" w:space="0" w:color="auto"/>
              <w:right w:val="single" w:sz="6" w:space="0" w:color="auto"/>
            </w:tcBorders>
          </w:tcPr>
          <w:p w14:paraId="1FB2DAB6" w14:textId="77777777" w:rsidR="00421D81" w:rsidRDefault="00421D81" w:rsidP="00F51BBE">
            <w:pPr>
              <w:pStyle w:val="Heading2"/>
              <w:jc w:val="both"/>
              <w:rPr>
                <w:rFonts w:ascii="Arial" w:hAnsi="Arial"/>
                <w:b w:val="0"/>
                <w:sz w:val="22"/>
              </w:rPr>
            </w:pPr>
            <w:r w:rsidRPr="00722A2D">
              <w:rPr>
                <w:rFonts w:ascii="Arial" w:hAnsi="Arial"/>
                <w:b w:val="0"/>
                <w:color w:val="auto"/>
                <w:sz w:val="22"/>
              </w:rPr>
              <w:t xml:space="preserve">Loan Type   </w:t>
            </w:r>
          </w:p>
        </w:tc>
        <w:tc>
          <w:tcPr>
            <w:tcW w:w="3144" w:type="dxa"/>
            <w:gridSpan w:val="2"/>
            <w:tcBorders>
              <w:top w:val="single" w:sz="6" w:space="0" w:color="auto"/>
              <w:left w:val="single" w:sz="6" w:space="0" w:color="auto"/>
              <w:bottom w:val="single" w:sz="6" w:space="0" w:color="auto"/>
              <w:right w:val="single" w:sz="6" w:space="0" w:color="auto"/>
            </w:tcBorders>
            <w:vAlign w:val="center"/>
          </w:tcPr>
          <w:p w14:paraId="2B7D4DFD" w14:textId="77777777" w:rsidR="00421D81" w:rsidRDefault="00421D81" w:rsidP="00F51BBE">
            <w:pPr>
              <w:pStyle w:val="Heading8"/>
              <w:jc w:val="both"/>
              <w:rPr>
                <w:b/>
                <w:snapToGrid w:val="0"/>
                <w:color w:val="000000"/>
              </w:rPr>
            </w:pPr>
            <w:r w:rsidRPr="004E5898">
              <w:rPr>
                <w:rFonts w:ascii="Arial" w:hAnsi="Arial"/>
                <w:b/>
                <w:sz w:val="22"/>
              </w:rPr>
              <w:t>Borrowing £’m</w:t>
            </w:r>
          </w:p>
        </w:tc>
        <w:tc>
          <w:tcPr>
            <w:tcW w:w="3391" w:type="dxa"/>
            <w:gridSpan w:val="2"/>
            <w:tcBorders>
              <w:top w:val="single" w:sz="6" w:space="0" w:color="auto"/>
              <w:left w:val="single" w:sz="6" w:space="0" w:color="auto"/>
              <w:bottom w:val="single" w:sz="6" w:space="0" w:color="auto"/>
              <w:right w:val="single" w:sz="6" w:space="0" w:color="auto"/>
            </w:tcBorders>
          </w:tcPr>
          <w:p w14:paraId="01259C89" w14:textId="77777777" w:rsidR="00421D81" w:rsidRDefault="00421D81" w:rsidP="00F51BBE">
            <w:pPr>
              <w:pStyle w:val="Heading8"/>
              <w:jc w:val="both"/>
              <w:rPr>
                <w:rFonts w:ascii="Arial" w:hAnsi="Arial"/>
                <w:b/>
                <w:sz w:val="22"/>
              </w:rPr>
            </w:pPr>
            <w:r>
              <w:rPr>
                <w:rFonts w:ascii="Arial" w:hAnsi="Arial"/>
                <w:b/>
                <w:sz w:val="22"/>
              </w:rPr>
              <w:t>Average Interest Rates %</w:t>
            </w:r>
          </w:p>
        </w:tc>
      </w:tr>
      <w:tr w:rsidR="00421D81" w14:paraId="5E0ABF76" w14:textId="77777777" w:rsidTr="00F51BBE">
        <w:trPr>
          <w:trHeight w:val="262"/>
        </w:trPr>
        <w:tc>
          <w:tcPr>
            <w:tcW w:w="1249" w:type="dxa"/>
            <w:tcBorders>
              <w:top w:val="single" w:sz="6" w:space="0" w:color="auto"/>
              <w:left w:val="single" w:sz="6" w:space="0" w:color="auto"/>
              <w:bottom w:val="single" w:sz="6" w:space="0" w:color="auto"/>
              <w:right w:val="single" w:sz="6" w:space="0" w:color="auto"/>
            </w:tcBorders>
          </w:tcPr>
          <w:p w14:paraId="71C9A2A3" w14:textId="77777777" w:rsidR="00421D81" w:rsidRDefault="00421D81" w:rsidP="00F51BBE">
            <w:pPr>
              <w:jc w:val="both"/>
              <w:rPr>
                <w:b/>
                <w:snapToGrid w:val="0"/>
                <w:color w:val="000000"/>
              </w:rPr>
            </w:pPr>
          </w:p>
        </w:tc>
        <w:tc>
          <w:tcPr>
            <w:tcW w:w="1504" w:type="dxa"/>
            <w:tcBorders>
              <w:top w:val="single" w:sz="6" w:space="0" w:color="auto"/>
              <w:left w:val="single" w:sz="6" w:space="0" w:color="auto"/>
              <w:bottom w:val="single" w:sz="6" w:space="0" w:color="auto"/>
              <w:right w:val="single" w:sz="6" w:space="0" w:color="auto"/>
            </w:tcBorders>
          </w:tcPr>
          <w:p w14:paraId="5F713FA9" w14:textId="77777777" w:rsidR="00421D81" w:rsidRDefault="00421D81" w:rsidP="00F51BBE">
            <w:pPr>
              <w:jc w:val="center"/>
              <w:rPr>
                <w:b/>
                <w:snapToGrid w:val="0"/>
                <w:color w:val="000000"/>
              </w:rPr>
            </w:pPr>
            <w:r>
              <w:rPr>
                <w:b/>
                <w:snapToGrid w:val="0"/>
                <w:color w:val="000000"/>
              </w:rPr>
              <w:t>2019/20</w:t>
            </w:r>
          </w:p>
        </w:tc>
        <w:tc>
          <w:tcPr>
            <w:tcW w:w="1640" w:type="dxa"/>
            <w:tcBorders>
              <w:top w:val="single" w:sz="6" w:space="0" w:color="auto"/>
              <w:left w:val="single" w:sz="6" w:space="0" w:color="auto"/>
              <w:bottom w:val="single" w:sz="6" w:space="0" w:color="auto"/>
              <w:right w:val="single" w:sz="6" w:space="0" w:color="auto"/>
            </w:tcBorders>
          </w:tcPr>
          <w:p w14:paraId="16A422F8" w14:textId="77777777" w:rsidR="00421D81" w:rsidRDefault="00421D81" w:rsidP="00F51BBE">
            <w:pPr>
              <w:jc w:val="center"/>
              <w:rPr>
                <w:b/>
                <w:snapToGrid w:val="0"/>
                <w:color w:val="000000"/>
              </w:rPr>
            </w:pPr>
            <w:r>
              <w:rPr>
                <w:b/>
                <w:snapToGrid w:val="0"/>
                <w:color w:val="000000"/>
              </w:rPr>
              <w:t>2020/21</w:t>
            </w:r>
          </w:p>
        </w:tc>
        <w:tc>
          <w:tcPr>
            <w:tcW w:w="1740" w:type="dxa"/>
            <w:tcBorders>
              <w:top w:val="single" w:sz="6" w:space="0" w:color="auto"/>
              <w:left w:val="single" w:sz="6" w:space="0" w:color="auto"/>
              <w:bottom w:val="single" w:sz="6" w:space="0" w:color="auto"/>
              <w:right w:val="single" w:sz="6" w:space="0" w:color="auto"/>
            </w:tcBorders>
          </w:tcPr>
          <w:p w14:paraId="31DE3F23" w14:textId="77777777" w:rsidR="00421D81" w:rsidRDefault="00421D81" w:rsidP="00F51BBE">
            <w:pPr>
              <w:jc w:val="center"/>
              <w:rPr>
                <w:b/>
                <w:snapToGrid w:val="0"/>
                <w:color w:val="000000"/>
              </w:rPr>
            </w:pPr>
            <w:r>
              <w:rPr>
                <w:b/>
                <w:snapToGrid w:val="0"/>
                <w:color w:val="000000"/>
              </w:rPr>
              <w:t>2019/20</w:t>
            </w:r>
          </w:p>
        </w:tc>
        <w:tc>
          <w:tcPr>
            <w:tcW w:w="1651" w:type="dxa"/>
            <w:tcBorders>
              <w:top w:val="single" w:sz="6" w:space="0" w:color="auto"/>
              <w:left w:val="single" w:sz="6" w:space="0" w:color="auto"/>
              <w:bottom w:val="single" w:sz="6" w:space="0" w:color="auto"/>
              <w:right w:val="single" w:sz="6" w:space="0" w:color="auto"/>
            </w:tcBorders>
          </w:tcPr>
          <w:p w14:paraId="362900A6" w14:textId="77777777" w:rsidR="00421D81" w:rsidRDefault="00421D81" w:rsidP="00F51BBE">
            <w:pPr>
              <w:jc w:val="center"/>
              <w:rPr>
                <w:b/>
                <w:snapToGrid w:val="0"/>
                <w:color w:val="000000"/>
              </w:rPr>
            </w:pPr>
            <w:r>
              <w:rPr>
                <w:b/>
                <w:snapToGrid w:val="0"/>
                <w:color w:val="000000"/>
              </w:rPr>
              <w:t>2020/21</w:t>
            </w:r>
          </w:p>
        </w:tc>
      </w:tr>
      <w:tr w:rsidR="00421D81" w14:paraId="661790D3" w14:textId="77777777" w:rsidTr="00F51BBE">
        <w:trPr>
          <w:trHeight w:val="262"/>
        </w:trPr>
        <w:tc>
          <w:tcPr>
            <w:tcW w:w="1249" w:type="dxa"/>
            <w:tcBorders>
              <w:top w:val="single" w:sz="6" w:space="0" w:color="auto"/>
              <w:left w:val="single" w:sz="6" w:space="0" w:color="auto"/>
              <w:bottom w:val="single" w:sz="6" w:space="0" w:color="auto"/>
              <w:right w:val="single" w:sz="6" w:space="0" w:color="auto"/>
            </w:tcBorders>
          </w:tcPr>
          <w:p w14:paraId="5D6005EE" w14:textId="77777777" w:rsidR="00421D81" w:rsidRPr="004E5898" w:rsidRDefault="00421D81" w:rsidP="00F51BBE">
            <w:pPr>
              <w:jc w:val="both"/>
              <w:rPr>
                <w:snapToGrid w:val="0"/>
                <w:color w:val="000000"/>
              </w:rPr>
            </w:pPr>
            <w:r w:rsidRPr="004E5898">
              <w:rPr>
                <w:snapToGrid w:val="0"/>
                <w:color w:val="000000"/>
              </w:rPr>
              <w:t>Fixed</w:t>
            </w:r>
          </w:p>
        </w:tc>
        <w:tc>
          <w:tcPr>
            <w:tcW w:w="1504" w:type="dxa"/>
            <w:tcBorders>
              <w:top w:val="single" w:sz="6" w:space="0" w:color="auto"/>
              <w:left w:val="single" w:sz="6" w:space="0" w:color="auto"/>
              <w:bottom w:val="single" w:sz="6" w:space="0" w:color="auto"/>
              <w:right w:val="single" w:sz="6" w:space="0" w:color="auto"/>
            </w:tcBorders>
          </w:tcPr>
          <w:p w14:paraId="47D06329" w14:textId="77777777" w:rsidR="00421D81" w:rsidRPr="004E5898" w:rsidRDefault="00421D81" w:rsidP="00F51BBE">
            <w:pPr>
              <w:jc w:val="center"/>
              <w:rPr>
                <w:snapToGrid w:val="0"/>
                <w:color w:val="000000"/>
              </w:rPr>
            </w:pPr>
            <w:r w:rsidRPr="004E5898">
              <w:rPr>
                <w:snapToGrid w:val="0"/>
                <w:color w:val="000000"/>
              </w:rPr>
              <w:t>97.3</w:t>
            </w:r>
          </w:p>
        </w:tc>
        <w:tc>
          <w:tcPr>
            <w:tcW w:w="1640" w:type="dxa"/>
            <w:tcBorders>
              <w:top w:val="single" w:sz="6" w:space="0" w:color="auto"/>
              <w:left w:val="single" w:sz="6" w:space="0" w:color="auto"/>
              <w:bottom w:val="single" w:sz="6" w:space="0" w:color="auto"/>
              <w:right w:val="single" w:sz="6" w:space="0" w:color="auto"/>
            </w:tcBorders>
          </w:tcPr>
          <w:p w14:paraId="207904B9" w14:textId="77777777" w:rsidR="00421D81" w:rsidRPr="004E5898" w:rsidRDefault="00421D81" w:rsidP="00F51BBE">
            <w:pPr>
              <w:jc w:val="center"/>
              <w:rPr>
                <w:snapToGrid w:val="0"/>
                <w:color w:val="000000"/>
              </w:rPr>
            </w:pPr>
            <w:r w:rsidRPr="004E5898">
              <w:rPr>
                <w:snapToGrid w:val="0"/>
                <w:color w:val="000000"/>
              </w:rPr>
              <w:t>94.5</w:t>
            </w:r>
          </w:p>
        </w:tc>
        <w:tc>
          <w:tcPr>
            <w:tcW w:w="1740" w:type="dxa"/>
            <w:tcBorders>
              <w:top w:val="single" w:sz="6" w:space="0" w:color="auto"/>
              <w:left w:val="single" w:sz="6" w:space="0" w:color="auto"/>
              <w:bottom w:val="single" w:sz="6" w:space="0" w:color="auto"/>
              <w:right w:val="single" w:sz="6" w:space="0" w:color="auto"/>
            </w:tcBorders>
          </w:tcPr>
          <w:p w14:paraId="5DB6E51A" w14:textId="77777777" w:rsidR="00421D81" w:rsidRPr="004E5898" w:rsidRDefault="00421D81" w:rsidP="00F51BBE">
            <w:pPr>
              <w:jc w:val="center"/>
              <w:rPr>
                <w:snapToGrid w:val="0"/>
                <w:color w:val="000000"/>
              </w:rPr>
            </w:pPr>
            <w:r w:rsidRPr="004E5898">
              <w:rPr>
                <w:snapToGrid w:val="0"/>
                <w:color w:val="000000"/>
              </w:rPr>
              <w:t>3.32</w:t>
            </w:r>
          </w:p>
        </w:tc>
        <w:tc>
          <w:tcPr>
            <w:tcW w:w="1651" w:type="dxa"/>
            <w:tcBorders>
              <w:top w:val="single" w:sz="6" w:space="0" w:color="auto"/>
              <w:left w:val="single" w:sz="6" w:space="0" w:color="auto"/>
              <w:bottom w:val="single" w:sz="6" w:space="0" w:color="auto"/>
              <w:right w:val="single" w:sz="6" w:space="0" w:color="auto"/>
            </w:tcBorders>
          </w:tcPr>
          <w:p w14:paraId="4C80039E" w14:textId="77777777" w:rsidR="00421D81" w:rsidRPr="004E5898" w:rsidRDefault="00421D81" w:rsidP="00F51BBE">
            <w:pPr>
              <w:jc w:val="center"/>
              <w:rPr>
                <w:snapToGrid w:val="0"/>
                <w:color w:val="000000"/>
              </w:rPr>
            </w:pPr>
            <w:r w:rsidRPr="004E5898">
              <w:rPr>
                <w:snapToGrid w:val="0"/>
                <w:color w:val="000000"/>
              </w:rPr>
              <w:t>3.29</w:t>
            </w:r>
          </w:p>
        </w:tc>
      </w:tr>
      <w:tr w:rsidR="00421D81" w14:paraId="16E1B0A2" w14:textId="77777777" w:rsidTr="00F51BBE">
        <w:trPr>
          <w:trHeight w:val="262"/>
        </w:trPr>
        <w:tc>
          <w:tcPr>
            <w:tcW w:w="1249" w:type="dxa"/>
            <w:tcBorders>
              <w:top w:val="single" w:sz="6" w:space="0" w:color="auto"/>
              <w:left w:val="single" w:sz="6" w:space="0" w:color="auto"/>
              <w:bottom w:val="single" w:sz="6" w:space="0" w:color="auto"/>
              <w:right w:val="single" w:sz="6" w:space="0" w:color="auto"/>
            </w:tcBorders>
          </w:tcPr>
          <w:p w14:paraId="311BD2FC" w14:textId="77777777" w:rsidR="00421D81" w:rsidRPr="004E5898" w:rsidRDefault="00421D81" w:rsidP="00F51BBE">
            <w:pPr>
              <w:jc w:val="both"/>
              <w:rPr>
                <w:snapToGrid w:val="0"/>
                <w:color w:val="000000"/>
              </w:rPr>
            </w:pPr>
            <w:r w:rsidRPr="004E5898">
              <w:rPr>
                <w:snapToGrid w:val="0"/>
                <w:color w:val="000000"/>
              </w:rPr>
              <w:t>Variable</w:t>
            </w:r>
          </w:p>
        </w:tc>
        <w:tc>
          <w:tcPr>
            <w:tcW w:w="1504" w:type="dxa"/>
            <w:tcBorders>
              <w:top w:val="single" w:sz="6" w:space="0" w:color="auto"/>
              <w:left w:val="single" w:sz="6" w:space="0" w:color="auto"/>
              <w:bottom w:val="single" w:sz="6" w:space="0" w:color="auto"/>
              <w:right w:val="single" w:sz="6" w:space="0" w:color="auto"/>
            </w:tcBorders>
          </w:tcPr>
          <w:p w14:paraId="1379C958" w14:textId="77777777" w:rsidR="00421D81" w:rsidRPr="004E5898" w:rsidRDefault="00421D81" w:rsidP="00F51BBE">
            <w:pPr>
              <w:jc w:val="center"/>
              <w:rPr>
                <w:snapToGrid w:val="0"/>
                <w:color w:val="000000"/>
              </w:rPr>
            </w:pPr>
            <w:r w:rsidRPr="004E5898">
              <w:rPr>
                <w:snapToGrid w:val="0"/>
                <w:color w:val="000000"/>
              </w:rPr>
              <w:t>0.0</w:t>
            </w:r>
          </w:p>
        </w:tc>
        <w:tc>
          <w:tcPr>
            <w:tcW w:w="1640" w:type="dxa"/>
            <w:tcBorders>
              <w:top w:val="single" w:sz="6" w:space="0" w:color="auto"/>
              <w:left w:val="single" w:sz="6" w:space="0" w:color="auto"/>
              <w:bottom w:val="single" w:sz="6" w:space="0" w:color="auto"/>
              <w:right w:val="single" w:sz="6" w:space="0" w:color="auto"/>
            </w:tcBorders>
          </w:tcPr>
          <w:p w14:paraId="422DE67F" w14:textId="77777777" w:rsidR="00421D81" w:rsidRPr="004E5898" w:rsidRDefault="00421D81" w:rsidP="00F51BBE">
            <w:pPr>
              <w:jc w:val="center"/>
              <w:rPr>
                <w:snapToGrid w:val="0"/>
                <w:color w:val="000000"/>
              </w:rPr>
            </w:pPr>
            <w:r w:rsidRPr="004E5898">
              <w:rPr>
                <w:snapToGrid w:val="0"/>
                <w:color w:val="000000"/>
              </w:rPr>
              <w:t>0.0</w:t>
            </w:r>
          </w:p>
        </w:tc>
        <w:tc>
          <w:tcPr>
            <w:tcW w:w="1740" w:type="dxa"/>
            <w:tcBorders>
              <w:top w:val="single" w:sz="6" w:space="0" w:color="auto"/>
              <w:left w:val="single" w:sz="6" w:space="0" w:color="auto"/>
              <w:bottom w:val="single" w:sz="6" w:space="0" w:color="auto"/>
              <w:right w:val="single" w:sz="6" w:space="0" w:color="auto"/>
            </w:tcBorders>
          </w:tcPr>
          <w:p w14:paraId="75F07272" w14:textId="77777777" w:rsidR="00421D81" w:rsidRPr="004E5898" w:rsidRDefault="00421D81" w:rsidP="00F51BBE">
            <w:pPr>
              <w:jc w:val="center"/>
              <w:rPr>
                <w:snapToGrid w:val="0"/>
                <w:color w:val="000000"/>
              </w:rPr>
            </w:pPr>
            <w:r w:rsidRPr="004E5898">
              <w:rPr>
                <w:snapToGrid w:val="0"/>
                <w:color w:val="000000"/>
              </w:rPr>
              <w:t>0.0</w:t>
            </w:r>
          </w:p>
        </w:tc>
        <w:tc>
          <w:tcPr>
            <w:tcW w:w="1651" w:type="dxa"/>
            <w:tcBorders>
              <w:top w:val="single" w:sz="6" w:space="0" w:color="auto"/>
              <w:left w:val="single" w:sz="6" w:space="0" w:color="auto"/>
              <w:bottom w:val="single" w:sz="6" w:space="0" w:color="auto"/>
              <w:right w:val="single" w:sz="6" w:space="0" w:color="auto"/>
            </w:tcBorders>
          </w:tcPr>
          <w:p w14:paraId="2463773A" w14:textId="77777777" w:rsidR="00421D81" w:rsidRPr="004E5898" w:rsidRDefault="00421D81" w:rsidP="00F51BBE">
            <w:pPr>
              <w:jc w:val="center"/>
              <w:rPr>
                <w:snapToGrid w:val="0"/>
                <w:color w:val="000000"/>
              </w:rPr>
            </w:pPr>
            <w:r w:rsidRPr="004E5898">
              <w:rPr>
                <w:snapToGrid w:val="0"/>
                <w:color w:val="000000"/>
              </w:rPr>
              <w:t>0.0</w:t>
            </w:r>
          </w:p>
        </w:tc>
      </w:tr>
      <w:tr w:rsidR="00421D81" w14:paraId="4F00D056" w14:textId="77777777" w:rsidTr="00F51BBE">
        <w:trPr>
          <w:trHeight w:val="262"/>
        </w:trPr>
        <w:tc>
          <w:tcPr>
            <w:tcW w:w="1249" w:type="dxa"/>
            <w:tcBorders>
              <w:top w:val="single" w:sz="6" w:space="0" w:color="auto"/>
              <w:left w:val="single" w:sz="6" w:space="0" w:color="auto"/>
              <w:bottom w:val="single" w:sz="6" w:space="0" w:color="auto"/>
              <w:right w:val="single" w:sz="6" w:space="0" w:color="auto"/>
            </w:tcBorders>
          </w:tcPr>
          <w:p w14:paraId="6B41F20B" w14:textId="77777777" w:rsidR="00421D81" w:rsidRDefault="00421D81" w:rsidP="00F51BBE">
            <w:pPr>
              <w:jc w:val="both"/>
              <w:rPr>
                <w:b/>
                <w:snapToGrid w:val="0"/>
                <w:color w:val="000000"/>
              </w:rPr>
            </w:pPr>
            <w:r>
              <w:rPr>
                <w:b/>
                <w:snapToGrid w:val="0"/>
                <w:color w:val="000000"/>
              </w:rPr>
              <w:t>Total</w:t>
            </w:r>
          </w:p>
        </w:tc>
        <w:tc>
          <w:tcPr>
            <w:tcW w:w="1504" w:type="dxa"/>
            <w:tcBorders>
              <w:top w:val="single" w:sz="6" w:space="0" w:color="auto"/>
              <w:left w:val="single" w:sz="6" w:space="0" w:color="auto"/>
              <w:bottom w:val="single" w:sz="6" w:space="0" w:color="auto"/>
              <w:right w:val="single" w:sz="6" w:space="0" w:color="auto"/>
            </w:tcBorders>
          </w:tcPr>
          <w:p w14:paraId="5BEF7CDE" w14:textId="77777777" w:rsidR="00421D81" w:rsidRDefault="00421D81" w:rsidP="00F51BBE">
            <w:pPr>
              <w:jc w:val="center"/>
              <w:rPr>
                <w:b/>
                <w:snapToGrid w:val="0"/>
                <w:color w:val="000000"/>
              </w:rPr>
            </w:pPr>
            <w:r>
              <w:rPr>
                <w:b/>
                <w:snapToGrid w:val="0"/>
                <w:color w:val="000000"/>
              </w:rPr>
              <w:t>97.3</w:t>
            </w:r>
          </w:p>
        </w:tc>
        <w:tc>
          <w:tcPr>
            <w:tcW w:w="1640" w:type="dxa"/>
            <w:tcBorders>
              <w:top w:val="single" w:sz="6" w:space="0" w:color="auto"/>
              <w:left w:val="single" w:sz="6" w:space="0" w:color="auto"/>
              <w:bottom w:val="single" w:sz="6" w:space="0" w:color="auto"/>
              <w:right w:val="single" w:sz="6" w:space="0" w:color="auto"/>
            </w:tcBorders>
          </w:tcPr>
          <w:p w14:paraId="0D9627A5" w14:textId="77777777" w:rsidR="00421D81" w:rsidRDefault="00421D81" w:rsidP="00F51BBE">
            <w:pPr>
              <w:jc w:val="center"/>
              <w:rPr>
                <w:b/>
                <w:snapToGrid w:val="0"/>
                <w:color w:val="000000"/>
              </w:rPr>
            </w:pPr>
            <w:r>
              <w:rPr>
                <w:b/>
                <w:snapToGrid w:val="0"/>
                <w:color w:val="000000"/>
              </w:rPr>
              <w:t>94.5</w:t>
            </w:r>
          </w:p>
        </w:tc>
        <w:tc>
          <w:tcPr>
            <w:tcW w:w="1740" w:type="dxa"/>
            <w:tcBorders>
              <w:top w:val="single" w:sz="6" w:space="0" w:color="auto"/>
              <w:left w:val="single" w:sz="6" w:space="0" w:color="auto"/>
              <w:bottom w:val="single" w:sz="6" w:space="0" w:color="auto"/>
              <w:right w:val="single" w:sz="6" w:space="0" w:color="auto"/>
            </w:tcBorders>
          </w:tcPr>
          <w:p w14:paraId="547B93FF" w14:textId="77777777" w:rsidR="00421D81" w:rsidRDefault="00421D81" w:rsidP="00F51BBE">
            <w:pPr>
              <w:jc w:val="center"/>
              <w:rPr>
                <w:b/>
                <w:snapToGrid w:val="0"/>
                <w:color w:val="000000"/>
              </w:rPr>
            </w:pPr>
            <w:r>
              <w:rPr>
                <w:b/>
                <w:snapToGrid w:val="0"/>
                <w:color w:val="000000"/>
              </w:rPr>
              <w:t>3.32</w:t>
            </w:r>
          </w:p>
        </w:tc>
        <w:tc>
          <w:tcPr>
            <w:tcW w:w="1651" w:type="dxa"/>
            <w:tcBorders>
              <w:top w:val="single" w:sz="6" w:space="0" w:color="auto"/>
              <w:left w:val="single" w:sz="6" w:space="0" w:color="auto"/>
              <w:bottom w:val="single" w:sz="6" w:space="0" w:color="auto"/>
              <w:right w:val="single" w:sz="6" w:space="0" w:color="auto"/>
            </w:tcBorders>
          </w:tcPr>
          <w:p w14:paraId="23E97A2D" w14:textId="77777777" w:rsidR="00421D81" w:rsidRDefault="00421D81" w:rsidP="00F51BBE">
            <w:pPr>
              <w:jc w:val="center"/>
              <w:rPr>
                <w:b/>
                <w:snapToGrid w:val="0"/>
                <w:color w:val="000000"/>
              </w:rPr>
            </w:pPr>
            <w:r>
              <w:rPr>
                <w:b/>
                <w:snapToGrid w:val="0"/>
                <w:color w:val="000000"/>
              </w:rPr>
              <w:t>3.29</w:t>
            </w:r>
          </w:p>
        </w:tc>
      </w:tr>
    </w:tbl>
    <w:p w14:paraId="6D4551B9" w14:textId="77777777" w:rsidR="00421D81" w:rsidRDefault="00421D81" w:rsidP="00421D81">
      <w:pPr>
        <w:pStyle w:val="ListParagraph"/>
        <w:jc w:val="both"/>
      </w:pPr>
    </w:p>
    <w:p w14:paraId="175D2849" w14:textId="77777777" w:rsidR="00421D81" w:rsidRDefault="00421D81" w:rsidP="00421D81">
      <w:pPr>
        <w:pStyle w:val="ListParagraph"/>
        <w:jc w:val="both"/>
      </w:pPr>
    </w:p>
    <w:p w14:paraId="6BDF3895" w14:textId="77777777" w:rsidR="00421D81" w:rsidRPr="00544436" w:rsidRDefault="00421D81" w:rsidP="00421D81">
      <w:pPr>
        <w:pStyle w:val="Heading1"/>
        <w:ind w:left="426" w:hanging="426"/>
        <w:jc w:val="both"/>
        <w:rPr>
          <w:b w:val="0"/>
          <w:bCs w:val="0"/>
        </w:rPr>
      </w:pPr>
      <w:r w:rsidRPr="00544436">
        <w:rPr>
          <w:rFonts w:ascii="Arial" w:hAnsi="Arial" w:cs="Arial"/>
          <w:sz w:val="22"/>
          <w:szCs w:val="22"/>
        </w:rPr>
        <w:t xml:space="preserve">4. </w:t>
      </w:r>
      <w:r w:rsidRPr="00544436">
        <w:rPr>
          <w:rFonts w:ascii="Arial" w:hAnsi="Arial" w:cs="Arial"/>
          <w:sz w:val="22"/>
          <w:szCs w:val="22"/>
        </w:rPr>
        <w:tab/>
        <w:t>INVESTMENT ACTIVITY 20</w:t>
      </w:r>
      <w:r>
        <w:rPr>
          <w:rFonts w:ascii="Arial" w:hAnsi="Arial" w:cs="Arial"/>
          <w:sz w:val="22"/>
          <w:szCs w:val="22"/>
        </w:rPr>
        <w:t>20/21</w:t>
      </w:r>
    </w:p>
    <w:p w14:paraId="6D8A9194" w14:textId="77777777" w:rsidR="00421D81" w:rsidRDefault="00421D81" w:rsidP="00421D81">
      <w:pPr>
        <w:jc w:val="both"/>
      </w:pPr>
    </w:p>
    <w:p w14:paraId="77FFD8DE" w14:textId="77777777" w:rsidR="00421D81" w:rsidRDefault="00421D81" w:rsidP="00421D81">
      <w:pPr>
        <w:pStyle w:val="ListParagraph"/>
        <w:numPr>
          <w:ilvl w:val="1"/>
          <w:numId w:val="15"/>
        </w:numPr>
        <w:ind w:left="426" w:hanging="426"/>
        <w:jc w:val="both"/>
      </w:pPr>
      <w:r>
        <w:t>Any surplus funds have been invested on a daily basis. The target was to achieve an average return on investments as close as possible to the 3 month London Inter Bank Offer Rate (LIBOR).</w:t>
      </w:r>
      <w:r w:rsidRPr="00953C68">
        <w:t xml:space="preserve"> </w:t>
      </w:r>
    </w:p>
    <w:p w14:paraId="2D2FB177" w14:textId="77777777" w:rsidR="00421D81" w:rsidRDefault="00421D81" w:rsidP="00421D81">
      <w:pPr>
        <w:pStyle w:val="ListParagraph"/>
        <w:ind w:left="426" w:hanging="426"/>
        <w:jc w:val="both"/>
      </w:pPr>
    </w:p>
    <w:p w14:paraId="19B7DC9A" w14:textId="77777777" w:rsidR="00421D81" w:rsidRDefault="00421D81" w:rsidP="00421D81">
      <w:pPr>
        <w:pStyle w:val="ListParagraph"/>
        <w:numPr>
          <w:ilvl w:val="1"/>
          <w:numId w:val="15"/>
        </w:numPr>
        <w:ind w:left="426" w:hanging="426"/>
        <w:jc w:val="both"/>
      </w:pPr>
      <w:r>
        <w:t xml:space="preserve">Interest </w:t>
      </w:r>
      <w:r w:rsidRPr="00161B7A">
        <w:t>earned on investments up to the end of March</w:t>
      </w:r>
      <w:r>
        <w:t xml:space="preserve"> 2021</w:t>
      </w:r>
      <w:r w:rsidRPr="00161B7A">
        <w:t xml:space="preserve"> is predicted to average </w:t>
      </w:r>
      <w:r w:rsidRPr="000972DD">
        <w:t>0.</w:t>
      </w:r>
      <w:r>
        <w:t>25</w:t>
      </w:r>
      <w:r w:rsidRPr="000972DD">
        <w:t xml:space="preserve">%, approximately </w:t>
      </w:r>
      <w:r>
        <w:t>21</w:t>
      </w:r>
      <w:r w:rsidRPr="000972DD">
        <w:t xml:space="preserve"> basis points above the average return on 3 month LIBOR (0.</w:t>
      </w:r>
      <w:r>
        <w:t>04</w:t>
      </w:r>
      <w:r w:rsidRPr="000972DD">
        <w:t xml:space="preserve">%) as at </w:t>
      </w:r>
      <w:r>
        <w:t>01</w:t>
      </w:r>
      <w:r w:rsidRPr="000972DD">
        <w:t>/02</w:t>
      </w:r>
      <w:r>
        <w:t>/20</w:t>
      </w:r>
      <w:r w:rsidRPr="00161B7A">
        <w:t xml:space="preserve">. This represents good performance </w:t>
      </w:r>
      <w:r>
        <w:t>amid concerns about Coronavirus, Brexit uncertainty,</w:t>
      </w:r>
      <w:r w:rsidRPr="00161B7A">
        <w:t xml:space="preserve"> and </w:t>
      </w:r>
      <w:r>
        <w:t>expectations of a further Base Rate cut</w:t>
      </w:r>
      <w:r w:rsidRPr="00161B7A">
        <w:t>.</w:t>
      </w:r>
    </w:p>
    <w:p w14:paraId="3D96C687" w14:textId="77777777" w:rsidR="00421D81" w:rsidRDefault="00421D81" w:rsidP="00421D81">
      <w:pPr>
        <w:pStyle w:val="ListParagraph"/>
        <w:ind w:left="426" w:hanging="426"/>
        <w:jc w:val="both"/>
      </w:pPr>
    </w:p>
    <w:p w14:paraId="5C4B06ED" w14:textId="77777777" w:rsidR="00421D81" w:rsidRDefault="00421D81" w:rsidP="00421D81">
      <w:pPr>
        <w:pStyle w:val="ListParagraph"/>
        <w:numPr>
          <w:ilvl w:val="1"/>
          <w:numId w:val="15"/>
        </w:numPr>
        <w:ind w:left="426" w:hanging="426"/>
        <w:jc w:val="both"/>
      </w:pPr>
      <w:r>
        <w:t>From 2021/22 the benchmark to measure return on investments will be the Sterling Overnight Index Average (SONIA). LIBOR will no longer continue to be offered beyond the end of 2021 and the Bank of England recommends SONIA as its preferred replacement. The main differences in these two rates are as follows:</w:t>
      </w:r>
    </w:p>
    <w:p w14:paraId="4555A2CA" w14:textId="77777777" w:rsidR="00421D81" w:rsidRDefault="00421D81" w:rsidP="00421D81">
      <w:pPr>
        <w:pStyle w:val="ListParagraph"/>
        <w:ind w:left="426" w:hanging="426"/>
        <w:jc w:val="both"/>
      </w:pPr>
    </w:p>
    <w:p w14:paraId="0153006B" w14:textId="77777777" w:rsidR="00421D81" w:rsidRPr="00544436" w:rsidRDefault="00421D81" w:rsidP="00421D81">
      <w:pPr>
        <w:pStyle w:val="ListParagraph"/>
        <w:numPr>
          <w:ilvl w:val="0"/>
          <w:numId w:val="42"/>
        </w:numPr>
        <w:jc w:val="both"/>
      </w:pPr>
      <w:r w:rsidRPr="00544436">
        <w:rPr>
          <w:rFonts w:eastAsia="Times New Roman"/>
        </w:rPr>
        <w:t>SONIA, unlike LIBOR, is purely an overnight rate</w:t>
      </w:r>
    </w:p>
    <w:p w14:paraId="6843C4F6" w14:textId="77777777" w:rsidR="00421D81" w:rsidRPr="00544436" w:rsidRDefault="00421D81" w:rsidP="00421D81">
      <w:pPr>
        <w:numPr>
          <w:ilvl w:val="0"/>
          <w:numId w:val="42"/>
        </w:numPr>
        <w:spacing w:before="100" w:beforeAutospacing="1" w:after="100" w:afterAutospacing="1"/>
        <w:jc w:val="both"/>
        <w:rPr>
          <w:rFonts w:eastAsia="Times New Roman"/>
        </w:rPr>
      </w:pPr>
      <w:r w:rsidRPr="00544436">
        <w:rPr>
          <w:rFonts w:eastAsia="Times New Roman"/>
        </w:rPr>
        <w:t>LIBOR contains bank risk, but SONIA is near risk-free (and therefore the return will be lower)</w:t>
      </w:r>
    </w:p>
    <w:p w14:paraId="0AE80523" w14:textId="77777777" w:rsidR="00421D81" w:rsidRPr="00A42023" w:rsidRDefault="00421D81" w:rsidP="00421D81">
      <w:pPr>
        <w:numPr>
          <w:ilvl w:val="0"/>
          <w:numId w:val="42"/>
        </w:numPr>
        <w:spacing w:before="100" w:beforeAutospacing="1" w:after="100" w:afterAutospacing="1"/>
        <w:jc w:val="both"/>
        <w:rPr>
          <w:rFonts w:eastAsia="Times New Roman"/>
        </w:rPr>
      </w:pPr>
      <w:r w:rsidRPr="00544436">
        <w:rPr>
          <w:rFonts w:eastAsia="Times New Roman"/>
        </w:rPr>
        <w:t>LIBOR is forward-looking, but SON</w:t>
      </w:r>
      <w:r>
        <w:rPr>
          <w:rFonts w:eastAsia="Times New Roman"/>
        </w:rPr>
        <w:t>IA is based on past transactions</w:t>
      </w:r>
    </w:p>
    <w:p w14:paraId="0219C0A6" w14:textId="77777777" w:rsidR="00421D81" w:rsidRDefault="00421D81" w:rsidP="00421D81">
      <w:pPr>
        <w:pStyle w:val="ListParagraph"/>
        <w:numPr>
          <w:ilvl w:val="1"/>
          <w:numId w:val="15"/>
        </w:numPr>
        <w:ind w:left="426" w:hanging="426"/>
        <w:jc w:val="both"/>
      </w:pPr>
      <w:r>
        <w:t>The Commissioner approved a list of counter parties with whom investments could be placed for 2020/21.  At 8 February 2021</w:t>
      </w:r>
      <w:r w:rsidRPr="00502769">
        <w:t>, the C</w:t>
      </w:r>
      <w:r>
        <w:t>ommissioner</w:t>
      </w:r>
      <w:r w:rsidRPr="00502769">
        <w:t xml:space="preserve"> had </w:t>
      </w:r>
      <w:r w:rsidRPr="0032220F">
        <w:t>£</w:t>
      </w:r>
      <w:r>
        <w:t>76</w:t>
      </w:r>
      <w:r w:rsidRPr="0032220F">
        <w:t xml:space="preserve">m invested with a range of maturity dates between </w:t>
      </w:r>
      <w:r>
        <w:t>fourteen</w:t>
      </w:r>
      <w:r w:rsidRPr="0032220F">
        <w:t xml:space="preserve"> day</w:t>
      </w:r>
      <w:r>
        <w:t>s</w:t>
      </w:r>
      <w:r w:rsidRPr="0032220F">
        <w:t xml:space="preserve"> and </w:t>
      </w:r>
      <w:r>
        <w:t>three</w:t>
      </w:r>
      <w:r w:rsidRPr="0032220F">
        <w:t xml:space="preserve"> years</w:t>
      </w:r>
      <w:r>
        <w:t>, and a further £5m with CCLA with no maturity date</w:t>
      </w:r>
      <w:r w:rsidRPr="00161B7A">
        <w:t>.</w:t>
      </w:r>
    </w:p>
    <w:p w14:paraId="310044DF" w14:textId="77777777" w:rsidR="00421D81" w:rsidRDefault="00421D81" w:rsidP="00421D81">
      <w:pPr>
        <w:pStyle w:val="ListParagraph"/>
        <w:ind w:left="426" w:hanging="426"/>
        <w:jc w:val="both"/>
      </w:pPr>
    </w:p>
    <w:p w14:paraId="725EEB10" w14:textId="77777777" w:rsidR="00421D81" w:rsidRDefault="00421D81" w:rsidP="00421D81">
      <w:pPr>
        <w:pStyle w:val="ListParagraph"/>
        <w:numPr>
          <w:ilvl w:val="1"/>
          <w:numId w:val="15"/>
        </w:numPr>
        <w:ind w:left="426" w:hanging="426"/>
        <w:jc w:val="both"/>
      </w:pPr>
      <w:r w:rsidRPr="00D33AC9">
        <w:t xml:space="preserve">All of the Commissioner’s investments are with UK based entities: </w:t>
      </w:r>
      <w:r>
        <w:t>69</w:t>
      </w:r>
      <w:r w:rsidRPr="00D33AC9">
        <w:t xml:space="preserve">% Local Authorities, </w:t>
      </w:r>
      <w:r>
        <w:t>25</w:t>
      </w:r>
      <w:r w:rsidRPr="00D33AC9">
        <w:t>% British Banks</w:t>
      </w:r>
      <w:r>
        <w:t>/Building Societies</w:t>
      </w:r>
      <w:r w:rsidRPr="00D33AC9">
        <w:t xml:space="preserve">, </w:t>
      </w:r>
      <w:r>
        <w:t>6</w:t>
      </w:r>
      <w:r w:rsidRPr="00D33AC9">
        <w:t>% CCLA</w:t>
      </w:r>
      <w:r>
        <w:t xml:space="preserve"> as at 24/02/21 (see </w:t>
      </w:r>
      <w:r w:rsidRPr="00BD5CA1">
        <w:rPr>
          <w:b/>
        </w:rPr>
        <w:t>Appendix D</w:t>
      </w:r>
      <w:r>
        <w:t>)</w:t>
      </w:r>
      <w:r w:rsidRPr="00D33AC9">
        <w:t>.</w:t>
      </w:r>
      <w:r>
        <w:t xml:space="preserve"> Since the final recovery, in January 2014, of investments frozen in the Icelandic bank Landsbanki, the Commissioner has held no investments with foreign banks.</w:t>
      </w:r>
    </w:p>
    <w:p w14:paraId="3E6CC3AB" w14:textId="77777777" w:rsidR="00421D81" w:rsidRDefault="00421D81" w:rsidP="00421D81">
      <w:pPr>
        <w:pStyle w:val="ListParagraph"/>
        <w:ind w:left="426" w:hanging="426"/>
        <w:jc w:val="both"/>
      </w:pPr>
    </w:p>
    <w:p w14:paraId="6D9B3E86" w14:textId="77777777" w:rsidR="00421D81" w:rsidRDefault="00421D81" w:rsidP="00421D81">
      <w:pPr>
        <w:pStyle w:val="ListParagraph"/>
        <w:numPr>
          <w:ilvl w:val="1"/>
          <w:numId w:val="15"/>
        </w:numPr>
        <w:ind w:left="426" w:hanging="426"/>
        <w:jc w:val="both"/>
      </w:pPr>
      <w:r>
        <w:lastRenderedPageBreak/>
        <w:t>Based on market information provided by Link Asset Services, the counter party list has been</w:t>
      </w:r>
      <w:r w:rsidRPr="006A2EC2">
        <w:t xml:space="preserve"> </w:t>
      </w:r>
      <w:r>
        <w:t xml:space="preserve">fully reviewed to reflect: current market conditions, credit ratings of sovereign nations, and the impact of Government support for the banking sector. As a consequence, the limits, both financial and duration, have been adjusted for some institutions. Specifically the </w:t>
      </w:r>
      <w:r w:rsidRPr="00F070A0">
        <w:t xml:space="preserve">group </w:t>
      </w:r>
      <w:r>
        <w:t xml:space="preserve">and individual </w:t>
      </w:r>
      <w:r w:rsidRPr="00F070A0">
        <w:t>limits (£</w:t>
      </w:r>
      <w:r>
        <w:t>65</w:t>
      </w:r>
      <w:r w:rsidRPr="00F070A0">
        <w:t>m) for the part government owned institutions (National Westminster Bank, Royal Bank of Scotland)</w:t>
      </w:r>
      <w:r>
        <w:t xml:space="preserve"> have been increased by £5m as it is considered that they are less risky than other UK institutions that are not directly supported by the government. (The NatWest group are the bankers for the PCC)</w:t>
      </w:r>
    </w:p>
    <w:p w14:paraId="77BA9EDA" w14:textId="77777777" w:rsidR="00421D81" w:rsidRDefault="00421D81" w:rsidP="00421D81">
      <w:pPr>
        <w:pStyle w:val="ListParagraph"/>
        <w:ind w:left="426" w:hanging="426"/>
        <w:jc w:val="both"/>
      </w:pPr>
    </w:p>
    <w:p w14:paraId="4D6CFAEB" w14:textId="77777777" w:rsidR="00421D81" w:rsidRDefault="00421D81" w:rsidP="00421D81">
      <w:pPr>
        <w:pStyle w:val="ListParagraph"/>
        <w:numPr>
          <w:ilvl w:val="1"/>
          <w:numId w:val="15"/>
        </w:numPr>
        <w:ind w:left="426" w:hanging="426"/>
        <w:jc w:val="both"/>
      </w:pPr>
      <w:r>
        <w:t xml:space="preserve">Similarly all Local Authorities are eligible for inclusion on the counter party list because ultimately they have the support of the national government. However, during 2020 it became known that some Local Authorities issued Section 114 notices, effectively stating they cannot balance the budget for the year and placing a freeze on any non-essential spending. (It should be noted that the repayment of investments fall outside the scope of this as it is a legal obligation).  As a result of this, additional due diligence is now carried out on any Local Authority investments to ensure that investments are secure and to avoid any adverse publicity. </w:t>
      </w:r>
    </w:p>
    <w:p w14:paraId="68E2EE99" w14:textId="77777777" w:rsidR="00421D81" w:rsidRDefault="00421D81" w:rsidP="00421D81">
      <w:pPr>
        <w:pStyle w:val="ListParagraph"/>
        <w:ind w:left="426" w:hanging="426"/>
        <w:jc w:val="both"/>
      </w:pPr>
    </w:p>
    <w:p w14:paraId="64E84CA1" w14:textId="77777777" w:rsidR="00421D81" w:rsidRDefault="00421D81" w:rsidP="00421D81">
      <w:pPr>
        <w:pStyle w:val="ListParagraph"/>
        <w:numPr>
          <w:ilvl w:val="1"/>
          <w:numId w:val="15"/>
        </w:numPr>
        <w:ind w:left="426" w:hanging="426"/>
        <w:jc w:val="both"/>
      </w:pPr>
      <w:r>
        <w:t xml:space="preserve">If institutions now fall below the set criteria they have been removed from the list and added if they become eligible. A copy of the latest list, which will be kept under review by the Commissioner’s CFO, in accordance with the TMP Statements, is attached at </w:t>
      </w:r>
      <w:r w:rsidRPr="00BD5CA1">
        <w:rPr>
          <w:b/>
        </w:rPr>
        <w:t>Appendix C</w:t>
      </w:r>
      <w:r>
        <w:t xml:space="preserve">. Details of the criteria are contained within the annual investment strategy </w:t>
      </w:r>
      <w:r w:rsidRPr="00BD5CA1">
        <w:rPr>
          <w:b/>
        </w:rPr>
        <w:t>in Appendix B.</w:t>
      </w:r>
    </w:p>
    <w:p w14:paraId="3ED0AFA7" w14:textId="77777777" w:rsidR="00421D81" w:rsidRDefault="00421D81" w:rsidP="00421D81">
      <w:pPr>
        <w:pStyle w:val="ListParagraph"/>
        <w:ind w:left="426" w:hanging="426"/>
        <w:jc w:val="both"/>
      </w:pPr>
    </w:p>
    <w:p w14:paraId="66EF7A79" w14:textId="77777777" w:rsidR="00421D81" w:rsidRDefault="00421D81" w:rsidP="00421D81">
      <w:pPr>
        <w:pStyle w:val="ListParagraph"/>
        <w:numPr>
          <w:ilvl w:val="1"/>
          <w:numId w:val="15"/>
        </w:numPr>
        <w:ind w:left="426" w:hanging="426"/>
        <w:jc w:val="both"/>
      </w:pPr>
      <w:r>
        <w:t>The day to day work of Treasury Management is carried out in the Finance Department with oversight from the Director of Commercial Services. The Treasury Management Strategy is therefore managed using appropriate delegations and periodic management reporting to the Director of Commercial Services and the Commissioner’s CFO. This will continue for the next financial year.</w:t>
      </w:r>
    </w:p>
    <w:p w14:paraId="0C3A67E0" w14:textId="77777777" w:rsidR="00421D81" w:rsidRPr="004F024C" w:rsidRDefault="00421D81" w:rsidP="00421D81">
      <w:pPr>
        <w:pStyle w:val="Heading1"/>
        <w:ind w:left="426" w:hanging="426"/>
        <w:jc w:val="both"/>
        <w:rPr>
          <w:rFonts w:ascii="Arial" w:hAnsi="Arial" w:cs="Arial"/>
          <w:sz w:val="22"/>
          <w:szCs w:val="22"/>
        </w:rPr>
      </w:pPr>
      <w:r w:rsidRPr="004F024C">
        <w:rPr>
          <w:rFonts w:ascii="Arial" w:hAnsi="Arial" w:cs="Arial"/>
          <w:sz w:val="22"/>
          <w:szCs w:val="22"/>
        </w:rPr>
        <w:t>5</w:t>
      </w:r>
      <w:r w:rsidRPr="004F024C">
        <w:rPr>
          <w:rFonts w:ascii="Arial" w:hAnsi="Arial" w:cs="Arial"/>
          <w:sz w:val="22"/>
          <w:szCs w:val="22"/>
        </w:rPr>
        <w:tab/>
        <w:t>TREASURY STRATEGY STATEMENT 2021/22</w:t>
      </w:r>
    </w:p>
    <w:p w14:paraId="37AFAFC7" w14:textId="77777777" w:rsidR="00421D81" w:rsidRDefault="00421D81" w:rsidP="00421D81">
      <w:pPr>
        <w:ind w:left="426" w:right="543" w:hanging="426"/>
        <w:jc w:val="both"/>
        <w:rPr>
          <w:b/>
        </w:rPr>
      </w:pPr>
    </w:p>
    <w:p w14:paraId="69F72FFF" w14:textId="77777777" w:rsidR="00421D81" w:rsidRPr="00AD508F" w:rsidRDefault="00421D81" w:rsidP="00421D81">
      <w:pPr>
        <w:ind w:left="426" w:right="95" w:hanging="426"/>
        <w:jc w:val="both"/>
        <w:rPr>
          <w:b/>
        </w:rPr>
      </w:pPr>
      <w:r>
        <w:t>5.1</w:t>
      </w:r>
      <w:r>
        <w:tab/>
        <w:t xml:space="preserve">The Treasury Strategy Statement covers the Commissioner’s latest capital funding requirements, view of interest rate movements, and strategy for borrowing and investment in the light of that view.  As such, it needs to be reviewed annually.  The Treasury Strategy Statement for 2021/22 is attached at </w:t>
      </w:r>
      <w:r w:rsidRPr="00BD5CA1">
        <w:rPr>
          <w:b/>
        </w:rPr>
        <w:t>Appendix B.</w:t>
      </w:r>
    </w:p>
    <w:p w14:paraId="4AF92726" w14:textId="77777777" w:rsidR="00421D81" w:rsidRDefault="00421D81" w:rsidP="00421D81">
      <w:pPr>
        <w:ind w:left="426" w:hanging="426"/>
        <w:jc w:val="both"/>
      </w:pPr>
    </w:p>
    <w:p w14:paraId="535FAAA8" w14:textId="77777777" w:rsidR="00421D81" w:rsidRPr="00D9087F" w:rsidRDefault="00421D81" w:rsidP="00421D81">
      <w:pPr>
        <w:ind w:left="426" w:right="95" w:hanging="426"/>
        <w:jc w:val="both"/>
      </w:pPr>
      <w:r w:rsidRPr="002A528A">
        <w:t>5.2</w:t>
      </w:r>
      <w:r>
        <w:tab/>
      </w:r>
      <w:r w:rsidRPr="00D9087F">
        <w:t xml:space="preserve">Following the UK’s </w:t>
      </w:r>
      <w:r>
        <w:t>exit from the EU on 31 December</w:t>
      </w:r>
      <w:r w:rsidRPr="00D9087F">
        <w:t xml:space="preserve"> 2020 the expectations for interest rates over the next twelve months, which will be subject to continuous review with the Commissioner’s treasury advisors and are caveated by recent market volatility following market responses to the Corona</w:t>
      </w:r>
      <w:r>
        <w:t>virus outbreak, are as follows</w:t>
      </w:r>
      <w:r w:rsidRPr="00D9087F">
        <w:t>:</w:t>
      </w:r>
    </w:p>
    <w:p w14:paraId="1822BE4F" w14:textId="77777777" w:rsidR="00421D81" w:rsidRPr="00D9087F" w:rsidRDefault="00421D81" w:rsidP="00421D81">
      <w:pPr>
        <w:pStyle w:val="BodyTextIndent3"/>
        <w:ind w:left="426" w:hanging="426"/>
        <w:jc w:val="both"/>
      </w:pPr>
    </w:p>
    <w:p w14:paraId="07EB96EC" w14:textId="77777777" w:rsidR="00421D81" w:rsidRPr="00D9087F" w:rsidRDefault="00421D81" w:rsidP="00421D81">
      <w:pPr>
        <w:ind w:left="426" w:hanging="426"/>
        <w:jc w:val="both"/>
        <w:rPr>
          <w:b/>
        </w:rPr>
      </w:pPr>
      <w:r w:rsidRPr="00D9087F">
        <w:rPr>
          <w:b/>
        </w:rPr>
        <w:t>Short-term rates.</w:t>
      </w:r>
    </w:p>
    <w:p w14:paraId="74099461" w14:textId="77777777" w:rsidR="00421D81" w:rsidRPr="00D9087F" w:rsidRDefault="00421D81" w:rsidP="00421D81">
      <w:pPr>
        <w:pStyle w:val="ListParagraph"/>
        <w:numPr>
          <w:ilvl w:val="0"/>
          <w:numId w:val="25"/>
        </w:numPr>
        <w:ind w:left="426" w:hanging="426"/>
        <w:jc w:val="both"/>
      </w:pPr>
      <w:r w:rsidRPr="00D9087F">
        <w:t>The Bank of England Base Rate was lowered to 0.</w:t>
      </w:r>
      <w:r>
        <w:t>1</w:t>
      </w:r>
      <w:r w:rsidRPr="00D9087F">
        <w:t>% on 1</w:t>
      </w:r>
      <w:r>
        <w:t>9</w:t>
      </w:r>
      <w:r w:rsidRPr="00D9087F">
        <w:t xml:space="preserve"> March 2020</w:t>
      </w:r>
      <w:r>
        <w:t xml:space="preserve"> in response to Government policy regarding the Coronavirus outbreak.  </w:t>
      </w:r>
      <w:r w:rsidRPr="00D9087F">
        <w:t>The forecast is</w:t>
      </w:r>
      <w:r>
        <w:t xml:space="preserve"> that rates are unlikely to rise above 0.1% for a considerable period of time.</w:t>
      </w:r>
      <w:r w:rsidRPr="00D9087F">
        <w:t xml:space="preserve"> </w:t>
      </w:r>
    </w:p>
    <w:p w14:paraId="2E8E335E" w14:textId="77777777" w:rsidR="00421D81" w:rsidRPr="00D9087F" w:rsidRDefault="00421D81" w:rsidP="00421D81">
      <w:pPr>
        <w:ind w:left="426" w:hanging="426"/>
        <w:jc w:val="both"/>
      </w:pPr>
    </w:p>
    <w:p w14:paraId="205566CE" w14:textId="77777777" w:rsidR="00421D81" w:rsidRDefault="00421D81" w:rsidP="00421D81">
      <w:pPr>
        <w:numPr>
          <w:ilvl w:val="0"/>
          <w:numId w:val="25"/>
        </w:numPr>
        <w:ind w:left="426" w:hanging="426"/>
        <w:jc w:val="both"/>
      </w:pPr>
      <w:r w:rsidRPr="00BD5CA1">
        <w:t xml:space="preserve">As the Base Rate underpins investment returns it is unlikely that this forecast is an under estimate especially if the economic growth is weaker than currently anticipated or there is negative fallout from the </w:t>
      </w:r>
      <w:r>
        <w:t>UK’s exi</w:t>
      </w:r>
      <w:r w:rsidRPr="00BD5CA1">
        <w:t>t from European Union.</w:t>
      </w:r>
      <w:r>
        <w:t xml:space="preserve"> </w:t>
      </w:r>
      <w:r w:rsidRPr="00D9087F">
        <w:t>The low interest rates will continue to depress future interest receivable estimates and an average</w:t>
      </w:r>
      <w:r>
        <w:t xml:space="preserve"> investment return of sub 0.2</w:t>
      </w:r>
      <w:r w:rsidRPr="00D9087F">
        <w:t>0% on new investments made in 202</w:t>
      </w:r>
      <w:r>
        <w:t>1/22</w:t>
      </w:r>
      <w:r w:rsidRPr="00D9087F">
        <w:t xml:space="preserve"> can be expected.</w:t>
      </w:r>
      <w:r>
        <w:t xml:space="preserve">  Further detail can be found in </w:t>
      </w:r>
      <w:r w:rsidRPr="00BD5CA1">
        <w:rPr>
          <w:b/>
        </w:rPr>
        <w:t>Appendix B</w:t>
      </w:r>
      <w:r>
        <w:rPr>
          <w:b/>
        </w:rPr>
        <w:t>.</w:t>
      </w:r>
    </w:p>
    <w:p w14:paraId="0755B585" w14:textId="77777777" w:rsidR="00421D81" w:rsidRPr="00D9087F" w:rsidRDefault="00421D81" w:rsidP="00421D81">
      <w:pPr>
        <w:ind w:left="426" w:hanging="426"/>
        <w:jc w:val="both"/>
      </w:pPr>
    </w:p>
    <w:p w14:paraId="7E216A22" w14:textId="77777777" w:rsidR="00421D81" w:rsidRPr="00D9087F" w:rsidRDefault="00421D81" w:rsidP="00421D81">
      <w:pPr>
        <w:ind w:left="426" w:hanging="426"/>
        <w:jc w:val="both"/>
        <w:rPr>
          <w:b/>
        </w:rPr>
      </w:pPr>
    </w:p>
    <w:p w14:paraId="62F18ABE" w14:textId="77777777" w:rsidR="00421D81" w:rsidRPr="00D9087F" w:rsidRDefault="00421D81" w:rsidP="00421D81">
      <w:pPr>
        <w:ind w:left="426" w:hanging="426"/>
        <w:jc w:val="both"/>
      </w:pPr>
      <w:r w:rsidRPr="00D9087F">
        <w:rPr>
          <w:b/>
        </w:rPr>
        <w:t>Long-term rates.</w:t>
      </w:r>
      <w:r w:rsidRPr="00D9087F">
        <w:t xml:space="preserve"> </w:t>
      </w:r>
    </w:p>
    <w:p w14:paraId="6764868B" w14:textId="77777777" w:rsidR="00421D81" w:rsidRDefault="00421D81" w:rsidP="00421D81">
      <w:pPr>
        <w:numPr>
          <w:ilvl w:val="0"/>
          <w:numId w:val="25"/>
        </w:numPr>
        <w:ind w:left="426" w:hanging="426"/>
        <w:jc w:val="both"/>
      </w:pPr>
      <w:r w:rsidRPr="00D9087F">
        <w:t xml:space="preserve">Very long term rates (50 year PWLB rate) are </w:t>
      </w:r>
      <w:r>
        <w:t>2.15%. This follows a 100bps (basis points- 1%) drop in late 2020 following a consultation.</w:t>
      </w:r>
    </w:p>
    <w:p w14:paraId="168A7570" w14:textId="77777777" w:rsidR="00421D81" w:rsidRPr="00D9087F" w:rsidRDefault="00421D81" w:rsidP="00421D81">
      <w:pPr>
        <w:ind w:left="426"/>
        <w:jc w:val="both"/>
      </w:pPr>
    </w:p>
    <w:p w14:paraId="58C81597" w14:textId="77777777" w:rsidR="00421D81" w:rsidRDefault="00421D81" w:rsidP="00421D81">
      <w:pPr>
        <w:numPr>
          <w:ilvl w:val="0"/>
          <w:numId w:val="25"/>
        </w:numPr>
        <w:ind w:left="426" w:hanging="426"/>
        <w:jc w:val="both"/>
      </w:pPr>
      <w:r w:rsidRPr="00D9087F">
        <w:t xml:space="preserve">Long term rates (25 year PWLB rate) are </w:t>
      </w:r>
      <w:r>
        <w:t>2.32% (rates correct as at 23/02/2021)</w:t>
      </w:r>
    </w:p>
    <w:p w14:paraId="0EF11BC6" w14:textId="77777777" w:rsidR="00421D81" w:rsidRPr="00D9087F" w:rsidRDefault="00421D81" w:rsidP="00421D81">
      <w:pPr>
        <w:ind w:left="426" w:hanging="426"/>
        <w:jc w:val="both"/>
      </w:pPr>
    </w:p>
    <w:p w14:paraId="52C32D35" w14:textId="77777777" w:rsidR="00421D81" w:rsidRDefault="00421D81" w:rsidP="00421D81">
      <w:pPr>
        <w:numPr>
          <w:ilvl w:val="0"/>
          <w:numId w:val="25"/>
        </w:numPr>
        <w:ind w:left="426" w:hanging="426"/>
        <w:jc w:val="both"/>
      </w:pPr>
      <w:r w:rsidRPr="00D9087F">
        <w:t>The view of long term rates will affe</w:t>
      </w:r>
      <w:r>
        <w:t>ct the borrowing strategy in 2021</w:t>
      </w:r>
      <w:r w:rsidRPr="00D9087F">
        <w:t>/</w:t>
      </w:r>
      <w:r>
        <w:t>22</w:t>
      </w:r>
      <w:r w:rsidRPr="00D9087F">
        <w:t xml:space="preserve">. The Estates Strategy has highlighted the need to borrow and borrowing rates are currently </w:t>
      </w:r>
      <w:r>
        <w:t xml:space="preserve">very </w:t>
      </w:r>
      <w:r w:rsidRPr="00D9087F">
        <w:t>attractive</w:t>
      </w:r>
      <w:r>
        <w:t xml:space="preserve"> and </w:t>
      </w:r>
      <w:r w:rsidRPr="00D9087F">
        <w:t xml:space="preserve">should remain low for some time. </w:t>
      </w:r>
    </w:p>
    <w:p w14:paraId="24AA1F86" w14:textId="77777777" w:rsidR="00421D81" w:rsidRDefault="00421D81" w:rsidP="00421D81">
      <w:pPr>
        <w:ind w:left="426"/>
        <w:jc w:val="both"/>
      </w:pPr>
    </w:p>
    <w:p w14:paraId="2D882648" w14:textId="77777777" w:rsidR="00421D81" w:rsidRDefault="00421D81" w:rsidP="00421D81">
      <w:pPr>
        <w:ind w:left="426" w:hanging="426"/>
        <w:jc w:val="both"/>
      </w:pPr>
      <w:r>
        <w:t>5.3</w:t>
      </w:r>
      <w:r>
        <w:tab/>
        <w:t>The Local Government Act 2003 introduced a new system of “prudential borrowing” which allows the Commissioner to set borrowing limits subject to criteria of prudence and affordability. These criteria are set out in more detail in the CIPFA Prudential Code that specifically requires a number of prudential indicators are set. The full range of prudential indicators was considered when the 2021/22 Budget and Precept were agreed in February 2021. This is particularly relevant when set in the context of the overall limitation of planned capital resources and therefore a potential increase in prudential borrowing across the medium term plan. The proposed indicators that relate to treasury management, including the Estates Strategy, are set out in the Treasury Strategy Statement.</w:t>
      </w:r>
    </w:p>
    <w:p w14:paraId="5B316063" w14:textId="77777777" w:rsidR="00421D81" w:rsidRDefault="00421D81" w:rsidP="00421D81">
      <w:pPr>
        <w:ind w:left="426" w:hanging="426"/>
        <w:jc w:val="both"/>
      </w:pPr>
    </w:p>
    <w:p w14:paraId="104B93B4" w14:textId="77777777" w:rsidR="00421D81" w:rsidRDefault="00421D81" w:rsidP="00421D81">
      <w:pPr>
        <w:ind w:left="426" w:hanging="426"/>
        <w:jc w:val="both"/>
      </w:pPr>
      <w:r w:rsidRPr="002A528A">
        <w:t>5.4</w:t>
      </w:r>
      <w:r>
        <w:tab/>
        <w:t>The Local Government Act 2003 also</w:t>
      </w:r>
      <w:r w:rsidRPr="00BD1911">
        <w:t xml:space="preserve"> </w:t>
      </w:r>
      <w:r w:rsidRPr="001667B9">
        <w:t xml:space="preserve">requires the </w:t>
      </w:r>
      <w:r>
        <w:t>Commissioner</w:t>
      </w:r>
      <w:r w:rsidRPr="001667B9">
        <w:t xml:space="preserve"> to set out </w:t>
      </w:r>
      <w:r>
        <w:t>a</w:t>
      </w:r>
      <w:r w:rsidRPr="001667B9">
        <w:t xml:space="preserve"> treasury</w:t>
      </w:r>
      <w:r>
        <w:t xml:space="preserve"> s</w:t>
      </w:r>
      <w:r w:rsidRPr="001667B9">
        <w:t>trategy</w:t>
      </w:r>
      <w:r>
        <w:t xml:space="preserve"> </w:t>
      </w:r>
      <w:r w:rsidRPr="001667B9">
        <w:t xml:space="preserve">for borrowing and to prepare an Annual Investment Strategy (as required by Investment </w:t>
      </w:r>
      <w:r>
        <w:t>G</w:t>
      </w:r>
      <w:r w:rsidRPr="001667B9">
        <w:t xml:space="preserve">uidance issued subsequent to the Act); this sets out the </w:t>
      </w:r>
      <w:r>
        <w:t>Commissioner</w:t>
      </w:r>
      <w:r w:rsidRPr="001667B9">
        <w:t xml:space="preserve">’s </w:t>
      </w:r>
      <w:r>
        <w:t>p</w:t>
      </w:r>
      <w:r w:rsidRPr="001667B9">
        <w:t>olicies</w:t>
      </w:r>
      <w:r>
        <w:t xml:space="preserve"> </w:t>
      </w:r>
      <w:r w:rsidRPr="001667B9">
        <w:t>for managing investments and for giving priority to the security and liquidity of those</w:t>
      </w:r>
      <w:r>
        <w:t xml:space="preserve"> </w:t>
      </w:r>
      <w:r w:rsidRPr="008876A2">
        <w:t>investments.</w:t>
      </w:r>
    </w:p>
    <w:p w14:paraId="3E6E1CC9" w14:textId="77777777" w:rsidR="00421D81" w:rsidRDefault="00421D81" w:rsidP="00421D81">
      <w:pPr>
        <w:ind w:left="426" w:hanging="426"/>
        <w:jc w:val="both"/>
      </w:pPr>
    </w:p>
    <w:p w14:paraId="21530DEF" w14:textId="77777777" w:rsidR="00421D81" w:rsidRPr="00411BE3" w:rsidRDefault="00421D81" w:rsidP="00421D81">
      <w:pPr>
        <w:pStyle w:val="Heading1"/>
        <w:ind w:left="426" w:hanging="426"/>
        <w:jc w:val="both"/>
        <w:rPr>
          <w:rFonts w:ascii="Arial" w:hAnsi="Arial" w:cs="Arial"/>
          <w:sz w:val="22"/>
          <w:szCs w:val="22"/>
        </w:rPr>
      </w:pPr>
      <w:r w:rsidRPr="00411BE3">
        <w:rPr>
          <w:rFonts w:ascii="Arial" w:hAnsi="Arial" w:cs="Arial"/>
          <w:sz w:val="22"/>
          <w:szCs w:val="22"/>
        </w:rPr>
        <w:t>6.</w:t>
      </w:r>
      <w:r w:rsidRPr="00411BE3">
        <w:rPr>
          <w:rFonts w:ascii="Arial" w:hAnsi="Arial" w:cs="Arial"/>
          <w:sz w:val="22"/>
          <w:szCs w:val="22"/>
        </w:rPr>
        <w:tab/>
        <w:t>FINANCIAL IMPLICATIONS</w:t>
      </w:r>
    </w:p>
    <w:p w14:paraId="0A4A452C" w14:textId="77777777" w:rsidR="00421D81" w:rsidRDefault="00421D81" w:rsidP="00421D81">
      <w:pPr>
        <w:ind w:left="567" w:right="543" w:hanging="567"/>
        <w:jc w:val="both"/>
        <w:rPr>
          <w:b/>
        </w:rPr>
      </w:pPr>
    </w:p>
    <w:p w14:paraId="5E4C5710" w14:textId="77777777" w:rsidR="00421D81" w:rsidRPr="00A42023" w:rsidRDefault="00421D81" w:rsidP="00421D81">
      <w:pPr>
        <w:ind w:left="426" w:hanging="426"/>
        <w:jc w:val="both"/>
      </w:pPr>
      <w:r>
        <w:t>6.1</w:t>
      </w:r>
      <w:r>
        <w:tab/>
      </w:r>
      <w:r w:rsidRPr="00161B7A">
        <w:t>The financial implications of the Treasury Management function are included in the</w:t>
      </w:r>
      <w:r>
        <w:t xml:space="preserve"> Commissioner</w:t>
      </w:r>
      <w:r w:rsidRPr="00161B7A">
        <w:t>’s annual budget. The estimated total net cost of capital financing in</w:t>
      </w:r>
      <w:r>
        <w:t xml:space="preserve"> 2021/22 </w:t>
      </w:r>
      <w:r w:rsidRPr="00161B7A">
        <w:t xml:space="preserve">(including direct charges to revenue) is </w:t>
      </w:r>
      <w:r w:rsidRPr="00566D9E">
        <w:t>£</w:t>
      </w:r>
      <w:r>
        <w:t>7.0m.</w:t>
      </w:r>
    </w:p>
    <w:p w14:paraId="31B4F5DA" w14:textId="77777777" w:rsidR="00421D81" w:rsidRPr="00411BE3" w:rsidRDefault="00421D81" w:rsidP="00421D81">
      <w:pPr>
        <w:pStyle w:val="Heading1"/>
        <w:ind w:left="426" w:hanging="426"/>
        <w:jc w:val="both"/>
        <w:rPr>
          <w:rFonts w:ascii="Arial" w:hAnsi="Arial" w:cs="Arial"/>
          <w:sz w:val="22"/>
          <w:szCs w:val="22"/>
        </w:rPr>
      </w:pPr>
      <w:r w:rsidRPr="00411BE3">
        <w:rPr>
          <w:rFonts w:ascii="Arial" w:hAnsi="Arial" w:cs="Arial"/>
          <w:sz w:val="22"/>
          <w:szCs w:val="22"/>
        </w:rPr>
        <w:t>7.</w:t>
      </w:r>
      <w:r w:rsidRPr="00411BE3">
        <w:rPr>
          <w:rFonts w:ascii="Arial" w:hAnsi="Arial" w:cs="Arial"/>
          <w:sz w:val="22"/>
          <w:szCs w:val="22"/>
        </w:rPr>
        <w:tab/>
        <w:t>LEGAL IMPLICATIONS</w:t>
      </w:r>
    </w:p>
    <w:p w14:paraId="06487B66" w14:textId="77777777" w:rsidR="00421D81" w:rsidRDefault="00421D81" w:rsidP="00421D81">
      <w:pPr>
        <w:ind w:left="567" w:right="543" w:hanging="567"/>
        <w:jc w:val="both"/>
        <w:rPr>
          <w:b/>
        </w:rPr>
      </w:pPr>
    </w:p>
    <w:p w14:paraId="25B2AB4F" w14:textId="77777777" w:rsidR="00421D81" w:rsidRDefault="00421D81" w:rsidP="00421D81">
      <w:pPr>
        <w:ind w:left="426" w:hanging="426"/>
        <w:jc w:val="both"/>
      </w:pPr>
      <w:r w:rsidRPr="00FA79D8">
        <w:t>7.1</w:t>
      </w:r>
      <w:r>
        <w:tab/>
        <w:t>These matters are governed by Part IV of the Local Government and Housing Act 1989 and Section 111 of the Local Government Act 1972, which empowers the Commissioner to do anything which is calculated to facilitate or is conducive or incidental to the discharge of their various statutory functions.</w:t>
      </w:r>
    </w:p>
    <w:p w14:paraId="5262B277" w14:textId="77777777" w:rsidR="00421D81" w:rsidRDefault="00421D81" w:rsidP="00421D81">
      <w:pPr>
        <w:ind w:left="720" w:hanging="720"/>
        <w:jc w:val="both"/>
      </w:pPr>
    </w:p>
    <w:p w14:paraId="2F6564FC" w14:textId="77777777" w:rsidR="00421D81" w:rsidRDefault="00421D81" w:rsidP="00421D81">
      <w:pPr>
        <w:ind w:left="426" w:hanging="426"/>
        <w:jc w:val="both"/>
      </w:pPr>
      <w:r>
        <w:t xml:space="preserve">7.2 </w:t>
      </w:r>
      <w:r>
        <w:tab/>
        <w:t xml:space="preserve">Adoption of the CIPFA Code of Practice on </w:t>
      </w:r>
      <w:r w:rsidRPr="00ED039D">
        <w:t xml:space="preserve">Treasury Management in the Public Services </w:t>
      </w:r>
      <w:r>
        <w:t>as part of the Commissioner's Standing Orders and Financial Regulations gives it the status of "a code of practice made or approved by or under any enactment" and hence proper practice under the provisions of the Local Government and Housing Act 1989.</w:t>
      </w:r>
    </w:p>
    <w:p w14:paraId="5FDFE4A5" w14:textId="77777777" w:rsidR="00421D81" w:rsidRDefault="00421D81" w:rsidP="00421D81">
      <w:pPr>
        <w:ind w:left="567" w:hanging="567"/>
        <w:jc w:val="both"/>
      </w:pPr>
    </w:p>
    <w:p w14:paraId="2B538AA0" w14:textId="77777777" w:rsidR="00421D81" w:rsidRDefault="00421D81" w:rsidP="00421D81">
      <w:pPr>
        <w:ind w:left="426" w:hanging="426"/>
        <w:jc w:val="both"/>
      </w:pPr>
      <w:r>
        <w:t>7.3</w:t>
      </w:r>
      <w:r>
        <w:tab/>
      </w:r>
      <w:r w:rsidRPr="00922CDD">
        <w:t xml:space="preserve">The </w:t>
      </w:r>
      <w:r>
        <w:t>Commissioner’s CFO</w:t>
      </w:r>
      <w:r w:rsidRPr="00922CDD">
        <w:t xml:space="preserve"> continues to delegate the resp</w:t>
      </w:r>
      <w:r>
        <w:t>onsibility for the discharge of T</w:t>
      </w:r>
      <w:r w:rsidRPr="00922CDD">
        <w:t xml:space="preserve">reasury Management on a daily basis to the Director of </w:t>
      </w:r>
      <w:r>
        <w:t>Commercial S</w:t>
      </w:r>
      <w:r w:rsidRPr="00922CDD">
        <w:t>e</w:t>
      </w:r>
      <w:r>
        <w:t>rvice</w:t>
      </w:r>
      <w:r w:rsidRPr="00922CDD">
        <w:t>s through the</w:t>
      </w:r>
      <w:r>
        <w:t xml:space="preserve"> a</w:t>
      </w:r>
      <w:r w:rsidRPr="00922CDD">
        <w:t>ppropriate</w:t>
      </w:r>
      <w:r>
        <w:t xml:space="preserve"> </w:t>
      </w:r>
      <w:r w:rsidRPr="00922CDD">
        <w:t>Finance Department staff.</w:t>
      </w:r>
    </w:p>
    <w:p w14:paraId="3EF9D931" w14:textId="77777777" w:rsidR="00421D81" w:rsidRDefault="00421D81" w:rsidP="00421D81">
      <w:pPr>
        <w:ind w:right="543"/>
        <w:jc w:val="both"/>
      </w:pPr>
    </w:p>
    <w:p w14:paraId="120E0811" w14:textId="77777777" w:rsidR="00DF6DDC" w:rsidRPr="00FA79D8" w:rsidRDefault="00DF6DDC" w:rsidP="00421D81">
      <w:pPr>
        <w:ind w:right="543"/>
        <w:jc w:val="both"/>
      </w:pPr>
    </w:p>
    <w:p w14:paraId="3F5830CB" w14:textId="77777777" w:rsidR="00421D81" w:rsidRPr="00411BE3" w:rsidRDefault="00421D81" w:rsidP="00421D81">
      <w:pPr>
        <w:pStyle w:val="Heading1"/>
        <w:ind w:left="426" w:hanging="426"/>
        <w:jc w:val="both"/>
        <w:rPr>
          <w:rFonts w:ascii="Arial" w:hAnsi="Arial" w:cs="Arial"/>
          <w:sz w:val="22"/>
          <w:szCs w:val="22"/>
        </w:rPr>
      </w:pPr>
      <w:r w:rsidRPr="00411BE3">
        <w:rPr>
          <w:rFonts w:ascii="Arial" w:hAnsi="Arial" w:cs="Arial"/>
          <w:sz w:val="22"/>
          <w:szCs w:val="22"/>
        </w:rPr>
        <w:lastRenderedPageBreak/>
        <w:t>8.</w:t>
      </w:r>
      <w:r w:rsidRPr="00411BE3">
        <w:rPr>
          <w:rFonts w:ascii="Arial" w:hAnsi="Arial" w:cs="Arial"/>
          <w:sz w:val="22"/>
          <w:szCs w:val="22"/>
        </w:rPr>
        <w:tab/>
        <w:t>EQUALITY IMPLICATIONS</w:t>
      </w:r>
    </w:p>
    <w:p w14:paraId="3554B390" w14:textId="77777777" w:rsidR="00421D81" w:rsidRDefault="00421D81" w:rsidP="00421D81">
      <w:pPr>
        <w:ind w:right="543"/>
        <w:jc w:val="both"/>
        <w:rPr>
          <w:b/>
        </w:rPr>
      </w:pPr>
    </w:p>
    <w:p w14:paraId="0D7970A9" w14:textId="77777777" w:rsidR="00421D81" w:rsidRDefault="00421D81" w:rsidP="00421D81">
      <w:pPr>
        <w:ind w:left="426" w:hanging="426"/>
        <w:jc w:val="both"/>
      </w:pPr>
      <w:r>
        <w:t>8.1</w:t>
      </w:r>
      <w:r>
        <w:tab/>
      </w:r>
      <w:r w:rsidRPr="00ED039D">
        <w:t>Any issues of Equality and Diversity that may arise during the undertaking of Treasury Management activities will be noted, considered and reported upon.</w:t>
      </w:r>
    </w:p>
    <w:p w14:paraId="06E3B29A" w14:textId="77777777" w:rsidR="00421D81" w:rsidRDefault="00421D81" w:rsidP="00421D81">
      <w:pPr>
        <w:ind w:right="28"/>
        <w:jc w:val="both"/>
      </w:pPr>
    </w:p>
    <w:p w14:paraId="6847820E" w14:textId="77777777" w:rsidR="00421D81" w:rsidRPr="00411BE3" w:rsidRDefault="00421D81" w:rsidP="00421D81">
      <w:pPr>
        <w:pStyle w:val="Heading1"/>
        <w:ind w:left="426" w:hanging="426"/>
        <w:jc w:val="both"/>
        <w:rPr>
          <w:rFonts w:ascii="Arial" w:hAnsi="Arial" w:cs="Arial"/>
          <w:sz w:val="22"/>
          <w:szCs w:val="22"/>
        </w:rPr>
      </w:pPr>
      <w:r w:rsidRPr="00411BE3">
        <w:rPr>
          <w:rFonts w:ascii="Arial" w:hAnsi="Arial" w:cs="Arial"/>
          <w:sz w:val="22"/>
          <w:szCs w:val="22"/>
        </w:rPr>
        <w:t xml:space="preserve">9.  </w:t>
      </w:r>
      <w:r w:rsidRPr="00411BE3">
        <w:rPr>
          <w:rFonts w:ascii="Arial" w:hAnsi="Arial" w:cs="Arial"/>
          <w:sz w:val="22"/>
          <w:szCs w:val="22"/>
        </w:rPr>
        <w:tab/>
        <w:t>RECOMMENDATIONS</w:t>
      </w:r>
    </w:p>
    <w:p w14:paraId="1A553133" w14:textId="77777777" w:rsidR="00421D81" w:rsidRPr="00610226" w:rsidRDefault="00421D81" w:rsidP="00421D81">
      <w:pPr>
        <w:ind w:right="543"/>
        <w:jc w:val="both"/>
        <w:rPr>
          <w:b/>
        </w:rPr>
      </w:pPr>
    </w:p>
    <w:p w14:paraId="514D2A66" w14:textId="77777777" w:rsidR="00421D81" w:rsidRPr="00655F18" w:rsidRDefault="00421D81" w:rsidP="00421D81">
      <w:pPr>
        <w:tabs>
          <w:tab w:val="left" w:pos="1355"/>
          <w:tab w:val="left" w:pos="1979"/>
          <w:tab w:val="left" w:pos="3906"/>
          <w:tab w:val="left" w:pos="5607"/>
          <w:tab w:val="left" w:pos="7307"/>
          <w:tab w:val="left" w:pos="7875"/>
          <w:tab w:val="left" w:pos="8442"/>
          <w:tab w:val="left" w:pos="9009"/>
          <w:tab w:val="left" w:pos="9576"/>
          <w:tab w:val="left" w:pos="10143"/>
        </w:tabs>
        <w:ind w:left="426" w:right="28" w:hanging="426"/>
        <w:jc w:val="both"/>
        <w:rPr>
          <w:rFonts w:eastAsia="Times New Roman" w:cs="Times New Roman"/>
          <w:szCs w:val="20"/>
          <w:lang w:val="en-US" w:eastAsia="en-US"/>
        </w:rPr>
      </w:pPr>
      <w:r>
        <w:t>9</w:t>
      </w:r>
      <w:r w:rsidRPr="00610226">
        <w:t xml:space="preserve">.1 </w:t>
      </w:r>
      <w:r>
        <w:t xml:space="preserve">  </w:t>
      </w:r>
      <w:r w:rsidRPr="00655F18">
        <w:rPr>
          <w:rFonts w:eastAsia="Times New Roman" w:cs="Times New Roman"/>
          <w:szCs w:val="20"/>
          <w:lang w:val="en-US" w:eastAsia="en-US"/>
        </w:rPr>
        <w:t xml:space="preserve">It is recommended that the </w:t>
      </w:r>
      <w:r>
        <w:rPr>
          <w:rFonts w:eastAsia="Times New Roman" w:cs="Times New Roman"/>
          <w:szCs w:val="20"/>
          <w:lang w:val="en-US" w:eastAsia="en-US"/>
        </w:rPr>
        <w:t xml:space="preserve">Joint </w:t>
      </w:r>
      <w:r w:rsidRPr="00655F18">
        <w:rPr>
          <w:rFonts w:eastAsia="Times New Roman" w:cs="Times New Roman"/>
          <w:szCs w:val="20"/>
          <w:lang w:val="en-US" w:eastAsia="en-US"/>
        </w:rPr>
        <w:t>Audit Committee:</w:t>
      </w:r>
    </w:p>
    <w:p w14:paraId="18605FBA" w14:textId="77777777" w:rsidR="00421D81" w:rsidRPr="00655F18" w:rsidRDefault="00421D81" w:rsidP="00421D81">
      <w:pPr>
        <w:tabs>
          <w:tab w:val="left" w:pos="1355"/>
          <w:tab w:val="left" w:pos="1979"/>
          <w:tab w:val="left" w:pos="3906"/>
          <w:tab w:val="left" w:pos="5607"/>
          <w:tab w:val="left" w:pos="7307"/>
          <w:tab w:val="left" w:pos="7875"/>
          <w:tab w:val="left" w:pos="8442"/>
          <w:tab w:val="left" w:pos="9009"/>
          <w:tab w:val="left" w:pos="9576"/>
          <w:tab w:val="left" w:pos="10143"/>
        </w:tabs>
        <w:ind w:right="28"/>
        <w:jc w:val="both"/>
        <w:rPr>
          <w:rFonts w:eastAsia="Times New Roman" w:cs="Times New Roman"/>
          <w:szCs w:val="20"/>
          <w:lang w:val="en-US" w:eastAsia="en-US"/>
        </w:rPr>
      </w:pPr>
    </w:p>
    <w:p w14:paraId="44451FC9" w14:textId="77777777" w:rsidR="00421D81" w:rsidRPr="00655F18" w:rsidRDefault="00421D81" w:rsidP="00421D81">
      <w:pPr>
        <w:ind w:left="1440" w:hanging="720"/>
        <w:jc w:val="both"/>
        <w:rPr>
          <w:rFonts w:eastAsia="Times New Roman" w:cs="Times New Roman"/>
          <w:szCs w:val="20"/>
          <w:lang w:val="en-US" w:eastAsia="en-US"/>
        </w:rPr>
      </w:pPr>
      <w:r w:rsidRPr="00655F18">
        <w:rPr>
          <w:rFonts w:eastAsia="Times New Roman" w:cs="Times New Roman"/>
          <w:szCs w:val="20"/>
          <w:lang w:val="en-US" w:eastAsia="en-US"/>
        </w:rPr>
        <w:t>a.</w:t>
      </w:r>
      <w:r w:rsidRPr="00655F18">
        <w:rPr>
          <w:rFonts w:eastAsia="Times New Roman" w:cs="Times New Roman"/>
          <w:szCs w:val="20"/>
          <w:lang w:val="en-US" w:eastAsia="en-US"/>
        </w:rPr>
        <w:tab/>
        <w:t>note the treasury management activity in 20</w:t>
      </w:r>
      <w:r>
        <w:rPr>
          <w:rFonts w:eastAsia="Times New Roman" w:cs="Times New Roman"/>
          <w:szCs w:val="20"/>
          <w:lang w:val="en-US" w:eastAsia="en-US"/>
        </w:rPr>
        <w:t>20-21</w:t>
      </w:r>
      <w:r w:rsidRPr="00655F18">
        <w:rPr>
          <w:rFonts w:eastAsia="Times New Roman" w:cs="Times New Roman"/>
          <w:szCs w:val="20"/>
          <w:lang w:val="en-US" w:eastAsia="en-US"/>
        </w:rPr>
        <w:t xml:space="preserve"> set out in paragraphs </w:t>
      </w:r>
      <w:r>
        <w:rPr>
          <w:rFonts w:eastAsia="Times New Roman" w:cs="Times New Roman"/>
          <w:szCs w:val="20"/>
          <w:lang w:val="en-US" w:eastAsia="en-US"/>
        </w:rPr>
        <w:t>3</w:t>
      </w:r>
      <w:r w:rsidRPr="00655F18">
        <w:rPr>
          <w:rFonts w:eastAsia="Times New Roman" w:cs="Times New Roman"/>
          <w:szCs w:val="20"/>
          <w:lang w:val="en-US" w:eastAsia="en-US"/>
        </w:rPr>
        <w:t xml:space="preserve"> </w:t>
      </w:r>
      <w:r>
        <w:rPr>
          <w:rFonts w:eastAsia="Times New Roman" w:cs="Times New Roman"/>
          <w:szCs w:val="20"/>
          <w:lang w:val="en-US" w:eastAsia="en-US"/>
        </w:rPr>
        <w:t>and</w:t>
      </w:r>
      <w:r w:rsidRPr="00655F18">
        <w:rPr>
          <w:rFonts w:eastAsia="Times New Roman" w:cs="Times New Roman"/>
          <w:szCs w:val="20"/>
          <w:lang w:val="en-US" w:eastAsia="en-US"/>
        </w:rPr>
        <w:t xml:space="preserve"> </w:t>
      </w:r>
      <w:r>
        <w:rPr>
          <w:rFonts w:eastAsia="Times New Roman" w:cs="Times New Roman"/>
          <w:szCs w:val="20"/>
          <w:lang w:val="en-US" w:eastAsia="en-US"/>
        </w:rPr>
        <w:t>4</w:t>
      </w:r>
      <w:r w:rsidRPr="00655F18">
        <w:rPr>
          <w:rFonts w:eastAsia="Times New Roman" w:cs="Times New Roman"/>
          <w:szCs w:val="20"/>
          <w:lang w:val="en-US" w:eastAsia="en-US"/>
        </w:rPr>
        <w:t xml:space="preserve">, and the interest rate observations in paragraph </w:t>
      </w:r>
      <w:r>
        <w:rPr>
          <w:rFonts w:eastAsia="Times New Roman" w:cs="Times New Roman"/>
          <w:szCs w:val="20"/>
          <w:lang w:val="en-US" w:eastAsia="en-US"/>
        </w:rPr>
        <w:t>5</w:t>
      </w:r>
      <w:r w:rsidRPr="00655F18">
        <w:rPr>
          <w:rFonts w:eastAsia="Times New Roman" w:cs="Times New Roman"/>
          <w:szCs w:val="20"/>
          <w:lang w:val="en-US" w:eastAsia="en-US"/>
        </w:rPr>
        <w:t>.</w:t>
      </w:r>
    </w:p>
    <w:p w14:paraId="2AE14B38" w14:textId="77777777" w:rsidR="00421D81" w:rsidRPr="00655F18" w:rsidRDefault="00421D81" w:rsidP="00421D81">
      <w:pPr>
        <w:jc w:val="both"/>
        <w:rPr>
          <w:rFonts w:eastAsia="Times New Roman" w:cs="Times New Roman"/>
          <w:szCs w:val="20"/>
          <w:lang w:val="en-US" w:eastAsia="en-US"/>
        </w:rPr>
      </w:pPr>
    </w:p>
    <w:p w14:paraId="200F7E16" w14:textId="77777777" w:rsidR="00421D81" w:rsidRPr="00655F18" w:rsidRDefault="00945BD2" w:rsidP="00421D81">
      <w:pPr>
        <w:numPr>
          <w:ilvl w:val="0"/>
          <w:numId w:val="36"/>
        </w:numPr>
        <w:jc w:val="both"/>
        <w:rPr>
          <w:rFonts w:eastAsia="Times New Roman" w:cs="Times New Roman"/>
          <w:szCs w:val="20"/>
          <w:lang w:val="en-US" w:eastAsia="en-US"/>
        </w:rPr>
      </w:pPr>
      <w:r w:rsidRPr="00655F18">
        <w:rPr>
          <w:rFonts w:eastAsia="Times New Roman" w:cs="Times New Roman"/>
          <w:szCs w:val="20"/>
          <w:lang w:val="en-US" w:eastAsia="en-US"/>
        </w:rPr>
        <w:t>Approve</w:t>
      </w:r>
      <w:r w:rsidR="00421D81" w:rsidRPr="00655F18">
        <w:rPr>
          <w:rFonts w:eastAsia="Times New Roman" w:cs="Times New Roman"/>
          <w:szCs w:val="20"/>
          <w:lang w:val="en-US" w:eastAsia="en-US"/>
        </w:rPr>
        <w:t xml:space="preserve"> the Treasury St</w:t>
      </w:r>
      <w:r w:rsidR="00421D81">
        <w:rPr>
          <w:rFonts w:eastAsia="Times New Roman" w:cs="Times New Roman"/>
          <w:szCs w:val="20"/>
          <w:lang w:val="en-US" w:eastAsia="en-US"/>
        </w:rPr>
        <w:t>rategy Statement for 2021/22</w:t>
      </w:r>
      <w:r w:rsidR="00421D81" w:rsidRPr="00655F18">
        <w:rPr>
          <w:rFonts w:eastAsia="Times New Roman" w:cs="Times New Roman"/>
          <w:szCs w:val="20"/>
          <w:lang w:val="en-US" w:eastAsia="en-US"/>
        </w:rPr>
        <w:t xml:space="preserve"> set out in </w:t>
      </w:r>
      <w:r w:rsidR="00421D81" w:rsidRPr="00BD5CA1">
        <w:rPr>
          <w:rFonts w:eastAsia="Times New Roman" w:cs="Times New Roman"/>
          <w:b/>
          <w:szCs w:val="20"/>
          <w:lang w:val="en-US" w:eastAsia="en-US"/>
        </w:rPr>
        <w:t>Appendix B.</w:t>
      </w:r>
    </w:p>
    <w:p w14:paraId="0D64C433" w14:textId="77777777" w:rsidR="00421D81" w:rsidRPr="00655F18" w:rsidRDefault="00421D81" w:rsidP="00421D81">
      <w:pPr>
        <w:ind w:left="720"/>
        <w:jc w:val="both"/>
        <w:rPr>
          <w:rFonts w:eastAsia="Times New Roman" w:cs="Times New Roman"/>
          <w:szCs w:val="20"/>
          <w:lang w:val="en-US" w:eastAsia="en-US"/>
        </w:rPr>
      </w:pPr>
    </w:p>
    <w:p w14:paraId="6DC78076" w14:textId="77777777" w:rsidR="00421D81" w:rsidRPr="00BD5CA1" w:rsidRDefault="00945BD2" w:rsidP="00421D81">
      <w:pPr>
        <w:numPr>
          <w:ilvl w:val="0"/>
          <w:numId w:val="36"/>
        </w:numPr>
        <w:jc w:val="both"/>
        <w:rPr>
          <w:rFonts w:eastAsia="Times New Roman" w:cs="Times New Roman"/>
          <w:b/>
          <w:szCs w:val="20"/>
          <w:lang w:val="en-US" w:eastAsia="en-US"/>
        </w:rPr>
      </w:pPr>
      <w:r w:rsidRPr="00655F18">
        <w:rPr>
          <w:rFonts w:eastAsia="Times New Roman" w:cs="Times New Roman"/>
          <w:szCs w:val="20"/>
          <w:lang w:val="en-US" w:eastAsia="en-US"/>
        </w:rPr>
        <w:t>Approve</w:t>
      </w:r>
      <w:r w:rsidR="00421D81" w:rsidRPr="00655F18">
        <w:rPr>
          <w:rFonts w:eastAsia="Times New Roman" w:cs="Times New Roman"/>
          <w:szCs w:val="20"/>
          <w:lang w:val="en-US" w:eastAsia="en-US"/>
        </w:rPr>
        <w:t xml:space="preserve"> the criteria for selecting counter parties </w:t>
      </w:r>
      <w:r w:rsidR="00421D81">
        <w:rPr>
          <w:rFonts w:eastAsia="Times New Roman" w:cs="Times New Roman"/>
          <w:szCs w:val="20"/>
          <w:lang w:val="en-US" w:eastAsia="en-US"/>
        </w:rPr>
        <w:t xml:space="preserve">in </w:t>
      </w:r>
      <w:r w:rsidR="00421D81" w:rsidRPr="00BD5CA1">
        <w:rPr>
          <w:rFonts w:eastAsia="Times New Roman" w:cs="Times New Roman"/>
          <w:b/>
          <w:szCs w:val="20"/>
          <w:lang w:val="en-US" w:eastAsia="en-US"/>
        </w:rPr>
        <w:t>Appendix B</w:t>
      </w:r>
      <w:r w:rsidR="00421D81">
        <w:rPr>
          <w:rFonts w:eastAsia="Times New Roman" w:cs="Times New Roman"/>
          <w:szCs w:val="20"/>
          <w:lang w:val="en-US" w:eastAsia="en-US"/>
        </w:rPr>
        <w:t xml:space="preserve"> </w:t>
      </w:r>
      <w:r w:rsidR="00421D81" w:rsidRPr="00655F18">
        <w:rPr>
          <w:rFonts w:eastAsia="Times New Roman" w:cs="Times New Roman"/>
          <w:szCs w:val="20"/>
          <w:lang w:val="en-US" w:eastAsia="en-US"/>
        </w:rPr>
        <w:t xml:space="preserve">and the current eligible counter parties and their limits as set out in </w:t>
      </w:r>
      <w:r w:rsidR="00421D81" w:rsidRPr="00BD5CA1">
        <w:rPr>
          <w:rFonts w:eastAsia="Times New Roman" w:cs="Times New Roman"/>
          <w:b/>
          <w:szCs w:val="20"/>
          <w:lang w:val="en-US" w:eastAsia="en-US"/>
        </w:rPr>
        <w:t>Appendix C.</w:t>
      </w:r>
    </w:p>
    <w:p w14:paraId="199827F4" w14:textId="77777777" w:rsidR="00421D81" w:rsidRPr="00655F18" w:rsidRDefault="00421D81" w:rsidP="00421D81">
      <w:pPr>
        <w:ind w:left="720"/>
        <w:jc w:val="both"/>
        <w:rPr>
          <w:rFonts w:eastAsia="Times New Roman" w:cs="Times New Roman"/>
          <w:szCs w:val="20"/>
          <w:lang w:val="en-US" w:eastAsia="en-US"/>
        </w:rPr>
      </w:pPr>
    </w:p>
    <w:p w14:paraId="7D41837E" w14:textId="77777777" w:rsidR="00421D81" w:rsidRPr="00655F18" w:rsidRDefault="00945BD2" w:rsidP="00421D81">
      <w:pPr>
        <w:numPr>
          <w:ilvl w:val="0"/>
          <w:numId w:val="36"/>
        </w:numPr>
        <w:jc w:val="both"/>
        <w:rPr>
          <w:rFonts w:eastAsia="Times New Roman" w:cs="Times New Roman"/>
          <w:szCs w:val="20"/>
          <w:lang w:val="en-US" w:eastAsia="en-US"/>
        </w:rPr>
      </w:pPr>
      <w:r w:rsidRPr="00655F18">
        <w:rPr>
          <w:rFonts w:eastAsia="Times New Roman" w:cs="Times New Roman"/>
          <w:szCs w:val="20"/>
          <w:lang w:val="en-US" w:eastAsia="en-US"/>
        </w:rPr>
        <w:t>Continue</w:t>
      </w:r>
      <w:r w:rsidR="00421D81" w:rsidRPr="00655F18">
        <w:rPr>
          <w:rFonts w:eastAsia="Times New Roman" w:cs="Times New Roman"/>
          <w:szCs w:val="20"/>
          <w:lang w:val="en-US" w:eastAsia="en-US"/>
        </w:rPr>
        <w:t xml:space="preserve"> to include a mid-year review of Treasury Management activity in the </w:t>
      </w:r>
      <w:r w:rsidR="00421D81">
        <w:rPr>
          <w:rFonts w:eastAsia="Times New Roman" w:cs="Times New Roman"/>
          <w:szCs w:val="20"/>
          <w:lang w:val="en-US" w:eastAsia="en-US"/>
        </w:rPr>
        <w:t>Joint Audit Committee</w:t>
      </w:r>
      <w:r w:rsidR="00421D81" w:rsidRPr="00655F18">
        <w:rPr>
          <w:rFonts w:eastAsia="Times New Roman" w:cs="Times New Roman"/>
          <w:szCs w:val="20"/>
          <w:lang w:val="en-US" w:eastAsia="en-US"/>
        </w:rPr>
        <w:t>’s work plan in accordance with the CIPFA Code of Practice for Treasury Management.</w:t>
      </w:r>
    </w:p>
    <w:p w14:paraId="555E8065" w14:textId="77777777" w:rsidR="00421D81" w:rsidRPr="00610226" w:rsidRDefault="00421D81" w:rsidP="00421D81">
      <w:pPr>
        <w:ind w:right="28"/>
        <w:jc w:val="both"/>
      </w:pPr>
    </w:p>
    <w:p w14:paraId="257073D7" w14:textId="77777777" w:rsidR="00421D81" w:rsidRDefault="00421D81" w:rsidP="00421D81">
      <w:pPr>
        <w:ind w:right="543"/>
      </w:pPr>
    </w:p>
    <w:p w14:paraId="6618CE14" w14:textId="77777777" w:rsidR="00421D81" w:rsidRDefault="00421D81" w:rsidP="00421D81">
      <w:pPr>
        <w:ind w:right="543"/>
      </w:pPr>
    </w:p>
    <w:p w14:paraId="60A6C056" w14:textId="77777777" w:rsidR="00421D81" w:rsidRDefault="00421D81" w:rsidP="00421D81">
      <w:pPr>
        <w:ind w:right="543"/>
      </w:pPr>
    </w:p>
    <w:p w14:paraId="782D92BB" w14:textId="77777777" w:rsidR="00421D81" w:rsidRDefault="00421D81" w:rsidP="00421D81">
      <w:pPr>
        <w:ind w:left="567" w:right="543"/>
      </w:pPr>
      <w:r>
        <w:t xml:space="preserve">Mark Kenyon                                 </w:t>
      </w:r>
      <w:r>
        <w:tab/>
      </w:r>
      <w:r>
        <w:tab/>
        <w:t>Neil Chamberlain</w:t>
      </w:r>
    </w:p>
    <w:p w14:paraId="07631AEE" w14:textId="77777777" w:rsidR="00421D81" w:rsidRDefault="00421D81" w:rsidP="00421D81">
      <w:pPr>
        <w:ind w:left="567" w:right="543"/>
      </w:pPr>
      <w:r>
        <w:t xml:space="preserve">Chief Finance Officer                          </w:t>
      </w:r>
      <w:r>
        <w:tab/>
      </w:r>
      <w:r>
        <w:tab/>
        <w:t>Director of Commercial Service Police and Crime Commissioner                      West Midlands Police</w:t>
      </w:r>
    </w:p>
    <w:p w14:paraId="000CCDD8" w14:textId="77777777" w:rsidR="00421D81" w:rsidRDefault="00421D81" w:rsidP="00421D81">
      <w:pPr>
        <w:ind w:left="567" w:right="543"/>
      </w:pPr>
    </w:p>
    <w:p w14:paraId="06417F7C" w14:textId="77777777" w:rsidR="00421D81" w:rsidRDefault="00421D81" w:rsidP="00421D81"/>
    <w:p w14:paraId="19C46B60" w14:textId="77777777" w:rsidR="00421D81" w:rsidRDefault="00421D81" w:rsidP="00421D81"/>
    <w:p w14:paraId="1F581345" w14:textId="77777777" w:rsidR="00421D81" w:rsidRDefault="00421D81" w:rsidP="00421D81"/>
    <w:p w14:paraId="10E7F3BD" w14:textId="77777777" w:rsidR="00421D81" w:rsidRDefault="00421D81" w:rsidP="00421D81"/>
    <w:p w14:paraId="2D7E475E" w14:textId="77777777" w:rsidR="00421D81" w:rsidRDefault="00421D81" w:rsidP="00421D81"/>
    <w:p w14:paraId="6084B358" w14:textId="77777777" w:rsidR="00421D81" w:rsidRDefault="00421D81" w:rsidP="00421D81"/>
    <w:p w14:paraId="5DE11AC6" w14:textId="77777777" w:rsidR="00421D81" w:rsidRDefault="00421D81" w:rsidP="00421D81"/>
    <w:p w14:paraId="1FCCF5AC" w14:textId="77777777" w:rsidR="00421D81" w:rsidRDefault="00421D81" w:rsidP="00421D81"/>
    <w:p w14:paraId="14F995DD" w14:textId="77777777" w:rsidR="00421D81" w:rsidRDefault="00421D81" w:rsidP="00421D81"/>
    <w:p w14:paraId="45F6F29C" w14:textId="77777777" w:rsidR="00421D81" w:rsidRDefault="00421D81" w:rsidP="00421D81"/>
    <w:p w14:paraId="2DC634C6" w14:textId="77777777" w:rsidR="00421D81" w:rsidRDefault="00421D81" w:rsidP="00421D81"/>
    <w:p w14:paraId="27E34B33" w14:textId="77777777" w:rsidR="00421D81" w:rsidRDefault="00421D81" w:rsidP="00421D81"/>
    <w:p w14:paraId="55C8B101" w14:textId="77777777" w:rsidR="00421D81" w:rsidRDefault="00421D81" w:rsidP="00421D81"/>
    <w:p w14:paraId="0F3B462A" w14:textId="77777777" w:rsidR="00421D81" w:rsidRDefault="00421D81" w:rsidP="00421D81"/>
    <w:p w14:paraId="6FFF61B7" w14:textId="77777777" w:rsidR="00421D81" w:rsidRDefault="00421D81" w:rsidP="00421D81"/>
    <w:p w14:paraId="3354ACFB" w14:textId="77777777" w:rsidR="00421D81" w:rsidRDefault="00421D81" w:rsidP="00421D81"/>
    <w:p w14:paraId="527CEAA1" w14:textId="77777777" w:rsidR="00421D81" w:rsidRDefault="00421D81" w:rsidP="00421D81"/>
    <w:p w14:paraId="1D420D57" w14:textId="77777777" w:rsidR="00421D81" w:rsidRDefault="00421D81" w:rsidP="00421D81"/>
    <w:p w14:paraId="0A0676D6" w14:textId="77777777" w:rsidR="00421D81" w:rsidRDefault="00421D81" w:rsidP="00421D81"/>
    <w:p w14:paraId="35099402" w14:textId="77777777" w:rsidR="00421D81" w:rsidRDefault="00421D81" w:rsidP="00421D81"/>
    <w:p w14:paraId="4B7FE745" w14:textId="77777777" w:rsidR="00421D81" w:rsidRDefault="00421D81" w:rsidP="00421D81"/>
    <w:p w14:paraId="04D8140B" w14:textId="77777777" w:rsidR="00421D81" w:rsidRDefault="00421D81" w:rsidP="00421D81"/>
    <w:p w14:paraId="70859288" w14:textId="77777777" w:rsidR="00421D81" w:rsidRDefault="00421D81" w:rsidP="00421D81"/>
    <w:p w14:paraId="4F534F83" w14:textId="77777777" w:rsidR="00421D81" w:rsidRDefault="00421D81" w:rsidP="00421D81"/>
    <w:p w14:paraId="4A1E21D7" w14:textId="77777777" w:rsidR="00421D81" w:rsidRDefault="00421D81" w:rsidP="00421D81"/>
    <w:p w14:paraId="0105195D" w14:textId="77777777" w:rsidR="00421D81" w:rsidRDefault="00421D81" w:rsidP="00421D81">
      <w:pPr>
        <w:ind w:left="567" w:right="543"/>
      </w:pPr>
    </w:p>
    <w:p w14:paraId="3BAAB99C" w14:textId="77777777" w:rsidR="00421D81" w:rsidRPr="00A42023" w:rsidRDefault="00421D81" w:rsidP="00421D81">
      <w:pPr>
        <w:pStyle w:val="Heading3"/>
        <w:jc w:val="right"/>
        <w:rPr>
          <w:rFonts w:ascii="Arial" w:hAnsi="Arial" w:cs="Arial"/>
          <w:b/>
          <w:sz w:val="22"/>
          <w:szCs w:val="22"/>
        </w:rPr>
      </w:pPr>
      <w:r w:rsidRPr="00A42023">
        <w:rPr>
          <w:rFonts w:ascii="Arial" w:hAnsi="Arial" w:cs="Arial"/>
          <w:b/>
          <w:sz w:val="22"/>
          <w:szCs w:val="22"/>
        </w:rPr>
        <w:t>APPENDIX A</w:t>
      </w:r>
    </w:p>
    <w:p w14:paraId="1F9F71B0" w14:textId="77777777" w:rsidR="00421D81" w:rsidRDefault="00421D81" w:rsidP="00421D81">
      <w:pPr>
        <w:rPr>
          <w:b/>
        </w:rPr>
      </w:pPr>
    </w:p>
    <w:p w14:paraId="42D92DFA" w14:textId="77777777" w:rsidR="00421D81" w:rsidRDefault="00421D81" w:rsidP="00421D81">
      <w:pPr>
        <w:rPr>
          <w:b/>
        </w:rPr>
      </w:pPr>
      <w:r>
        <w:rPr>
          <w:b/>
        </w:rPr>
        <w:t>TREASURY POLICY STATEMENT AND TREASURY MANAGEMENT PRACTICES</w:t>
      </w:r>
    </w:p>
    <w:p w14:paraId="20C59CC6" w14:textId="77777777" w:rsidR="00421D81" w:rsidRDefault="00421D81" w:rsidP="00421D81">
      <w:pPr>
        <w:rPr>
          <w:b/>
        </w:rPr>
      </w:pPr>
    </w:p>
    <w:p w14:paraId="581C204F" w14:textId="77777777" w:rsidR="00421D81" w:rsidRDefault="00421D81" w:rsidP="00421D81">
      <w:pPr>
        <w:rPr>
          <w:b/>
        </w:rPr>
      </w:pPr>
      <w:r>
        <w:rPr>
          <w:b/>
        </w:rPr>
        <w:t>TREASURY POLICY STATEMENT</w:t>
      </w:r>
    </w:p>
    <w:p w14:paraId="4A10625F" w14:textId="77777777" w:rsidR="00421D81" w:rsidRDefault="00421D81" w:rsidP="00421D81"/>
    <w:p w14:paraId="719AB106" w14:textId="77777777" w:rsidR="00421D81" w:rsidRDefault="00421D81" w:rsidP="00421D81">
      <w:pPr>
        <w:ind w:left="426" w:hanging="426"/>
        <w:jc w:val="both"/>
      </w:pPr>
      <w:r>
        <w:t>1.</w:t>
      </w:r>
      <w:r>
        <w:tab/>
      </w:r>
      <w:r w:rsidRPr="00922CDD">
        <w:t xml:space="preserve">The </w:t>
      </w:r>
      <w:r>
        <w:t>Commissioner</w:t>
      </w:r>
      <w:r w:rsidRPr="00922CDD">
        <w:t xml:space="preserve"> defines treasury management activities as:</w:t>
      </w:r>
    </w:p>
    <w:p w14:paraId="56861D34" w14:textId="77777777" w:rsidR="00421D81" w:rsidRDefault="00421D81" w:rsidP="00421D81">
      <w:pPr>
        <w:pStyle w:val="ListParagraph"/>
        <w:numPr>
          <w:ilvl w:val="0"/>
          <w:numId w:val="43"/>
        </w:numPr>
        <w:jc w:val="both"/>
      </w:pPr>
      <w:r>
        <w:t>the management of cash flows;</w:t>
      </w:r>
    </w:p>
    <w:p w14:paraId="721B2EA0" w14:textId="77777777" w:rsidR="00421D81" w:rsidRPr="00922CDD" w:rsidRDefault="00421D81" w:rsidP="00421D81">
      <w:pPr>
        <w:pStyle w:val="ListParagraph"/>
        <w:numPr>
          <w:ilvl w:val="0"/>
          <w:numId w:val="43"/>
        </w:numPr>
        <w:jc w:val="both"/>
      </w:pPr>
      <w:r w:rsidRPr="00922CDD">
        <w:t>banking, money market and capital market transactions;</w:t>
      </w:r>
    </w:p>
    <w:p w14:paraId="17D8AF0E" w14:textId="77777777" w:rsidR="00421D81" w:rsidRDefault="00421D81" w:rsidP="00421D81">
      <w:pPr>
        <w:pStyle w:val="ListParagraph"/>
        <w:numPr>
          <w:ilvl w:val="0"/>
          <w:numId w:val="43"/>
        </w:numPr>
        <w:jc w:val="both"/>
      </w:pPr>
      <w:r>
        <w:t xml:space="preserve">the effective control of the risks associated with those activities; </w:t>
      </w:r>
    </w:p>
    <w:p w14:paraId="6EC07A89" w14:textId="77777777" w:rsidR="00421D81" w:rsidRDefault="00421D81" w:rsidP="00421D81">
      <w:pPr>
        <w:pStyle w:val="ListParagraph"/>
        <w:numPr>
          <w:ilvl w:val="0"/>
          <w:numId w:val="43"/>
        </w:numPr>
        <w:jc w:val="both"/>
      </w:pPr>
      <w:r>
        <w:t>the pursuit of optimum performance consistent with those risks.</w:t>
      </w:r>
    </w:p>
    <w:p w14:paraId="6929BA6D" w14:textId="77777777" w:rsidR="00421D81" w:rsidRDefault="00421D81" w:rsidP="00421D81">
      <w:pPr>
        <w:ind w:left="851" w:hanging="851"/>
        <w:jc w:val="both"/>
      </w:pPr>
    </w:p>
    <w:p w14:paraId="00E1CDBB" w14:textId="77777777" w:rsidR="00421D81" w:rsidRDefault="00421D81" w:rsidP="00421D81">
      <w:pPr>
        <w:numPr>
          <w:ilvl w:val="0"/>
          <w:numId w:val="27"/>
        </w:numPr>
        <w:spacing w:line="276" w:lineRule="auto"/>
        <w:ind w:left="426" w:hanging="426"/>
        <w:jc w:val="both"/>
      </w:pPr>
      <w:r>
        <w:t>The Commissioner regards the successful identification, monitoring and control of risk to be the prime criteria by which the effectiveness of treasury management activities will be measured.  Accordingly, the analysis and reporting of treasury management activities will focus on their risk implications for the Commissioner.</w:t>
      </w:r>
    </w:p>
    <w:p w14:paraId="719E2226" w14:textId="77777777" w:rsidR="00421D81" w:rsidRDefault="00421D81" w:rsidP="00421D81">
      <w:pPr>
        <w:ind w:left="426" w:hanging="426"/>
        <w:jc w:val="both"/>
      </w:pPr>
    </w:p>
    <w:p w14:paraId="5A90F3E1" w14:textId="77777777" w:rsidR="00421D81" w:rsidRPr="0097657F" w:rsidRDefault="00421D81" w:rsidP="00421D81">
      <w:pPr>
        <w:numPr>
          <w:ilvl w:val="0"/>
          <w:numId w:val="27"/>
        </w:numPr>
        <w:ind w:left="426" w:hanging="426"/>
        <w:jc w:val="both"/>
      </w:pPr>
      <w:r w:rsidRPr="0097657F">
        <w:t>The C</w:t>
      </w:r>
      <w:r>
        <w:t xml:space="preserve">ommissioner </w:t>
      </w:r>
      <w:r w:rsidRPr="0097657F">
        <w:t>acknowledges that effective treasury management will provide support towards the achievement of business and service objectives.  It is therefore a commitment to the principles of achieving best value in treasury management, and to employing suitable performance measurement techniques within the context of effective risk management.</w:t>
      </w:r>
    </w:p>
    <w:p w14:paraId="05E8EFA9" w14:textId="77777777" w:rsidR="00421D81" w:rsidRPr="0097657F" w:rsidRDefault="00421D81" w:rsidP="00421D81">
      <w:pPr>
        <w:ind w:left="426" w:hanging="426"/>
        <w:jc w:val="both"/>
      </w:pPr>
    </w:p>
    <w:p w14:paraId="543ECF9B" w14:textId="77777777" w:rsidR="00421D81" w:rsidRPr="0097657F" w:rsidRDefault="00421D81" w:rsidP="00421D81">
      <w:pPr>
        <w:numPr>
          <w:ilvl w:val="0"/>
          <w:numId w:val="27"/>
        </w:numPr>
        <w:ind w:left="426" w:hanging="426"/>
        <w:jc w:val="both"/>
      </w:pPr>
      <w:r w:rsidRPr="0097657F">
        <w:t>Treasury operations are managed within the overall strategy approved by the C</w:t>
      </w:r>
      <w:r>
        <w:t>ommissioner</w:t>
      </w:r>
      <w:r w:rsidRPr="0097657F">
        <w:t xml:space="preserve"> at three levels:</w:t>
      </w:r>
    </w:p>
    <w:p w14:paraId="08AF4368" w14:textId="77777777" w:rsidR="00421D81" w:rsidRDefault="00421D81" w:rsidP="00421D81">
      <w:pPr>
        <w:pStyle w:val="ListParagraph"/>
        <w:numPr>
          <w:ilvl w:val="0"/>
          <w:numId w:val="44"/>
        </w:numPr>
        <w:jc w:val="both"/>
      </w:pPr>
      <w:r w:rsidRPr="0097657F">
        <w:t xml:space="preserve">Formal reviews of strategy and performance by the </w:t>
      </w:r>
      <w:r>
        <w:t>Commissioner’s CFO</w:t>
      </w:r>
      <w:r w:rsidRPr="0097657F">
        <w:t xml:space="preserve">, Director of </w:t>
      </w:r>
      <w:r>
        <w:t>Commercial Services,</w:t>
      </w:r>
      <w:r w:rsidRPr="0097657F">
        <w:t xml:space="preserve"> and </w:t>
      </w:r>
      <w:r>
        <w:t>Assistant Director Finance</w:t>
      </w:r>
      <w:r w:rsidRPr="0097657F">
        <w:t xml:space="preserve"> in conjunction with representatives from the external advisors (</w:t>
      </w:r>
      <w:r>
        <w:t>Linked Asset Services</w:t>
      </w:r>
      <w:r w:rsidRPr="0097657F">
        <w:t>).</w:t>
      </w:r>
    </w:p>
    <w:p w14:paraId="46B994F1" w14:textId="77777777" w:rsidR="00421D81" w:rsidRPr="0097657F" w:rsidRDefault="00421D81" w:rsidP="00421D81">
      <w:pPr>
        <w:pStyle w:val="ListParagraph"/>
        <w:widowControl w:val="0"/>
        <w:numPr>
          <w:ilvl w:val="0"/>
          <w:numId w:val="44"/>
        </w:numPr>
        <w:tabs>
          <w:tab w:val="left" w:pos="568"/>
          <w:tab w:val="left" w:pos="1134"/>
          <w:tab w:val="left" w:pos="1702"/>
          <w:tab w:val="left" w:pos="2551"/>
          <w:tab w:val="left" w:pos="2836"/>
          <w:tab w:val="left" w:pos="3402"/>
          <w:tab w:val="left" w:pos="3970"/>
          <w:tab w:val="left" w:pos="4366"/>
          <w:tab w:val="left" w:pos="5217"/>
          <w:tab w:val="left" w:pos="6237"/>
          <w:tab w:val="left" w:pos="6804"/>
          <w:tab w:val="left" w:pos="7371"/>
          <w:tab w:val="left" w:pos="7938"/>
          <w:tab w:val="left" w:pos="8505"/>
          <w:tab w:val="left" w:pos="9072"/>
          <w:tab w:val="left" w:pos="9639"/>
        </w:tabs>
        <w:jc w:val="both"/>
      </w:pPr>
      <w:r w:rsidRPr="0097657F">
        <w:t xml:space="preserve">Monthly monitoring is conducted by the </w:t>
      </w:r>
      <w:r>
        <w:t>Commissioner’s CFO</w:t>
      </w:r>
      <w:r w:rsidRPr="0097657F">
        <w:t xml:space="preserve">, Director of </w:t>
      </w:r>
      <w:r>
        <w:t>Comme</w:t>
      </w:r>
      <w:r w:rsidRPr="0097657F">
        <w:t>rc</w:t>
      </w:r>
      <w:r>
        <w:t>ial Servic</w:t>
      </w:r>
      <w:r w:rsidRPr="0097657F">
        <w:t xml:space="preserve">es and </w:t>
      </w:r>
      <w:r>
        <w:t>Assistant Director Finance</w:t>
      </w:r>
      <w:r w:rsidRPr="00AF2358">
        <w:rPr>
          <w:bCs/>
        </w:rPr>
        <w:t>.</w:t>
      </w:r>
      <w:r w:rsidRPr="0097657F">
        <w:t xml:space="preserve"> </w:t>
      </w:r>
    </w:p>
    <w:p w14:paraId="5893C92D" w14:textId="77777777" w:rsidR="00421D81" w:rsidRPr="00922CDD" w:rsidRDefault="00421D81" w:rsidP="00421D81">
      <w:pPr>
        <w:pStyle w:val="ListParagraph"/>
        <w:numPr>
          <w:ilvl w:val="0"/>
          <w:numId w:val="44"/>
        </w:numPr>
        <w:jc w:val="both"/>
      </w:pPr>
      <w:r w:rsidRPr="00922CDD">
        <w:t xml:space="preserve">On a daily basis by trained staff under the direction of the </w:t>
      </w:r>
      <w:r>
        <w:t>Assistant Director Finance.</w:t>
      </w:r>
    </w:p>
    <w:p w14:paraId="3899A534" w14:textId="77777777" w:rsidR="00421D81" w:rsidRPr="00544436" w:rsidRDefault="00421D81" w:rsidP="00421D81">
      <w:pPr>
        <w:pStyle w:val="Heading3"/>
        <w:ind w:left="426" w:hanging="426"/>
        <w:jc w:val="both"/>
        <w:rPr>
          <w:b/>
          <w:u w:val="single"/>
        </w:rPr>
      </w:pPr>
      <w:r w:rsidRPr="00544436">
        <w:rPr>
          <w:rFonts w:ascii="Arial" w:hAnsi="Arial" w:cs="Arial"/>
          <w:b/>
          <w:sz w:val="22"/>
          <w:szCs w:val="22"/>
        </w:rPr>
        <w:br w:type="page"/>
      </w:r>
      <w:r w:rsidRPr="00544436">
        <w:rPr>
          <w:rFonts w:ascii="Arial" w:hAnsi="Arial" w:cs="Arial"/>
          <w:b/>
          <w:sz w:val="22"/>
          <w:szCs w:val="22"/>
        </w:rPr>
        <w:lastRenderedPageBreak/>
        <w:t>APPENDIX B</w:t>
      </w:r>
    </w:p>
    <w:p w14:paraId="79639E45" w14:textId="77777777" w:rsidR="00421D81" w:rsidRDefault="00421D81" w:rsidP="00421D81">
      <w:pPr>
        <w:rPr>
          <w:b/>
        </w:rPr>
      </w:pPr>
      <w:r>
        <w:rPr>
          <w:b/>
        </w:rPr>
        <w:t>Note:</w:t>
      </w:r>
    </w:p>
    <w:p w14:paraId="7DBBA9DC" w14:textId="77777777" w:rsidR="00421D81" w:rsidRDefault="00421D81" w:rsidP="00421D81">
      <w:pPr>
        <w:rPr>
          <w:b/>
        </w:rPr>
      </w:pPr>
      <w:r>
        <w:rPr>
          <w:b/>
        </w:rPr>
        <w:t>It is important to note that the Treasury Strategy Statement is adopted by the Commissioner based upon advice from external treasury advisors, and accordingly the Strategy is tailored to meet the specific and unique needs of the Commissioner.  All financial information contained within this Report and Statement should not be used by any individual or organisation as a basis for making investment or borrowing decisions. The Commissioner and the treasury advisors will not accept any liability on behalf of any individual or organisation who seeks to act on the financial information contained within this Report and Statement.</w:t>
      </w:r>
    </w:p>
    <w:p w14:paraId="2370533C" w14:textId="77777777" w:rsidR="00421D81" w:rsidRDefault="00421D81" w:rsidP="00421D81">
      <w:pPr>
        <w:rPr>
          <w:b/>
          <w:u w:val="single"/>
        </w:rPr>
      </w:pPr>
    </w:p>
    <w:p w14:paraId="2735F772" w14:textId="77777777" w:rsidR="00421D81" w:rsidRDefault="00421D81" w:rsidP="00421D81">
      <w:pPr>
        <w:rPr>
          <w:b/>
          <w:u w:val="single"/>
        </w:rPr>
      </w:pPr>
      <w:r>
        <w:rPr>
          <w:b/>
          <w:u w:val="single"/>
        </w:rPr>
        <w:t>TREASURY STRATEGY STATEMENT 2021/22</w:t>
      </w:r>
    </w:p>
    <w:p w14:paraId="5C62914D" w14:textId="77777777" w:rsidR="00421D81" w:rsidRDefault="00421D81" w:rsidP="00421D81">
      <w:pPr>
        <w:rPr>
          <w:b/>
        </w:rPr>
      </w:pPr>
    </w:p>
    <w:p w14:paraId="4C6D1C5A" w14:textId="77777777" w:rsidR="00421D81" w:rsidRDefault="00421D81" w:rsidP="00421D81">
      <w:pPr>
        <w:rPr>
          <w:b/>
        </w:rPr>
      </w:pPr>
      <w:r>
        <w:rPr>
          <w:b/>
        </w:rPr>
        <w:t>1.0</w:t>
      </w:r>
      <w:r>
        <w:rPr>
          <w:b/>
        </w:rPr>
        <w:tab/>
        <w:t>INTRODUCTION</w:t>
      </w:r>
    </w:p>
    <w:p w14:paraId="10E57952" w14:textId="77777777" w:rsidR="00421D81" w:rsidRDefault="00421D81" w:rsidP="00421D81"/>
    <w:p w14:paraId="4E6C0359" w14:textId="77777777" w:rsidR="00421D81" w:rsidRDefault="00421D81" w:rsidP="00421D81">
      <w:pPr>
        <w:pStyle w:val="ListParagraph"/>
        <w:numPr>
          <w:ilvl w:val="1"/>
          <w:numId w:val="45"/>
        </w:numPr>
        <w:jc w:val="both"/>
      </w:pPr>
      <w:r>
        <w:t>This Treasury Strategy Statement details the expected activities of the treasury function in the financial year 2021/22. The suggested strategy is based upon views of interest rates as advised by external advisors, supplemented with leading market forecasts.  The strategy covers:</w:t>
      </w:r>
    </w:p>
    <w:p w14:paraId="20C94EE4" w14:textId="77777777" w:rsidR="00421D81" w:rsidRDefault="00421D81" w:rsidP="00421D81">
      <w:pPr>
        <w:pStyle w:val="ListParagraph"/>
        <w:jc w:val="both"/>
      </w:pPr>
    </w:p>
    <w:p w14:paraId="65E44755" w14:textId="77777777" w:rsidR="00421D81" w:rsidRDefault="00421D81" w:rsidP="00421D81">
      <w:pPr>
        <w:numPr>
          <w:ilvl w:val="0"/>
          <w:numId w:val="29"/>
        </w:numPr>
        <w:tabs>
          <w:tab w:val="num" w:pos="1080"/>
        </w:tabs>
        <w:ind w:left="1080"/>
        <w:jc w:val="both"/>
      </w:pPr>
      <w:r>
        <w:t>the current portfolio position;</w:t>
      </w:r>
    </w:p>
    <w:p w14:paraId="0191852A" w14:textId="77777777" w:rsidR="00421D81" w:rsidRDefault="00421D81" w:rsidP="00421D81">
      <w:pPr>
        <w:numPr>
          <w:ilvl w:val="0"/>
          <w:numId w:val="29"/>
        </w:numPr>
        <w:tabs>
          <w:tab w:val="num" w:pos="1080"/>
        </w:tabs>
        <w:ind w:left="1080"/>
        <w:jc w:val="both"/>
      </w:pPr>
      <w:r>
        <w:t>prudential indicators;</w:t>
      </w:r>
    </w:p>
    <w:p w14:paraId="46AE4458" w14:textId="77777777" w:rsidR="00421D81" w:rsidRDefault="00421D81" w:rsidP="00421D81">
      <w:pPr>
        <w:numPr>
          <w:ilvl w:val="0"/>
          <w:numId w:val="29"/>
        </w:numPr>
        <w:tabs>
          <w:tab w:val="num" w:pos="1080"/>
        </w:tabs>
        <w:ind w:left="1080"/>
        <w:jc w:val="both"/>
      </w:pPr>
      <w:r>
        <w:t>prospects for interest rates;</w:t>
      </w:r>
    </w:p>
    <w:p w14:paraId="2680C4A1" w14:textId="77777777" w:rsidR="00421D81" w:rsidRDefault="00421D81" w:rsidP="00421D81">
      <w:pPr>
        <w:numPr>
          <w:ilvl w:val="0"/>
          <w:numId w:val="29"/>
        </w:numPr>
        <w:tabs>
          <w:tab w:val="num" w:pos="1080"/>
        </w:tabs>
        <w:ind w:left="1080"/>
        <w:jc w:val="both"/>
      </w:pPr>
      <w:r>
        <w:t>the borrowing requirement &amp; strategy;</w:t>
      </w:r>
    </w:p>
    <w:p w14:paraId="35041F91" w14:textId="77777777" w:rsidR="00421D81" w:rsidRDefault="00421D81" w:rsidP="00421D81">
      <w:pPr>
        <w:numPr>
          <w:ilvl w:val="0"/>
          <w:numId w:val="29"/>
        </w:numPr>
        <w:tabs>
          <w:tab w:val="num" w:pos="1080"/>
        </w:tabs>
        <w:ind w:left="1080"/>
        <w:jc w:val="both"/>
      </w:pPr>
      <w:r>
        <w:t>the investment strategy;</w:t>
      </w:r>
    </w:p>
    <w:p w14:paraId="7A3BD7A9" w14:textId="77777777" w:rsidR="00421D81" w:rsidRDefault="00421D81" w:rsidP="00421D81">
      <w:pPr>
        <w:numPr>
          <w:ilvl w:val="0"/>
          <w:numId w:val="29"/>
        </w:numPr>
        <w:tabs>
          <w:tab w:val="num" w:pos="1080"/>
        </w:tabs>
        <w:ind w:left="1080"/>
        <w:jc w:val="both"/>
      </w:pPr>
      <w:r>
        <w:t>debt rescheduling opportunities; and</w:t>
      </w:r>
    </w:p>
    <w:p w14:paraId="64CD745D" w14:textId="77777777" w:rsidR="00421D81" w:rsidRDefault="00421D81" w:rsidP="00421D81">
      <w:pPr>
        <w:numPr>
          <w:ilvl w:val="0"/>
          <w:numId w:val="29"/>
        </w:numPr>
        <w:tabs>
          <w:tab w:val="num" w:pos="1080"/>
        </w:tabs>
        <w:ind w:left="1080"/>
        <w:jc w:val="both"/>
      </w:pPr>
      <w:r>
        <w:t xml:space="preserve">MRP strategy. </w:t>
      </w:r>
    </w:p>
    <w:p w14:paraId="38F60B4C" w14:textId="77777777" w:rsidR="00421D81" w:rsidRDefault="00421D81" w:rsidP="00421D81">
      <w:pPr>
        <w:jc w:val="both"/>
      </w:pPr>
    </w:p>
    <w:p w14:paraId="521C3195" w14:textId="77777777" w:rsidR="00421D81" w:rsidRDefault="00421D81" w:rsidP="00421D81">
      <w:pPr>
        <w:jc w:val="both"/>
        <w:rPr>
          <w:b/>
        </w:rPr>
      </w:pPr>
      <w:r>
        <w:rPr>
          <w:b/>
        </w:rPr>
        <w:t>2.0</w:t>
      </w:r>
      <w:r>
        <w:rPr>
          <w:b/>
        </w:rPr>
        <w:tab/>
        <w:t>CURRENT PORTFOLIO POSITION</w:t>
      </w:r>
    </w:p>
    <w:p w14:paraId="1EA70C34" w14:textId="77777777" w:rsidR="00421D81" w:rsidRDefault="00421D81" w:rsidP="00421D81">
      <w:pPr>
        <w:jc w:val="both"/>
      </w:pPr>
    </w:p>
    <w:p w14:paraId="098BF006" w14:textId="77777777" w:rsidR="00421D81" w:rsidRPr="00544436" w:rsidRDefault="00421D81" w:rsidP="00421D81">
      <w:pPr>
        <w:numPr>
          <w:ilvl w:val="1"/>
          <w:numId w:val="30"/>
        </w:numPr>
        <w:jc w:val="both"/>
        <w:rPr>
          <w:color w:val="FF0000"/>
        </w:rPr>
      </w:pPr>
      <w:r>
        <w:t>The Commissioner’s estimated portfolio position as at 1st April 2021 will be as follows:</w:t>
      </w:r>
    </w:p>
    <w:p w14:paraId="5883D472" w14:textId="77777777" w:rsidR="00421D81" w:rsidRDefault="00421D81" w:rsidP="00421D81">
      <w:pPr>
        <w:ind w:left="720"/>
      </w:pPr>
    </w:p>
    <w:tbl>
      <w:tblPr>
        <w:tblW w:w="5712" w:type="dxa"/>
        <w:tblInd w:w="1650" w:type="dxa"/>
        <w:tblLook w:val="04A0" w:firstRow="1" w:lastRow="0" w:firstColumn="1" w:lastColumn="0" w:noHBand="0" w:noVBand="1"/>
      </w:tblPr>
      <w:tblGrid>
        <w:gridCol w:w="5013"/>
        <w:gridCol w:w="699"/>
      </w:tblGrid>
      <w:tr w:rsidR="00421D81" w:rsidRPr="0033352D" w14:paraId="76B08914" w14:textId="77777777" w:rsidTr="00F51BBE">
        <w:trPr>
          <w:trHeight w:val="264"/>
        </w:trPr>
        <w:tc>
          <w:tcPr>
            <w:tcW w:w="5013" w:type="dxa"/>
            <w:tcBorders>
              <w:top w:val="single" w:sz="4" w:space="0" w:color="auto"/>
              <w:left w:val="single" w:sz="4" w:space="0" w:color="auto"/>
              <w:bottom w:val="nil"/>
              <w:right w:val="nil"/>
            </w:tcBorders>
            <w:shd w:val="clear" w:color="auto" w:fill="auto"/>
            <w:vAlign w:val="bottom"/>
            <w:hideMark/>
          </w:tcPr>
          <w:p w14:paraId="5479F114" w14:textId="77777777" w:rsidR="00421D81" w:rsidRPr="0033352D" w:rsidRDefault="00421D81" w:rsidP="00F51BBE">
            <w:pPr>
              <w:rPr>
                <w:rFonts w:ascii="Calibri" w:eastAsia="Times New Roman" w:hAnsi="Calibri" w:cs="Calibri"/>
                <w:b/>
                <w:bCs/>
                <w:color w:val="000000"/>
                <w:u w:val="single"/>
              </w:rPr>
            </w:pPr>
            <w:r w:rsidRPr="0033352D">
              <w:rPr>
                <w:rFonts w:ascii="Calibri" w:eastAsia="Times New Roman" w:hAnsi="Calibri" w:cs="Calibri"/>
                <w:b/>
                <w:bCs/>
                <w:color w:val="000000"/>
                <w:u w:val="single"/>
              </w:rPr>
              <w:t>Treasury Investments</w:t>
            </w:r>
          </w:p>
        </w:tc>
        <w:tc>
          <w:tcPr>
            <w:tcW w:w="699" w:type="dxa"/>
            <w:tcBorders>
              <w:top w:val="single" w:sz="4" w:space="0" w:color="auto"/>
              <w:left w:val="nil"/>
              <w:bottom w:val="nil"/>
              <w:right w:val="single" w:sz="4" w:space="0" w:color="auto"/>
            </w:tcBorders>
            <w:shd w:val="clear" w:color="auto" w:fill="auto"/>
            <w:vAlign w:val="bottom"/>
            <w:hideMark/>
          </w:tcPr>
          <w:p w14:paraId="65227A09" w14:textId="77777777" w:rsidR="00421D81" w:rsidRPr="0033352D" w:rsidRDefault="00421D81" w:rsidP="00F51BBE">
            <w:pPr>
              <w:rPr>
                <w:rFonts w:ascii="Calibri" w:eastAsia="Times New Roman" w:hAnsi="Calibri" w:cs="Calibri"/>
                <w:b/>
                <w:bCs/>
                <w:color w:val="000000"/>
              </w:rPr>
            </w:pPr>
            <w:r w:rsidRPr="0033352D">
              <w:rPr>
                <w:rFonts w:ascii="Calibri" w:eastAsia="Times New Roman" w:hAnsi="Calibri" w:cs="Calibri"/>
                <w:b/>
                <w:bCs/>
                <w:color w:val="000000"/>
              </w:rPr>
              <w:t> </w:t>
            </w:r>
          </w:p>
        </w:tc>
      </w:tr>
      <w:tr w:rsidR="00421D81" w:rsidRPr="0033352D" w14:paraId="44812FD7" w14:textId="77777777" w:rsidTr="00F51BBE">
        <w:trPr>
          <w:trHeight w:val="264"/>
        </w:trPr>
        <w:tc>
          <w:tcPr>
            <w:tcW w:w="5013" w:type="dxa"/>
            <w:tcBorders>
              <w:top w:val="nil"/>
              <w:left w:val="single" w:sz="4" w:space="0" w:color="auto"/>
              <w:bottom w:val="nil"/>
              <w:right w:val="nil"/>
            </w:tcBorders>
            <w:shd w:val="clear" w:color="auto" w:fill="auto"/>
            <w:noWrap/>
            <w:vAlign w:val="bottom"/>
            <w:hideMark/>
          </w:tcPr>
          <w:p w14:paraId="6D87ADFD" w14:textId="77777777" w:rsidR="00421D81" w:rsidRPr="0033352D" w:rsidRDefault="00421D81" w:rsidP="00F51BBE">
            <w:pPr>
              <w:rPr>
                <w:rFonts w:ascii="Calibri" w:eastAsia="Times New Roman" w:hAnsi="Calibri" w:cs="Calibri"/>
                <w:color w:val="000000"/>
              </w:rPr>
            </w:pPr>
            <w:r w:rsidRPr="0033352D">
              <w:rPr>
                <w:rFonts w:ascii="Calibri" w:eastAsia="Times New Roman" w:hAnsi="Calibri" w:cs="Calibri"/>
                <w:color w:val="000000"/>
              </w:rPr>
              <w:t> </w:t>
            </w:r>
          </w:p>
        </w:tc>
        <w:tc>
          <w:tcPr>
            <w:tcW w:w="699" w:type="dxa"/>
            <w:tcBorders>
              <w:top w:val="nil"/>
              <w:left w:val="nil"/>
              <w:bottom w:val="nil"/>
              <w:right w:val="single" w:sz="4" w:space="0" w:color="auto"/>
            </w:tcBorders>
            <w:shd w:val="clear" w:color="auto" w:fill="auto"/>
            <w:noWrap/>
            <w:vAlign w:val="bottom"/>
            <w:hideMark/>
          </w:tcPr>
          <w:p w14:paraId="092AA824" w14:textId="77777777" w:rsidR="00421D81" w:rsidRPr="0033352D" w:rsidRDefault="00421D81" w:rsidP="00F51BBE">
            <w:pPr>
              <w:rPr>
                <w:rFonts w:ascii="Calibri" w:eastAsia="Times New Roman" w:hAnsi="Calibri" w:cs="Calibri"/>
                <w:b/>
                <w:bCs/>
                <w:color w:val="000000"/>
              </w:rPr>
            </w:pPr>
            <w:r w:rsidRPr="0033352D">
              <w:rPr>
                <w:rFonts w:ascii="Calibri" w:eastAsia="Times New Roman" w:hAnsi="Calibri" w:cs="Calibri"/>
                <w:b/>
                <w:bCs/>
                <w:color w:val="000000"/>
              </w:rPr>
              <w:t>£m</w:t>
            </w:r>
          </w:p>
        </w:tc>
      </w:tr>
      <w:tr w:rsidR="00421D81" w:rsidRPr="0033352D" w14:paraId="2BFBB7BD" w14:textId="77777777" w:rsidTr="00F51BBE">
        <w:trPr>
          <w:trHeight w:val="264"/>
        </w:trPr>
        <w:tc>
          <w:tcPr>
            <w:tcW w:w="5013" w:type="dxa"/>
            <w:tcBorders>
              <w:top w:val="nil"/>
              <w:left w:val="single" w:sz="4" w:space="0" w:color="auto"/>
              <w:bottom w:val="nil"/>
              <w:right w:val="nil"/>
            </w:tcBorders>
            <w:shd w:val="clear" w:color="auto" w:fill="auto"/>
            <w:vAlign w:val="bottom"/>
            <w:hideMark/>
          </w:tcPr>
          <w:p w14:paraId="2B151EE0" w14:textId="77777777" w:rsidR="00421D81" w:rsidRPr="00D00204" w:rsidRDefault="00421D81" w:rsidP="00F51BBE">
            <w:pPr>
              <w:rPr>
                <w:rFonts w:ascii="Calibri" w:eastAsia="Times New Roman" w:hAnsi="Calibri" w:cs="Calibri"/>
                <w:bCs/>
                <w:color w:val="000000"/>
              </w:rPr>
            </w:pPr>
            <w:r w:rsidRPr="00D00204">
              <w:rPr>
                <w:rFonts w:ascii="Calibri" w:eastAsia="Times New Roman" w:hAnsi="Calibri" w:cs="Calibri"/>
                <w:bCs/>
                <w:color w:val="000000"/>
              </w:rPr>
              <w:t>Maturity less than 1 year</w:t>
            </w:r>
          </w:p>
        </w:tc>
        <w:tc>
          <w:tcPr>
            <w:tcW w:w="699" w:type="dxa"/>
            <w:tcBorders>
              <w:top w:val="nil"/>
              <w:left w:val="nil"/>
              <w:bottom w:val="nil"/>
              <w:right w:val="single" w:sz="4" w:space="0" w:color="auto"/>
            </w:tcBorders>
            <w:shd w:val="clear" w:color="auto" w:fill="auto"/>
            <w:noWrap/>
            <w:vAlign w:val="bottom"/>
            <w:hideMark/>
          </w:tcPr>
          <w:p w14:paraId="644E540F" w14:textId="77777777" w:rsidR="00421D81" w:rsidRPr="0033352D" w:rsidRDefault="00421D81" w:rsidP="00F51BBE">
            <w:pPr>
              <w:jc w:val="right"/>
              <w:rPr>
                <w:rFonts w:ascii="Calibri" w:eastAsia="Times New Roman" w:hAnsi="Calibri" w:cs="Calibri"/>
                <w:color w:val="000000"/>
              </w:rPr>
            </w:pPr>
            <w:r w:rsidRPr="0033352D">
              <w:rPr>
                <w:rFonts w:ascii="Calibri" w:eastAsia="Times New Roman" w:hAnsi="Calibri" w:cs="Calibri"/>
                <w:color w:val="000000"/>
              </w:rPr>
              <w:t>46.8</w:t>
            </w:r>
          </w:p>
        </w:tc>
      </w:tr>
      <w:tr w:rsidR="00421D81" w:rsidRPr="0033352D" w14:paraId="6D31B5C5" w14:textId="77777777" w:rsidTr="00F51BBE">
        <w:trPr>
          <w:trHeight w:val="264"/>
        </w:trPr>
        <w:tc>
          <w:tcPr>
            <w:tcW w:w="5013" w:type="dxa"/>
            <w:tcBorders>
              <w:top w:val="nil"/>
              <w:left w:val="single" w:sz="4" w:space="0" w:color="auto"/>
              <w:bottom w:val="nil"/>
              <w:right w:val="nil"/>
            </w:tcBorders>
            <w:shd w:val="clear" w:color="auto" w:fill="auto"/>
            <w:vAlign w:val="bottom"/>
            <w:hideMark/>
          </w:tcPr>
          <w:p w14:paraId="72C4A3E6" w14:textId="77777777" w:rsidR="00421D81" w:rsidRPr="00D00204" w:rsidRDefault="00421D81" w:rsidP="00F51BBE">
            <w:pPr>
              <w:rPr>
                <w:rFonts w:ascii="Calibri" w:eastAsia="Times New Roman" w:hAnsi="Calibri" w:cs="Calibri"/>
                <w:bCs/>
                <w:color w:val="000000"/>
              </w:rPr>
            </w:pPr>
            <w:r w:rsidRPr="00D00204">
              <w:rPr>
                <w:rFonts w:ascii="Calibri" w:eastAsia="Times New Roman" w:hAnsi="Calibri" w:cs="Calibri"/>
                <w:bCs/>
                <w:color w:val="000000"/>
              </w:rPr>
              <w:t>Maturity  between 1 and 5 years</w:t>
            </w:r>
          </w:p>
        </w:tc>
        <w:tc>
          <w:tcPr>
            <w:tcW w:w="699" w:type="dxa"/>
            <w:tcBorders>
              <w:top w:val="nil"/>
              <w:left w:val="nil"/>
              <w:bottom w:val="nil"/>
              <w:right w:val="single" w:sz="4" w:space="0" w:color="auto"/>
            </w:tcBorders>
            <w:shd w:val="clear" w:color="auto" w:fill="auto"/>
            <w:noWrap/>
            <w:vAlign w:val="bottom"/>
            <w:hideMark/>
          </w:tcPr>
          <w:p w14:paraId="7CD0B160" w14:textId="77777777" w:rsidR="00421D81" w:rsidRPr="0033352D" w:rsidRDefault="00421D81" w:rsidP="00F51BBE">
            <w:pPr>
              <w:jc w:val="right"/>
              <w:rPr>
                <w:rFonts w:ascii="Calibri" w:eastAsia="Times New Roman" w:hAnsi="Calibri" w:cs="Calibri"/>
                <w:color w:val="000000"/>
              </w:rPr>
            </w:pPr>
            <w:r w:rsidRPr="0033352D">
              <w:rPr>
                <w:rFonts w:ascii="Calibri" w:eastAsia="Times New Roman" w:hAnsi="Calibri" w:cs="Calibri"/>
                <w:color w:val="000000"/>
              </w:rPr>
              <w:t>10.0</w:t>
            </w:r>
          </w:p>
        </w:tc>
      </w:tr>
      <w:tr w:rsidR="00421D81" w:rsidRPr="0033352D" w14:paraId="4322652A" w14:textId="77777777" w:rsidTr="00F51BBE">
        <w:trPr>
          <w:trHeight w:val="264"/>
        </w:trPr>
        <w:tc>
          <w:tcPr>
            <w:tcW w:w="5013" w:type="dxa"/>
            <w:tcBorders>
              <w:top w:val="nil"/>
              <w:left w:val="single" w:sz="4" w:space="0" w:color="auto"/>
              <w:bottom w:val="nil"/>
              <w:right w:val="nil"/>
            </w:tcBorders>
            <w:shd w:val="clear" w:color="auto" w:fill="auto"/>
            <w:vAlign w:val="bottom"/>
            <w:hideMark/>
          </w:tcPr>
          <w:p w14:paraId="2717372F" w14:textId="77777777" w:rsidR="00421D81" w:rsidRPr="00D00204" w:rsidRDefault="00421D81" w:rsidP="00F51BBE">
            <w:pPr>
              <w:rPr>
                <w:rFonts w:ascii="Calibri" w:eastAsia="Times New Roman" w:hAnsi="Calibri" w:cs="Calibri"/>
                <w:bCs/>
                <w:color w:val="000000"/>
              </w:rPr>
            </w:pPr>
            <w:r w:rsidRPr="00D00204">
              <w:rPr>
                <w:rFonts w:ascii="Calibri" w:eastAsia="Times New Roman" w:hAnsi="Calibri" w:cs="Calibri"/>
                <w:bCs/>
                <w:color w:val="000000"/>
              </w:rPr>
              <w:t xml:space="preserve">CCLA </w:t>
            </w:r>
          </w:p>
        </w:tc>
        <w:tc>
          <w:tcPr>
            <w:tcW w:w="699" w:type="dxa"/>
            <w:tcBorders>
              <w:top w:val="nil"/>
              <w:left w:val="nil"/>
              <w:bottom w:val="nil"/>
              <w:right w:val="single" w:sz="4" w:space="0" w:color="auto"/>
            </w:tcBorders>
            <w:shd w:val="clear" w:color="auto" w:fill="auto"/>
            <w:noWrap/>
            <w:vAlign w:val="bottom"/>
            <w:hideMark/>
          </w:tcPr>
          <w:p w14:paraId="40ACE037" w14:textId="77777777" w:rsidR="00421D81" w:rsidRPr="0033352D" w:rsidRDefault="00421D81" w:rsidP="00F51BBE">
            <w:pPr>
              <w:jc w:val="right"/>
              <w:rPr>
                <w:rFonts w:ascii="Calibri" w:eastAsia="Times New Roman" w:hAnsi="Calibri" w:cs="Calibri"/>
                <w:color w:val="000000"/>
              </w:rPr>
            </w:pPr>
            <w:r w:rsidRPr="0033352D">
              <w:rPr>
                <w:rFonts w:ascii="Calibri" w:eastAsia="Times New Roman" w:hAnsi="Calibri" w:cs="Calibri"/>
                <w:color w:val="000000"/>
              </w:rPr>
              <w:t>5.0</w:t>
            </w:r>
          </w:p>
        </w:tc>
      </w:tr>
      <w:tr w:rsidR="00421D81" w:rsidRPr="0033352D" w14:paraId="7851A036" w14:textId="77777777" w:rsidTr="00F51BBE">
        <w:trPr>
          <w:trHeight w:val="264"/>
        </w:trPr>
        <w:tc>
          <w:tcPr>
            <w:tcW w:w="5013" w:type="dxa"/>
            <w:tcBorders>
              <w:top w:val="nil"/>
              <w:left w:val="single" w:sz="4" w:space="0" w:color="auto"/>
              <w:bottom w:val="nil"/>
              <w:right w:val="nil"/>
            </w:tcBorders>
            <w:shd w:val="clear" w:color="auto" w:fill="auto"/>
            <w:noWrap/>
            <w:vAlign w:val="bottom"/>
            <w:hideMark/>
          </w:tcPr>
          <w:p w14:paraId="198FC52A" w14:textId="77777777" w:rsidR="00421D81" w:rsidRPr="0033352D" w:rsidRDefault="00421D81" w:rsidP="00F51BBE">
            <w:pPr>
              <w:rPr>
                <w:rFonts w:ascii="Calibri" w:eastAsia="Times New Roman" w:hAnsi="Calibri" w:cs="Calibri"/>
                <w:color w:val="000000"/>
              </w:rPr>
            </w:pPr>
            <w:r w:rsidRPr="0033352D">
              <w:rPr>
                <w:rFonts w:ascii="Calibri" w:eastAsia="Times New Roman" w:hAnsi="Calibri" w:cs="Calibri"/>
                <w:color w:val="000000"/>
              </w:rPr>
              <w:t> </w:t>
            </w:r>
          </w:p>
        </w:tc>
        <w:tc>
          <w:tcPr>
            <w:tcW w:w="699" w:type="dxa"/>
            <w:tcBorders>
              <w:top w:val="single" w:sz="4" w:space="0" w:color="auto"/>
              <w:left w:val="nil"/>
              <w:bottom w:val="nil"/>
              <w:right w:val="single" w:sz="4" w:space="0" w:color="auto"/>
            </w:tcBorders>
            <w:shd w:val="clear" w:color="auto" w:fill="auto"/>
            <w:noWrap/>
            <w:vAlign w:val="bottom"/>
            <w:hideMark/>
          </w:tcPr>
          <w:p w14:paraId="3B8BABFB" w14:textId="77777777" w:rsidR="00421D81" w:rsidRPr="0033352D" w:rsidRDefault="00421D81" w:rsidP="00F51BBE">
            <w:pPr>
              <w:jc w:val="right"/>
              <w:rPr>
                <w:rFonts w:ascii="Calibri" w:eastAsia="Times New Roman" w:hAnsi="Calibri" w:cs="Calibri"/>
                <w:b/>
                <w:bCs/>
                <w:color w:val="000000"/>
              </w:rPr>
            </w:pPr>
            <w:r w:rsidRPr="0033352D">
              <w:rPr>
                <w:rFonts w:ascii="Calibri" w:eastAsia="Times New Roman" w:hAnsi="Calibri" w:cs="Calibri"/>
                <w:b/>
                <w:bCs/>
                <w:color w:val="000000"/>
              </w:rPr>
              <w:t>61.8</w:t>
            </w:r>
          </w:p>
        </w:tc>
      </w:tr>
      <w:tr w:rsidR="00421D81" w:rsidRPr="0033352D" w14:paraId="1C7C351D" w14:textId="77777777" w:rsidTr="00F51BBE">
        <w:trPr>
          <w:trHeight w:val="264"/>
        </w:trPr>
        <w:tc>
          <w:tcPr>
            <w:tcW w:w="5013" w:type="dxa"/>
            <w:tcBorders>
              <w:top w:val="nil"/>
              <w:left w:val="single" w:sz="4" w:space="0" w:color="auto"/>
              <w:bottom w:val="nil"/>
              <w:right w:val="nil"/>
            </w:tcBorders>
            <w:shd w:val="clear" w:color="auto" w:fill="auto"/>
            <w:noWrap/>
            <w:vAlign w:val="bottom"/>
            <w:hideMark/>
          </w:tcPr>
          <w:p w14:paraId="6E7C2443" w14:textId="77777777" w:rsidR="00421D81" w:rsidRPr="0033352D" w:rsidRDefault="00421D81" w:rsidP="00F51BBE">
            <w:pPr>
              <w:rPr>
                <w:rFonts w:ascii="Calibri" w:eastAsia="Times New Roman" w:hAnsi="Calibri" w:cs="Calibri"/>
                <w:color w:val="000000"/>
              </w:rPr>
            </w:pPr>
            <w:r w:rsidRPr="0033352D">
              <w:rPr>
                <w:rFonts w:ascii="Calibri" w:eastAsia="Times New Roman" w:hAnsi="Calibri" w:cs="Calibri"/>
                <w:color w:val="000000"/>
              </w:rPr>
              <w:t> </w:t>
            </w:r>
          </w:p>
        </w:tc>
        <w:tc>
          <w:tcPr>
            <w:tcW w:w="699" w:type="dxa"/>
            <w:tcBorders>
              <w:top w:val="nil"/>
              <w:left w:val="nil"/>
              <w:bottom w:val="nil"/>
              <w:right w:val="single" w:sz="4" w:space="0" w:color="auto"/>
            </w:tcBorders>
            <w:shd w:val="clear" w:color="auto" w:fill="auto"/>
            <w:noWrap/>
            <w:vAlign w:val="bottom"/>
            <w:hideMark/>
          </w:tcPr>
          <w:p w14:paraId="2B8806DE" w14:textId="77777777" w:rsidR="00421D81" w:rsidRPr="0033352D" w:rsidRDefault="00421D81" w:rsidP="00F51BBE">
            <w:pPr>
              <w:rPr>
                <w:rFonts w:ascii="Calibri" w:eastAsia="Times New Roman" w:hAnsi="Calibri" w:cs="Calibri"/>
                <w:color w:val="000000"/>
              </w:rPr>
            </w:pPr>
            <w:r w:rsidRPr="0033352D">
              <w:rPr>
                <w:rFonts w:ascii="Calibri" w:eastAsia="Times New Roman" w:hAnsi="Calibri" w:cs="Calibri"/>
                <w:color w:val="000000"/>
              </w:rPr>
              <w:t> </w:t>
            </w:r>
          </w:p>
        </w:tc>
      </w:tr>
      <w:tr w:rsidR="00421D81" w:rsidRPr="0033352D" w14:paraId="6261A2C7" w14:textId="77777777" w:rsidTr="00F51BBE">
        <w:trPr>
          <w:trHeight w:val="264"/>
        </w:trPr>
        <w:tc>
          <w:tcPr>
            <w:tcW w:w="5013" w:type="dxa"/>
            <w:tcBorders>
              <w:top w:val="nil"/>
              <w:left w:val="single" w:sz="4" w:space="0" w:color="auto"/>
              <w:bottom w:val="nil"/>
              <w:right w:val="nil"/>
            </w:tcBorders>
            <w:shd w:val="clear" w:color="auto" w:fill="auto"/>
            <w:vAlign w:val="bottom"/>
            <w:hideMark/>
          </w:tcPr>
          <w:p w14:paraId="640E516E" w14:textId="77777777" w:rsidR="00421D81" w:rsidRPr="0033352D" w:rsidRDefault="00421D81" w:rsidP="00F51BBE">
            <w:pPr>
              <w:rPr>
                <w:rFonts w:ascii="Calibri" w:eastAsia="Times New Roman" w:hAnsi="Calibri" w:cs="Calibri"/>
                <w:b/>
                <w:bCs/>
                <w:color w:val="000000"/>
                <w:u w:val="single"/>
              </w:rPr>
            </w:pPr>
            <w:r w:rsidRPr="0033352D">
              <w:rPr>
                <w:rFonts w:ascii="Calibri" w:eastAsia="Times New Roman" w:hAnsi="Calibri" w:cs="Calibri"/>
                <w:b/>
                <w:bCs/>
                <w:color w:val="000000"/>
                <w:u w:val="single"/>
              </w:rPr>
              <w:t>Treasury external borrowing</w:t>
            </w:r>
          </w:p>
        </w:tc>
        <w:tc>
          <w:tcPr>
            <w:tcW w:w="699" w:type="dxa"/>
            <w:tcBorders>
              <w:top w:val="nil"/>
              <w:left w:val="nil"/>
              <w:bottom w:val="nil"/>
              <w:right w:val="single" w:sz="4" w:space="0" w:color="auto"/>
            </w:tcBorders>
            <w:shd w:val="clear" w:color="auto" w:fill="auto"/>
            <w:noWrap/>
            <w:vAlign w:val="bottom"/>
            <w:hideMark/>
          </w:tcPr>
          <w:p w14:paraId="1456D622" w14:textId="77777777" w:rsidR="00421D81" w:rsidRPr="0033352D" w:rsidRDefault="00421D81" w:rsidP="00F51BBE">
            <w:pPr>
              <w:rPr>
                <w:rFonts w:ascii="Calibri" w:eastAsia="Times New Roman" w:hAnsi="Calibri" w:cs="Calibri"/>
                <w:color w:val="000000"/>
              </w:rPr>
            </w:pPr>
            <w:r w:rsidRPr="0033352D">
              <w:rPr>
                <w:rFonts w:ascii="Calibri" w:eastAsia="Times New Roman" w:hAnsi="Calibri" w:cs="Calibri"/>
                <w:color w:val="000000"/>
              </w:rPr>
              <w:t> </w:t>
            </w:r>
          </w:p>
        </w:tc>
      </w:tr>
      <w:tr w:rsidR="00421D81" w:rsidRPr="0033352D" w14:paraId="49C2E043" w14:textId="77777777" w:rsidTr="00F51BBE">
        <w:trPr>
          <w:trHeight w:val="264"/>
        </w:trPr>
        <w:tc>
          <w:tcPr>
            <w:tcW w:w="5013" w:type="dxa"/>
            <w:tcBorders>
              <w:top w:val="nil"/>
              <w:left w:val="single" w:sz="4" w:space="0" w:color="auto"/>
              <w:bottom w:val="nil"/>
              <w:right w:val="nil"/>
            </w:tcBorders>
            <w:shd w:val="clear" w:color="auto" w:fill="auto"/>
            <w:noWrap/>
            <w:vAlign w:val="bottom"/>
            <w:hideMark/>
          </w:tcPr>
          <w:p w14:paraId="56AE909F" w14:textId="77777777" w:rsidR="00421D81" w:rsidRPr="0033352D" w:rsidRDefault="00421D81" w:rsidP="00F51BBE">
            <w:pPr>
              <w:rPr>
                <w:rFonts w:ascii="Calibri" w:eastAsia="Times New Roman" w:hAnsi="Calibri" w:cs="Calibri"/>
                <w:color w:val="000000"/>
              </w:rPr>
            </w:pPr>
            <w:r w:rsidRPr="0033352D">
              <w:rPr>
                <w:rFonts w:ascii="Calibri" w:eastAsia="Times New Roman" w:hAnsi="Calibri" w:cs="Calibri"/>
                <w:color w:val="000000"/>
              </w:rPr>
              <w:t xml:space="preserve"> -PWLB fixed rate</w:t>
            </w:r>
          </w:p>
        </w:tc>
        <w:tc>
          <w:tcPr>
            <w:tcW w:w="699" w:type="dxa"/>
            <w:tcBorders>
              <w:top w:val="nil"/>
              <w:left w:val="nil"/>
              <w:bottom w:val="nil"/>
              <w:right w:val="single" w:sz="4" w:space="0" w:color="auto"/>
            </w:tcBorders>
            <w:shd w:val="clear" w:color="auto" w:fill="auto"/>
            <w:noWrap/>
            <w:vAlign w:val="bottom"/>
            <w:hideMark/>
          </w:tcPr>
          <w:p w14:paraId="01EF05EC" w14:textId="77777777" w:rsidR="00421D81" w:rsidRPr="0033352D" w:rsidRDefault="00421D81" w:rsidP="00F51BBE">
            <w:pPr>
              <w:jc w:val="right"/>
              <w:rPr>
                <w:rFonts w:ascii="Calibri" w:eastAsia="Times New Roman" w:hAnsi="Calibri" w:cs="Calibri"/>
                <w:color w:val="000000"/>
              </w:rPr>
            </w:pPr>
            <w:r w:rsidRPr="0033352D">
              <w:rPr>
                <w:rFonts w:ascii="Calibri" w:eastAsia="Times New Roman" w:hAnsi="Calibri" w:cs="Calibri"/>
                <w:color w:val="000000"/>
              </w:rPr>
              <w:t>93.8</w:t>
            </w:r>
          </w:p>
        </w:tc>
      </w:tr>
      <w:tr w:rsidR="00421D81" w:rsidRPr="0033352D" w14:paraId="2FEA29AE" w14:textId="77777777" w:rsidTr="00F51BBE">
        <w:trPr>
          <w:trHeight w:val="264"/>
        </w:trPr>
        <w:tc>
          <w:tcPr>
            <w:tcW w:w="5013" w:type="dxa"/>
            <w:tcBorders>
              <w:top w:val="nil"/>
              <w:left w:val="single" w:sz="4" w:space="0" w:color="auto"/>
              <w:bottom w:val="nil"/>
              <w:right w:val="nil"/>
            </w:tcBorders>
            <w:shd w:val="clear" w:color="auto" w:fill="auto"/>
            <w:noWrap/>
            <w:vAlign w:val="bottom"/>
            <w:hideMark/>
          </w:tcPr>
          <w:p w14:paraId="542246A7" w14:textId="77777777" w:rsidR="00421D81" w:rsidRPr="0033352D" w:rsidRDefault="00421D81" w:rsidP="00F51BBE">
            <w:pPr>
              <w:rPr>
                <w:rFonts w:ascii="Calibri" w:eastAsia="Times New Roman" w:hAnsi="Calibri" w:cs="Calibri"/>
                <w:color w:val="000000"/>
              </w:rPr>
            </w:pPr>
            <w:r w:rsidRPr="0033352D">
              <w:rPr>
                <w:rFonts w:ascii="Calibri" w:eastAsia="Times New Roman" w:hAnsi="Calibri" w:cs="Calibri"/>
                <w:color w:val="000000"/>
              </w:rPr>
              <w:t xml:space="preserve"> - PWLB variable rate</w:t>
            </w:r>
          </w:p>
        </w:tc>
        <w:tc>
          <w:tcPr>
            <w:tcW w:w="699" w:type="dxa"/>
            <w:tcBorders>
              <w:top w:val="nil"/>
              <w:left w:val="nil"/>
              <w:bottom w:val="nil"/>
              <w:right w:val="single" w:sz="4" w:space="0" w:color="auto"/>
            </w:tcBorders>
            <w:shd w:val="clear" w:color="auto" w:fill="auto"/>
            <w:noWrap/>
            <w:vAlign w:val="bottom"/>
            <w:hideMark/>
          </w:tcPr>
          <w:p w14:paraId="41FD5D1E" w14:textId="77777777" w:rsidR="00421D81" w:rsidRPr="0033352D" w:rsidRDefault="00421D81" w:rsidP="00F51BBE">
            <w:pPr>
              <w:jc w:val="right"/>
              <w:rPr>
                <w:rFonts w:ascii="Calibri" w:eastAsia="Times New Roman" w:hAnsi="Calibri" w:cs="Calibri"/>
                <w:color w:val="000000"/>
              </w:rPr>
            </w:pPr>
            <w:r w:rsidRPr="0033352D">
              <w:rPr>
                <w:rFonts w:ascii="Calibri" w:eastAsia="Times New Roman" w:hAnsi="Calibri" w:cs="Calibri"/>
                <w:color w:val="000000"/>
              </w:rPr>
              <w:t>0.0</w:t>
            </w:r>
          </w:p>
        </w:tc>
      </w:tr>
      <w:tr w:rsidR="00421D81" w:rsidRPr="0033352D" w14:paraId="387BC1C9" w14:textId="77777777" w:rsidTr="00F51BBE">
        <w:trPr>
          <w:trHeight w:val="264"/>
        </w:trPr>
        <w:tc>
          <w:tcPr>
            <w:tcW w:w="5013" w:type="dxa"/>
            <w:tcBorders>
              <w:top w:val="nil"/>
              <w:left w:val="single" w:sz="4" w:space="0" w:color="auto"/>
              <w:bottom w:val="nil"/>
              <w:right w:val="nil"/>
            </w:tcBorders>
            <w:shd w:val="clear" w:color="auto" w:fill="auto"/>
            <w:noWrap/>
            <w:vAlign w:val="bottom"/>
            <w:hideMark/>
          </w:tcPr>
          <w:p w14:paraId="454DD3A0" w14:textId="77777777" w:rsidR="00421D81" w:rsidRPr="0033352D" w:rsidRDefault="00421D81" w:rsidP="00F51BBE">
            <w:pPr>
              <w:rPr>
                <w:rFonts w:ascii="Calibri" w:eastAsia="Times New Roman" w:hAnsi="Calibri" w:cs="Calibri"/>
                <w:color w:val="000000"/>
              </w:rPr>
            </w:pPr>
            <w:r w:rsidRPr="0033352D">
              <w:rPr>
                <w:rFonts w:ascii="Calibri" w:eastAsia="Times New Roman" w:hAnsi="Calibri" w:cs="Calibri"/>
                <w:color w:val="000000"/>
              </w:rPr>
              <w:t> </w:t>
            </w:r>
          </w:p>
        </w:tc>
        <w:tc>
          <w:tcPr>
            <w:tcW w:w="699" w:type="dxa"/>
            <w:tcBorders>
              <w:top w:val="single" w:sz="4" w:space="0" w:color="auto"/>
              <w:left w:val="nil"/>
              <w:bottom w:val="nil"/>
              <w:right w:val="single" w:sz="4" w:space="0" w:color="auto"/>
            </w:tcBorders>
            <w:shd w:val="clear" w:color="auto" w:fill="auto"/>
            <w:noWrap/>
            <w:vAlign w:val="bottom"/>
            <w:hideMark/>
          </w:tcPr>
          <w:p w14:paraId="55BC6BAD" w14:textId="77777777" w:rsidR="00421D81" w:rsidRPr="0033352D" w:rsidRDefault="00421D81" w:rsidP="00F51BBE">
            <w:pPr>
              <w:jc w:val="right"/>
              <w:rPr>
                <w:rFonts w:ascii="Calibri" w:eastAsia="Times New Roman" w:hAnsi="Calibri" w:cs="Calibri"/>
                <w:b/>
                <w:bCs/>
                <w:color w:val="000000"/>
              </w:rPr>
            </w:pPr>
            <w:r w:rsidRPr="0033352D">
              <w:rPr>
                <w:rFonts w:ascii="Calibri" w:eastAsia="Times New Roman" w:hAnsi="Calibri" w:cs="Calibri"/>
                <w:b/>
                <w:bCs/>
                <w:color w:val="000000"/>
              </w:rPr>
              <w:t>93.8</w:t>
            </w:r>
          </w:p>
        </w:tc>
      </w:tr>
      <w:tr w:rsidR="00421D81" w:rsidRPr="0033352D" w14:paraId="2EE27414" w14:textId="77777777" w:rsidTr="00F51BBE">
        <w:trPr>
          <w:trHeight w:val="264"/>
        </w:trPr>
        <w:tc>
          <w:tcPr>
            <w:tcW w:w="5013" w:type="dxa"/>
            <w:tcBorders>
              <w:top w:val="nil"/>
              <w:left w:val="single" w:sz="4" w:space="0" w:color="auto"/>
              <w:bottom w:val="nil"/>
              <w:right w:val="nil"/>
            </w:tcBorders>
            <w:shd w:val="clear" w:color="auto" w:fill="auto"/>
            <w:noWrap/>
            <w:vAlign w:val="bottom"/>
            <w:hideMark/>
          </w:tcPr>
          <w:p w14:paraId="7EC6121C" w14:textId="77777777" w:rsidR="00421D81" w:rsidRPr="0033352D" w:rsidRDefault="00421D81" w:rsidP="00F51BBE">
            <w:pPr>
              <w:rPr>
                <w:rFonts w:ascii="Calibri" w:eastAsia="Times New Roman" w:hAnsi="Calibri" w:cs="Calibri"/>
                <w:color w:val="000000"/>
              </w:rPr>
            </w:pPr>
            <w:r w:rsidRPr="0033352D">
              <w:rPr>
                <w:rFonts w:ascii="Calibri" w:eastAsia="Times New Roman" w:hAnsi="Calibri" w:cs="Calibri"/>
                <w:color w:val="000000"/>
              </w:rPr>
              <w:t> </w:t>
            </w:r>
          </w:p>
        </w:tc>
        <w:tc>
          <w:tcPr>
            <w:tcW w:w="699" w:type="dxa"/>
            <w:tcBorders>
              <w:top w:val="nil"/>
              <w:left w:val="nil"/>
              <w:bottom w:val="nil"/>
              <w:right w:val="single" w:sz="4" w:space="0" w:color="auto"/>
            </w:tcBorders>
            <w:shd w:val="clear" w:color="auto" w:fill="auto"/>
            <w:noWrap/>
            <w:vAlign w:val="bottom"/>
            <w:hideMark/>
          </w:tcPr>
          <w:p w14:paraId="0FB1B110" w14:textId="77777777" w:rsidR="00421D81" w:rsidRPr="0033352D" w:rsidRDefault="00421D81" w:rsidP="00F51BBE">
            <w:pPr>
              <w:rPr>
                <w:rFonts w:ascii="Calibri" w:eastAsia="Times New Roman" w:hAnsi="Calibri" w:cs="Calibri"/>
                <w:color w:val="000000"/>
              </w:rPr>
            </w:pPr>
            <w:r w:rsidRPr="0033352D">
              <w:rPr>
                <w:rFonts w:ascii="Calibri" w:eastAsia="Times New Roman" w:hAnsi="Calibri" w:cs="Calibri"/>
                <w:color w:val="000000"/>
              </w:rPr>
              <w:t> </w:t>
            </w:r>
          </w:p>
        </w:tc>
      </w:tr>
      <w:tr w:rsidR="00421D81" w:rsidRPr="0033352D" w14:paraId="465AB05B" w14:textId="77777777" w:rsidTr="00F51BBE">
        <w:trPr>
          <w:trHeight w:val="264"/>
        </w:trPr>
        <w:tc>
          <w:tcPr>
            <w:tcW w:w="5013" w:type="dxa"/>
            <w:tcBorders>
              <w:top w:val="nil"/>
              <w:left w:val="single" w:sz="4" w:space="0" w:color="auto"/>
              <w:bottom w:val="single" w:sz="4" w:space="0" w:color="auto"/>
              <w:right w:val="nil"/>
            </w:tcBorders>
            <w:shd w:val="clear" w:color="auto" w:fill="auto"/>
            <w:noWrap/>
            <w:vAlign w:val="bottom"/>
            <w:hideMark/>
          </w:tcPr>
          <w:p w14:paraId="408BDEC2" w14:textId="77777777" w:rsidR="00421D81" w:rsidRPr="0033352D" w:rsidRDefault="00421D81" w:rsidP="00F51BBE">
            <w:pPr>
              <w:rPr>
                <w:rFonts w:ascii="Calibri" w:eastAsia="Times New Roman" w:hAnsi="Calibri" w:cs="Calibri"/>
                <w:b/>
                <w:bCs/>
                <w:color w:val="000000"/>
              </w:rPr>
            </w:pPr>
            <w:r w:rsidRPr="0033352D">
              <w:rPr>
                <w:rFonts w:ascii="Calibri" w:eastAsia="Times New Roman" w:hAnsi="Calibri" w:cs="Calibri"/>
                <w:b/>
                <w:bCs/>
                <w:color w:val="000000"/>
              </w:rPr>
              <w:t>Net Treasury Borrowing</w:t>
            </w:r>
          </w:p>
        </w:tc>
        <w:tc>
          <w:tcPr>
            <w:tcW w:w="699" w:type="dxa"/>
            <w:tcBorders>
              <w:top w:val="single" w:sz="4" w:space="0" w:color="auto"/>
              <w:left w:val="nil"/>
              <w:bottom w:val="single" w:sz="4" w:space="0" w:color="auto"/>
              <w:right w:val="single" w:sz="4" w:space="0" w:color="auto"/>
            </w:tcBorders>
            <w:shd w:val="clear" w:color="auto" w:fill="auto"/>
            <w:noWrap/>
            <w:vAlign w:val="bottom"/>
            <w:hideMark/>
          </w:tcPr>
          <w:p w14:paraId="50ED9ADB" w14:textId="77777777" w:rsidR="00421D81" w:rsidRPr="0033352D" w:rsidRDefault="00421D81" w:rsidP="00F51BBE">
            <w:pPr>
              <w:jc w:val="right"/>
              <w:rPr>
                <w:rFonts w:ascii="Calibri" w:eastAsia="Times New Roman" w:hAnsi="Calibri" w:cs="Calibri"/>
                <w:b/>
                <w:bCs/>
                <w:color w:val="000000"/>
              </w:rPr>
            </w:pPr>
            <w:r>
              <w:rPr>
                <w:rFonts w:ascii="Calibri" w:eastAsia="Times New Roman" w:hAnsi="Calibri" w:cs="Calibri"/>
                <w:b/>
                <w:bCs/>
                <w:color w:val="000000"/>
              </w:rPr>
              <w:t>-</w:t>
            </w:r>
            <w:r w:rsidRPr="0033352D">
              <w:rPr>
                <w:rFonts w:ascii="Calibri" w:eastAsia="Times New Roman" w:hAnsi="Calibri" w:cs="Calibri"/>
                <w:b/>
                <w:bCs/>
                <w:color w:val="000000"/>
              </w:rPr>
              <w:t>32.0</w:t>
            </w:r>
          </w:p>
        </w:tc>
      </w:tr>
    </w:tbl>
    <w:p w14:paraId="202C6302" w14:textId="77777777" w:rsidR="00421D81" w:rsidRPr="00E17ADE" w:rsidRDefault="00421D81" w:rsidP="00421D81">
      <w:pPr>
        <w:ind w:left="720"/>
        <w:rPr>
          <w:color w:val="FF0000"/>
        </w:rPr>
      </w:pPr>
    </w:p>
    <w:p w14:paraId="61DF164C" w14:textId="77777777" w:rsidR="00421D81" w:rsidRDefault="00421D81" w:rsidP="00421D81"/>
    <w:p w14:paraId="466741E4" w14:textId="77777777" w:rsidR="00421D81" w:rsidRDefault="00421D81" w:rsidP="00421D81">
      <w:pPr>
        <w:numPr>
          <w:ilvl w:val="1"/>
          <w:numId w:val="30"/>
        </w:numPr>
        <w:jc w:val="both"/>
      </w:pPr>
      <w:r w:rsidRPr="00703A81">
        <w:t xml:space="preserve">The average rate of interest on the </w:t>
      </w:r>
      <w:r>
        <w:t>above debt is expected to be 3.29</w:t>
      </w:r>
      <w:r w:rsidRPr="00703A81">
        <w:t>%.</w:t>
      </w:r>
    </w:p>
    <w:p w14:paraId="0257B155" w14:textId="77777777" w:rsidR="00421D81" w:rsidRDefault="00421D81" w:rsidP="00421D81">
      <w:pPr>
        <w:ind w:left="720"/>
        <w:jc w:val="both"/>
      </w:pPr>
    </w:p>
    <w:p w14:paraId="793AB3C3" w14:textId="77777777" w:rsidR="00421D81" w:rsidRDefault="00421D81" w:rsidP="00421D81">
      <w:pPr>
        <w:ind w:left="720"/>
        <w:jc w:val="both"/>
      </w:pPr>
      <w:r w:rsidRPr="00A0717C">
        <w:t xml:space="preserve">The </w:t>
      </w:r>
      <w:r>
        <w:t xml:space="preserve">treasury investments less than 5 years relates to Bank, Building society and Local Authority Investments. The £5.0m investment placed with CCLA is for at least five years. </w:t>
      </w:r>
    </w:p>
    <w:p w14:paraId="5C0F2E49" w14:textId="77777777" w:rsidR="00421D81" w:rsidRDefault="00421D81" w:rsidP="00421D81">
      <w:pPr>
        <w:jc w:val="both"/>
      </w:pPr>
    </w:p>
    <w:p w14:paraId="4D6F8D65" w14:textId="77777777" w:rsidR="00421D81" w:rsidRDefault="00421D81" w:rsidP="00421D81">
      <w:pPr>
        <w:jc w:val="both"/>
        <w:rPr>
          <w:b/>
        </w:rPr>
      </w:pPr>
      <w:r>
        <w:rPr>
          <w:b/>
        </w:rPr>
        <w:lastRenderedPageBreak/>
        <w:t xml:space="preserve">3.0 </w:t>
      </w:r>
      <w:r>
        <w:rPr>
          <w:b/>
        </w:rPr>
        <w:tab/>
        <w:t>PRUDENTIAL INDICATORS for 2021/22 to 2024/25</w:t>
      </w:r>
    </w:p>
    <w:p w14:paraId="4B904497" w14:textId="77777777" w:rsidR="00421D81" w:rsidRDefault="00421D81" w:rsidP="00421D81">
      <w:pPr>
        <w:jc w:val="both"/>
        <w:rPr>
          <w:b/>
        </w:rPr>
      </w:pPr>
    </w:p>
    <w:p w14:paraId="78A43A15" w14:textId="77777777" w:rsidR="00421D81" w:rsidRPr="0050158B" w:rsidRDefault="00421D81" w:rsidP="00421D81">
      <w:pPr>
        <w:pStyle w:val="BodyText"/>
        <w:ind w:left="720" w:hanging="720"/>
        <w:jc w:val="both"/>
        <w:rPr>
          <w:rFonts w:ascii="Arial" w:hAnsi="Arial"/>
        </w:rPr>
      </w:pPr>
      <w:r>
        <w:rPr>
          <w:rFonts w:ascii="Arial" w:hAnsi="Arial"/>
        </w:rPr>
        <w:t>3.1</w:t>
      </w:r>
      <w:r>
        <w:rPr>
          <w:rFonts w:ascii="Arial" w:hAnsi="Arial"/>
        </w:rPr>
        <w:tab/>
      </w:r>
      <w:r w:rsidRPr="0050158B">
        <w:rPr>
          <w:rFonts w:ascii="Arial" w:hAnsi="Arial"/>
        </w:rPr>
        <w:t>The Prudential Code for Capital Finance in Local Authorities (Prudential Code) is applicable to the Police and Crime Commissioner and has been developed by the Chartered Institute of Public Finance and Accountancy (CIPFA) to provide a code of practice to underpin the system of capital finance embodied in Part 1 of the Local Government Act 2003. PCCs, like Local Authorities, are free to determine their own level of capital investment controlled by self-regulation.</w:t>
      </w:r>
    </w:p>
    <w:p w14:paraId="4F5520AE" w14:textId="77777777" w:rsidR="00421D81" w:rsidRPr="0050158B" w:rsidRDefault="00421D81" w:rsidP="00421D81">
      <w:pPr>
        <w:pStyle w:val="BodyText"/>
        <w:ind w:left="720" w:hanging="720"/>
        <w:jc w:val="both"/>
        <w:rPr>
          <w:rFonts w:ascii="Arial" w:hAnsi="Arial"/>
        </w:rPr>
      </w:pPr>
      <w:r>
        <w:rPr>
          <w:rFonts w:ascii="Arial" w:hAnsi="Arial"/>
        </w:rPr>
        <w:t>3.</w:t>
      </w:r>
      <w:r w:rsidRPr="0050158B">
        <w:rPr>
          <w:rFonts w:ascii="Arial" w:hAnsi="Arial"/>
        </w:rPr>
        <w:t>2</w:t>
      </w:r>
      <w:r w:rsidRPr="0050158B">
        <w:rPr>
          <w:rFonts w:ascii="Arial" w:hAnsi="Arial"/>
        </w:rPr>
        <w:tab/>
        <w:t>The key objectives of the Prudential Code are to ensure that capital investment plans are affordable, prudent and sustainable.</w:t>
      </w:r>
    </w:p>
    <w:p w14:paraId="0FD3802A" w14:textId="77777777" w:rsidR="00421D81" w:rsidRDefault="00421D81" w:rsidP="00421D81">
      <w:pPr>
        <w:pStyle w:val="BodyText"/>
        <w:spacing w:after="0"/>
        <w:ind w:left="720" w:hanging="720"/>
        <w:jc w:val="both"/>
        <w:rPr>
          <w:rFonts w:ascii="Arial" w:hAnsi="Arial"/>
        </w:rPr>
      </w:pPr>
      <w:r>
        <w:rPr>
          <w:rFonts w:ascii="Arial" w:hAnsi="Arial"/>
        </w:rPr>
        <w:t>3.</w:t>
      </w:r>
      <w:r w:rsidRPr="0050158B">
        <w:rPr>
          <w:rFonts w:ascii="Arial" w:hAnsi="Arial"/>
        </w:rPr>
        <w:t>3</w:t>
      </w:r>
      <w:r w:rsidRPr="0050158B">
        <w:rPr>
          <w:rFonts w:ascii="Arial" w:hAnsi="Arial"/>
        </w:rPr>
        <w:tab/>
        <w:t>The Prudential Code supports a system of self-regulation that is achieved by the setting and monitoring of a suite of Prudential Indicators that directly relate to each other.  The indicators establish parameters within which the PCC should operate to ensure the objectives of the Prudential Code are met</w:t>
      </w:r>
      <w:r>
        <w:rPr>
          <w:rFonts w:ascii="Arial" w:hAnsi="Arial"/>
        </w:rPr>
        <w:t>.</w:t>
      </w:r>
    </w:p>
    <w:p w14:paraId="3FE893A4" w14:textId="77777777" w:rsidR="00421D81" w:rsidRDefault="00421D81" w:rsidP="00421D81">
      <w:pPr>
        <w:pStyle w:val="BodyText"/>
        <w:spacing w:after="0"/>
        <w:ind w:left="720" w:hanging="720"/>
        <w:jc w:val="both"/>
        <w:rPr>
          <w:rFonts w:ascii="Arial" w:hAnsi="Arial"/>
        </w:rPr>
      </w:pPr>
    </w:p>
    <w:p w14:paraId="5874BFE3" w14:textId="77777777" w:rsidR="00421D81" w:rsidRDefault="00421D81" w:rsidP="00421D81">
      <w:pPr>
        <w:pStyle w:val="BodyText"/>
        <w:spacing w:after="0"/>
        <w:ind w:left="720" w:hanging="720"/>
        <w:jc w:val="both"/>
        <w:rPr>
          <w:rFonts w:ascii="Arial" w:hAnsi="Arial"/>
        </w:rPr>
      </w:pPr>
      <w:r>
        <w:rPr>
          <w:rFonts w:ascii="Arial" w:hAnsi="Arial"/>
        </w:rPr>
        <w:t>3.4</w:t>
      </w:r>
      <w:r>
        <w:rPr>
          <w:rFonts w:ascii="Arial" w:hAnsi="Arial"/>
        </w:rPr>
        <w:tab/>
        <w:t xml:space="preserve">The Prudential Code introduced requirements for the manner in which capital spending plans are to be considered and approved.  It requires the Commissioner to set a number of prudential indicators over a period of three years. </w:t>
      </w:r>
      <w:r w:rsidRPr="00703A81">
        <w:rPr>
          <w:rFonts w:ascii="Arial" w:hAnsi="Arial"/>
          <w:bCs/>
        </w:rPr>
        <w:t>The following prudential indicators are relevant for the purposes of setting an integrated treasury management strategy:</w:t>
      </w:r>
    </w:p>
    <w:p w14:paraId="11F241FB" w14:textId="77777777" w:rsidR="00421D81" w:rsidRDefault="00421D81" w:rsidP="00421D81">
      <w:pPr>
        <w:pStyle w:val="BodyTextIndent"/>
        <w:ind w:left="1440" w:hanging="720"/>
        <w:jc w:val="both"/>
        <w:rPr>
          <w:rFonts w:ascii="Arial" w:hAnsi="Arial"/>
        </w:rPr>
      </w:pPr>
    </w:p>
    <w:p w14:paraId="15D9FDD9" w14:textId="77777777" w:rsidR="00421D81" w:rsidRPr="00D201B4" w:rsidRDefault="00421D81" w:rsidP="00421D81">
      <w:pPr>
        <w:pStyle w:val="BodyTextIndent"/>
        <w:spacing w:after="0"/>
        <w:ind w:left="1440" w:hanging="720"/>
        <w:jc w:val="both"/>
        <w:rPr>
          <w:rFonts w:ascii="Arial" w:hAnsi="Arial"/>
          <w:b/>
        </w:rPr>
      </w:pPr>
      <w:r w:rsidRPr="00D201B4">
        <w:rPr>
          <w:rFonts w:ascii="Arial" w:hAnsi="Arial"/>
          <w:b/>
        </w:rPr>
        <w:t>External debt</w:t>
      </w:r>
    </w:p>
    <w:p w14:paraId="66EC2221" w14:textId="77777777" w:rsidR="00421D81" w:rsidRDefault="00421D81" w:rsidP="00421D81">
      <w:pPr>
        <w:pStyle w:val="BodyTextIndent"/>
        <w:spacing w:after="0"/>
        <w:ind w:left="720"/>
        <w:jc w:val="both"/>
        <w:rPr>
          <w:rFonts w:ascii="Arial" w:hAnsi="Arial"/>
          <w:bCs/>
        </w:rPr>
      </w:pPr>
      <w:r w:rsidRPr="00703A81">
        <w:rPr>
          <w:rFonts w:ascii="Arial" w:hAnsi="Arial"/>
          <w:bCs/>
        </w:rPr>
        <w:t>These indicators are intended to ensure that levels of external borrowing are affor</w:t>
      </w:r>
      <w:r>
        <w:rPr>
          <w:rFonts w:ascii="Arial" w:hAnsi="Arial"/>
          <w:bCs/>
        </w:rPr>
        <w:t xml:space="preserve">dable, prudent and sustainable. </w:t>
      </w:r>
      <w:r w:rsidRPr="00703A81">
        <w:rPr>
          <w:rFonts w:ascii="Arial" w:hAnsi="Arial"/>
          <w:bCs/>
        </w:rPr>
        <w:t xml:space="preserve">The authorised limit for external debt is a statutory limit (section 3 of the Local Government Act 2003) that should not be breached under any circumstances.  </w:t>
      </w:r>
      <w:r>
        <w:rPr>
          <w:rFonts w:ascii="Arial" w:hAnsi="Arial"/>
          <w:bCs/>
        </w:rPr>
        <w:t>The proposed limits set out below</w:t>
      </w:r>
      <w:r w:rsidRPr="00703A81">
        <w:rPr>
          <w:rFonts w:ascii="Arial" w:hAnsi="Arial"/>
          <w:bCs/>
        </w:rPr>
        <w:t xml:space="preserve"> ha</w:t>
      </w:r>
      <w:r>
        <w:rPr>
          <w:rFonts w:ascii="Arial" w:hAnsi="Arial"/>
          <w:bCs/>
        </w:rPr>
        <w:t>ve</w:t>
      </w:r>
      <w:r w:rsidRPr="00703A81">
        <w:rPr>
          <w:rFonts w:ascii="Arial" w:hAnsi="Arial"/>
          <w:bCs/>
        </w:rPr>
        <w:t xml:space="preserve"> been calculated to take account of the </w:t>
      </w:r>
      <w:r>
        <w:rPr>
          <w:rFonts w:ascii="Arial" w:hAnsi="Arial"/>
          <w:bCs/>
        </w:rPr>
        <w:t xml:space="preserve">current </w:t>
      </w:r>
      <w:r w:rsidRPr="00703A81">
        <w:rPr>
          <w:rFonts w:ascii="Arial" w:hAnsi="Arial"/>
          <w:bCs/>
        </w:rPr>
        <w:t>C</w:t>
      </w:r>
      <w:r>
        <w:rPr>
          <w:rFonts w:ascii="Arial" w:hAnsi="Arial"/>
          <w:bCs/>
        </w:rPr>
        <w:t>ommissioner</w:t>
      </w:r>
      <w:r w:rsidRPr="00703A81">
        <w:rPr>
          <w:rFonts w:ascii="Arial" w:hAnsi="Arial"/>
          <w:bCs/>
        </w:rPr>
        <w:t>’s capital expenditure and financing plans and allowing for the possibility of unusual cash movements.</w:t>
      </w:r>
      <w:r>
        <w:rPr>
          <w:rFonts w:ascii="Arial" w:hAnsi="Arial"/>
          <w:bCs/>
        </w:rPr>
        <w:t xml:space="preserve"> If this limit is likely to be breached, it would be necessary for the Commissioner to determine if it is prudent to raise the limit or to instigate procedures to ensure that such a breach does not occur.</w:t>
      </w:r>
    </w:p>
    <w:p w14:paraId="0BE643F4" w14:textId="77777777" w:rsidR="00421D81" w:rsidRDefault="00421D81" w:rsidP="00421D81">
      <w:pPr>
        <w:pStyle w:val="BodyTextIndent"/>
        <w:spacing w:after="0"/>
        <w:ind w:left="720"/>
        <w:jc w:val="both"/>
        <w:rPr>
          <w:rFonts w:ascii="Arial" w:hAnsi="Arial"/>
          <w:bCs/>
        </w:rPr>
      </w:pPr>
    </w:p>
    <w:p w14:paraId="1BC993B3" w14:textId="77777777" w:rsidR="00421D81" w:rsidRPr="00D00204" w:rsidRDefault="00421D81" w:rsidP="00421D81">
      <w:pPr>
        <w:pStyle w:val="BodyTextIndent"/>
        <w:spacing w:after="0"/>
        <w:ind w:left="720"/>
        <w:jc w:val="both"/>
        <w:rPr>
          <w:rFonts w:ascii="Arial" w:hAnsi="Arial"/>
          <w:bCs/>
        </w:rPr>
      </w:pPr>
      <w:r w:rsidRPr="00703A81">
        <w:rPr>
          <w:rFonts w:ascii="Arial" w:hAnsi="Arial"/>
          <w:bCs/>
        </w:rPr>
        <w:t xml:space="preserve">The operational boundary for external debt </w:t>
      </w:r>
      <w:r>
        <w:rPr>
          <w:rFonts w:ascii="Arial" w:hAnsi="Arial"/>
          <w:bCs/>
        </w:rPr>
        <w:t xml:space="preserve">is a management tool for day to day monitoring and </w:t>
      </w:r>
      <w:r w:rsidRPr="00703A81">
        <w:rPr>
          <w:rFonts w:ascii="Arial" w:hAnsi="Arial"/>
          <w:bCs/>
        </w:rPr>
        <w:t>has been calculated with regard to the C</w:t>
      </w:r>
      <w:r>
        <w:rPr>
          <w:rFonts w:ascii="Arial" w:hAnsi="Arial"/>
          <w:bCs/>
        </w:rPr>
        <w:t>ommissioner</w:t>
      </w:r>
      <w:r w:rsidRPr="00703A81">
        <w:rPr>
          <w:rFonts w:ascii="Arial" w:hAnsi="Arial"/>
          <w:bCs/>
        </w:rPr>
        <w:t>’s capital expenditure and financing plans allowing for the most likely, prudent, but not worst case scenario for cash flow. Temporary breaches of the operational boundary, due to variations in cash flow, will not be regarded as significant.</w:t>
      </w:r>
    </w:p>
    <w:p w14:paraId="1F340C60" w14:textId="77777777" w:rsidR="00421D81" w:rsidRPr="00703A81" w:rsidRDefault="00421D81" w:rsidP="00421D81">
      <w:pPr>
        <w:pStyle w:val="BodyTextIndent"/>
        <w:spacing w:after="0"/>
        <w:ind w:left="720"/>
        <w:rPr>
          <w:b/>
          <w:bCs/>
        </w:rPr>
      </w:pPr>
    </w:p>
    <w:tbl>
      <w:tblPr>
        <w:tblW w:w="7965" w:type="dxa"/>
        <w:tblInd w:w="725" w:type="dxa"/>
        <w:tblLayout w:type="fixed"/>
        <w:tblCellMar>
          <w:left w:w="0" w:type="dxa"/>
          <w:right w:w="0" w:type="dxa"/>
        </w:tblCellMar>
        <w:tblLook w:val="0000" w:firstRow="0" w:lastRow="0" w:firstColumn="0" w:lastColumn="0" w:noHBand="0" w:noVBand="0"/>
      </w:tblPr>
      <w:tblGrid>
        <w:gridCol w:w="5097"/>
        <w:gridCol w:w="956"/>
        <w:gridCol w:w="956"/>
        <w:gridCol w:w="956"/>
      </w:tblGrid>
      <w:tr w:rsidR="00421D81" w14:paraId="161B3EE3" w14:textId="77777777" w:rsidTr="00F51BBE">
        <w:trPr>
          <w:trHeight w:val="330"/>
        </w:trPr>
        <w:tc>
          <w:tcPr>
            <w:tcW w:w="5097" w:type="dxa"/>
            <w:tcBorders>
              <w:top w:val="single" w:sz="4" w:space="0" w:color="auto"/>
              <w:left w:val="single" w:sz="4" w:space="0" w:color="auto"/>
              <w:right w:val="single" w:sz="4" w:space="0" w:color="auto"/>
            </w:tcBorders>
          </w:tcPr>
          <w:p w14:paraId="2ACB8A41" w14:textId="77777777" w:rsidR="00421D81" w:rsidRDefault="00421D81" w:rsidP="00F51BBE">
            <w:pPr>
              <w:rPr>
                <w:rFonts w:eastAsia="Arial Unicode MS"/>
                <w:bCs/>
              </w:rPr>
            </w:pPr>
          </w:p>
        </w:tc>
        <w:tc>
          <w:tcPr>
            <w:tcW w:w="956" w:type="dxa"/>
            <w:tcBorders>
              <w:top w:val="single" w:sz="4" w:space="0" w:color="auto"/>
              <w:left w:val="single" w:sz="4" w:space="0" w:color="auto"/>
              <w:right w:val="single" w:sz="4" w:space="0" w:color="auto"/>
            </w:tcBorders>
          </w:tcPr>
          <w:p w14:paraId="5D83AF1C" w14:textId="77777777" w:rsidR="00421D81" w:rsidRDefault="00421D81" w:rsidP="00F51BBE">
            <w:pPr>
              <w:jc w:val="center"/>
              <w:rPr>
                <w:rFonts w:eastAsia="Arial Unicode MS"/>
                <w:b/>
              </w:rPr>
            </w:pPr>
            <w:r>
              <w:rPr>
                <w:b/>
              </w:rPr>
              <w:t>2021/22</w:t>
            </w:r>
          </w:p>
        </w:tc>
        <w:tc>
          <w:tcPr>
            <w:tcW w:w="956" w:type="dxa"/>
            <w:tcBorders>
              <w:top w:val="single" w:sz="4" w:space="0" w:color="auto"/>
              <w:left w:val="single" w:sz="4" w:space="0" w:color="auto"/>
              <w:right w:val="single" w:sz="4" w:space="0" w:color="auto"/>
            </w:tcBorders>
          </w:tcPr>
          <w:p w14:paraId="1FE1BAA9" w14:textId="77777777" w:rsidR="00421D81" w:rsidRDefault="00421D81" w:rsidP="00F51BBE">
            <w:pPr>
              <w:jc w:val="center"/>
              <w:rPr>
                <w:rFonts w:eastAsia="Arial Unicode MS"/>
                <w:b/>
              </w:rPr>
            </w:pPr>
            <w:r>
              <w:rPr>
                <w:b/>
              </w:rPr>
              <w:t>2022/23</w:t>
            </w:r>
          </w:p>
        </w:tc>
        <w:tc>
          <w:tcPr>
            <w:tcW w:w="956" w:type="dxa"/>
            <w:tcBorders>
              <w:top w:val="single" w:sz="4" w:space="0" w:color="auto"/>
              <w:left w:val="single" w:sz="4" w:space="0" w:color="auto"/>
              <w:right w:val="single" w:sz="4" w:space="0" w:color="auto"/>
            </w:tcBorders>
          </w:tcPr>
          <w:p w14:paraId="31C2B80B" w14:textId="77777777" w:rsidR="00421D81" w:rsidRDefault="00421D81" w:rsidP="00F51BBE">
            <w:pPr>
              <w:jc w:val="center"/>
              <w:rPr>
                <w:rFonts w:eastAsia="Arial Unicode MS"/>
                <w:b/>
              </w:rPr>
            </w:pPr>
            <w:r>
              <w:rPr>
                <w:b/>
              </w:rPr>
              <w:t>2023/24</w:t>
            </w:r>
          </w:p>
        </w:tc>
      </w:tr>
      <w:tr w:rsidR="00421D81" w14:paraId="459C6647" w14:textId="77777777" w:rsidTr="00F51BBE">
        <w:trPr>
          <w:trHeight w:val="330"/>
        </w:trPr>
        <w:tc>
          <w:tcPr>
            <w:tcW w:w="5097" w:type="dxa"/>
            <w:tcBorders>
              <w:left w:val="single" w:sz="4" w:space="0" w:color="auto"/>
              <w:bottom w:val="single" w:sz="4" w:space="0" w:color="auto"/>
              <w:right w:val="single" w:sz="4" w:space="0" w:color="auto"/>
            </w:tcBorders>
          </w:tcPr>
          <w:p w14:paraId="2E48497B" w14:textId="77777777" w:rsidR="00421D81" w:rsidRDefault="00421D81" w:rsidP="00F51BBE">
            <w:pPr>
              <w:rPr>
                <w:rFonts w:eastAsia="Arial Unicode MS"/>
                <w:bCs/>
              </w:rPr>
            </w:pPr>
          </w:p>
        </w:tc>
        <w:tc>
          <w:tcPr>
            <w:tcW w:w="956" w:type="dxa"/>
            <w:tcBorders>
              <w:left w:val="single" w:sz="4" w:space="0" w:color="auto"/>
              <w:bottom w:val="single" w:sz="4" w:space="0" w:color="auto"/>
              <w:right w:val="single" w:sz="4" w:space="0" w:color="auto"/>
            </w:tcBorders>
          </w:tcPr>
          <w:p w14:paraId="2637C44F" w14:textId="77777777" w:rsidR="00421D81" w:rsidRDefault="00421D81" w:rsidP="00F51BBE">
            <w:pPr>
              <w:jc w:val="center"/>
              <w:rPr>
                <w:b/>
              </w:rPr>
            </w:pPr>
            <w:r>
              <w:rPr>
                <w:b/>
              </w:rPr>
              <w:t>£m</w:t>
            </w:r>
          </w:p>
        </w:tc>
        <w:tc>
          <w:tcPr>
            <w:tcW w:w="956" w:type="dxa"/>
            <w:tcBorders>
              <w:left w:val="single" w:sz="4" w:space="0" w:color="auto"/>
              <w:bottom w:val="single" w:sz="4" w:space="0" w:color="auto"/>
              <w:right w:val="single" w:sz="4" w:space="0" w:color="auto"/>
            </w:tcBorders>
          </w:tcPr>
          <w:p w14:paraId="4472CF42" w14:textId="77777777" w:rsidR="00421D81" w:rsidRDefault="00421D81" w:rsidP="00F51BBE">
            <w:pPr>
              <w:jc w:val="center"/>
              <w:rPr>
                <w:b/>
              </w:rPr>
            </w:pPr>
            <w:r>
              <w:rPr>
                <w:b/>
              </w:rPr>
              <w:t>£m</w:t>
            </w:r>
          </w:p>
        </w:tc>
        <w:tc>
          <w:tcPr>
            <w:tcW w:w="956" w:type="dxa"/>
            <w:tcBorders>
              <w:left w:val="single" w:sz="4" w:space="0" w:color="auto"/>
              <w:bottom w:val="single" w:sz="4" w:space="0" w:color="auto"/>
              <w:right w:val="single" w:sz="4" w:space="0" w:color="auto"/>
            </w:tcBorders>
          </w:tcPr>
          <w:p w14:paraId="0385F88A" w14:textId="77777777" w:rsidR="00421D81" w:rsidRDefault="00421D81" w:rsidP="00F51BBE">
            <w:pPr>
              <w:jc w:val="center"/>
              <w:rPr>
                <w:b/>
              </w:rPr>
            </w:pPr>
            <w:r>
              <w:rPr>
                <w:b/>
              </w:rPr>
              <w:t>£m</w:t>
            </w:r>
          </w:p>
        </w:tc>
      </w:tr>
      <w:tr w:rsidR="00421D81" w14:paraId="057FAC92" w14:textId="77777777" w:rsidTr="00F51BBE">
        <w:trPr>
          <w:trHeight w:val="330"/>
        </w:trPr>
        <w:tc>
          <w:tcPr>
            <w:tcW w:w="5097" w:type="dxa"/>
            <w:tcBorders>
              <w:top w:val="single" w:sz="4" w:space="0" w:color="auto"/>
              <w:left w:val="single" w:sz="4" w:space="0" w:color="auto"/>
              <w:right w:val="single" w:sz="4" w:space="0" w:color="auto"/>
            </w:tcBorders>
          </w:tcPr>
          <w:p w14:paraId="1C0C88B6" w14:textId="77777777" w:rsidR="00421D81" w:rsidRDefault="00421D81" w:rsidP="00F51BBE">
            <w:pPr>
              <w:rPr>
                <w:rFonts w:eastAsia="Arial Unicode MS"/>
                <w:bCs/>
              </w:rPr>
            </w:pPr>
            <w:r>
              <w:rPr>
                <w:bCs/>
              </w:rPr>
              <w:t xml:space="preserve">Authorised limit for external debt - </w:t>
            </w:r>
          </w:p>
        </w:tc>
        <w:tc>
          <w:tcPr>
            <w:tcW w:w="956" w:type="dxa"/>
            <w:tcBorders>
              <w:top w:val="single" w:sz="4" w:space="0" w:color="auto"/>
              <w:left w:val="single" w:sz="4" w:space="0" w:color="auto"/>
              <w:right w:val="single" w:sz="4" w:space="0" w:color="auto"/>
            </w:tcBorders>
          </w:tcPr>
          <w:p w14:paraId="27E57C92" w14:textId="77777777" w:rsidR="00421D81" w:rsidRDefault="00421D81" w:rsidP="00F51BBE">
            <w:pPr>
              <w:jc w:val="center"/>
              <w:rPr>
                <w:rFonts w:eastAsia="Arial Unicode MS"/>
                <w:bCs/>
              </w:rPr>
            </w:pPr>
          </w:p>
        </w:tc>
        <w:tc>
          <w:tcPr>
            <w:tcW w:w="956" w:type="dxa"/>
            <w:tcBorders>
              <w:top w:val="single" w:sz="4" w:space="0" w:color="auto"/>
              <w:left w:val="single" w:sz="4" w:space="0" w:color="auto"/>
              <w:right w:val="single" w:sz="4" w:space="0" w:color="auto"/>
            </w:tcBorders>
          </w:tcPr>
          <w:p w14:paraId="29E8A756" w14:textId="77777777" w:rsidR="00421D81" w:rsidRDefault="00421D81" w:rsidP="00F51BBE">
            <w:pPr>
              <w:jc w:val="center"/>
              <w:rPr>
                <w:rFonts w:eastAsia="Arial Unicode MS"/>
                <w:bCs/>
              </w:rPr>
            </w:pPr>
          </w:p>
        </w:tc>
        <w:tc>
          <w:tcPr>
            <w:tcW w:w="956" w:type="dxa"/>
            <w:tcBorders>
              <w:top w:val="single" w:sz="4" w:space="0" w:color="auto"/>
              <w:left w:val="single" w:sz="4" w:space="0" w:color="auto"/>
              <w:right w:val="single" w:sz="4" w:space="0" w:color="auto"/>
            </w:tcBorders>
          </w:tcPr>
          <w:p w14:paraId="5D684DDB" w14:textId="77777777" w:rsidR="00421D81" w:rsidRDefault="00421D81" w:rsidP="00F51BBE">
            <w:pPr>
              <w:jc w:val="center"/>
              <w:rPr>
                <w:rFonts w:eastAsia="Arial Unicode MS"/>
                <w:bCs/>
              </w:rPr>
            </w:pPr>
            <w:r>
              <w:rPr>
                <w:bCs/>
              </w:rPr>
              <w:t> </w:t>
            </w:r>
          </w:p>
        </w:tc>
      </w:tr>
      <w:tr w:rsidR="00421D81" w14:paraId="28236C1C" w14:textId="77777777" w:rsidTr="00F51BBE">
        <w:trPr>
          <w:trHeight w:val="330"/>
        </w:trPr>
        <w:tc>
          <w:tcPr>
            <w:tcW w:w="5097" w:type="dxa"/>
            <w:tcBorders>
              <w:left w:val="single" w:sz="4" w:space="0" w:color="auto"/>
              <w:right w:val="single" w:sz="4" w:space="0" w:color="auto"/>
            </w:tcBorders>
          </w:tcPr>
          <w:p w14:paraId="0E0C00A2" w14:textId="77777777" w:rsidR="00421D81" w:rsidRDefault="00421D81" w:rsidP="00F51BBE">
            <w:pPr>
              <w:rPr>
                <w:rFonts w:eastAsia="Arial Unicode MS"/>
                <w:bCs/>
              </w:rPr>
            </w:pPr>
            <w:r>
              <w:rPr>
                <w:bCs/>
              </w:rPr>
              <w:t xml:space="preserve">    Borrowing</w:t>
            </w:r>
          </w:p>
        </w:tc>
        <w:tc>
          <w:tcPr>
            <w:tcW w:w="956" w:type="dxa"/>
            <w:tcBorders>
              <w:left w:val="single" w:sz="4" w:space="0" w:color="auto"/>
              <w:right w:val="single" w:sz="4" w:space="0" w:color="auto"/>
            </w:tcBorders>
          </w:tcPr>
          <w:p w14:paraId="7D81050A" w14:textId="77777777" w:rsidR="00421D81" w:rsidRPr="001E477B" w:rsidRDefault="00421D81" w:rsidP="00F51BBE">
            <w:pPr>
              <w:jc w:val="center"/>
              <w:rPr>
                <w:rFonts w:eastAsia="Arial Unicode MS"/>
                <w:bCs/>
              </w:rPr>
            </w:pPr>
            <w:r>
              <w:rPr>
                <w:rFonts w:eastAsia="Arial Unicode MS"/>
                <w:bCs/>
              </w:rPr>
              <w:t>125</w:t>
            </w:r>
            <w:r w:rsidRPr="001E477B">
              <w:rPr>
                <w:rFonts w:eastAsia="Arial Unicode MS"/>
                <w:bCs/>
              </w:rPr>
              <w:t>.0</w:t>
            </w:r>
          </w:p>
        </w:tc>
        <w:tc>
          <w:tcPr>
            <w:tcW w:w="956" w:type="dxa"/>
            <w:tcBorders>
              <w:left w:val="single" w:sz="4" w:space="0" w:color="auto"/>
              <w:right w:val="single" w:sz="4" w:space="0" w:color="auto"/>
            </w:tcBorders>
          </w:tcPr>
          <w:p w14:paraId="59AB47B1" w14:textId="77777777" w:rsidR="00421D81" w:rsidRPr="001E477B" w:rsidRDefault="00421D81" w:rsidP="00F51BBE">
            <w:pPr>
              <w:jc w:val="center"/>
              <w:rPr>
                <w:rFonts w:eastAsia="Arial Unicode MS"/>
                <w:bCs/>
              </w:rPr>
            </w:pPr>
            <w:r>
              <w:rPr>
                <w:rFonts w:eastAsia="Arial Unicode MS"/>
                <w:bCs/>
              </w:rPr>
              <w:t>130.0</w:t>
            </w:r>
          </w:p>
        </w:tc>
        <w:tc>
          <w:tcPr>
            <w:tcW w:w="956" w:type="dxa"/>
            <w:tcBorders>
              <w:left w:val="single" w:sz="4" w:space="0" w:color="auto"/>
              <w:right w:val="single" w:sz="4" w:space="0" w:color="auto"/>
            </w:tcBorders>
          </w:tcPr>
          <w:p w14:paraId="1AEA4345" w14:textId="77777777" w:rsidR="00421D81" w:rsidRPr="001E477B" w:rsidRDefault="00421D81" w:rsidP="00F51BBE">
            <w:pPr>
              <w:jc w:val="center"/>
              <w:rPr>
                <w:rFonts w:eastAsia="Arial Unicode MS"/>
                <w:bCs/>
              </w:rPr>
            </w:pPr>
            <w:r w:rsidRPr="001E477B">
              <w:rPr>
                <w:rFonts w:eastAsia="Arial Unicode MS"/>
                <w:bCs/>
              </w:rPr>
              <w:t>1</w:t>
            </w:r>
            <w:r>
              <w:rPr>
                <w:rFonts w:eastAsia="Arial Unicode MS"/>
                <w:bCs/>
              </w:rPr>
              <w:t>3</w:t>
            </w:r>
            <w:r w:rsidRPr="001E477B">
              <w:rPr>
                <w:rFonts w:eastAsia="Arial Unicode MS"/>
                <w:bCs/>
              </w:rPr>
              <w:t>0.0</w:t>
            </w:r>
          </w:p>
        </w:tc>
      </w:tr>
      <w:tr w:rsidR="00421D81" w14:paraId="5619046D" w14:textId="77777777" w:rsidTr="00F51BBE">
        <w:trPr>
          <w:trHeight w:val="330"/>
        </w:trPr>
        <w:tc>
          <w:tcPr>
            <w:tcW w:w="5097" w:type="dxa"/>
            <w:tcBorders>
              <w:top w:val="single" w:sz="4" w:space="0" w:color="auto"/>
              <w:left w:val="single" w:sz="4" w:space="0" w:color="auto"/>
              <w:right w:val="single" w:sz="4" w:space="0" w:color="auto"/>
            </w:tcBorders>
          </w:tcPr>
          <w:p w14:paraId="71F730EE" w14:textId="77777777" w:rsidR="00421D81" w:rsidRDefault="00421D81" w:rsidP="00F51BBE">
            <w:pPr>
              <w:rPr>
                <w:rFonts w:eastAsia="Arial Unicode MS"/>
                <w:bCs/>
              </w:rPr>
            </w:pPr>
            <w:r>
              <w:rPr>
                <w:bCs/>
              </w:rPr>
              <w:t xml:space="preserve">Operational boundary - </w:t>
            </w:r>
          </w:p>
        </w:tc>
        <w:tc>
          <w:tcPr>
            <w:tcW w:w="956" w:type="dxa"/>
            <w:tcBorders>
              <w:top w:val="single" w:sz="4" w:space="0" w:color="auto"/>
              <w:left w:val="single" w:sz="4" w:space="0" w:color="auto"/>
              <w:right w:val="single" w:sz="4" w:space="0" w:color="auto"/>
            </w:tcBorders>
          </w:tcPr>
          <w:p w14:paraId="331D1498" w14:textId="77777777" w:rsidR="00421D81" w:rsidRPr="001E477B" w:rsidRDefault="00421D81" w:rsidP="00F51BBE">
            <w:pPr>
              <w:jc w:val="center"/>
              <w:rPr>
                <w:rFonts w:eastAsia="Arial Unicode MS"/>
                <w:bCs/>
              </w:rPr>
            </w:pPr>
          </w:p>
        </w:tc>
        <w:tc>
          <w:tcPr>
            <w:tcW w:w="956" w:type="dxa"/>
            <w:tcBorders>
              <w:top w:val="single" w:sz="4" w:space="0" w:color="auto"/>
              <w:left w:val="single" w:sz="4" w:space="0" w:color="auto"/>
              <w:right w:val="single" w:sz="4" w:space="0" w:color="auto"/>
            </w:tcBorders>
          </w:tcPr>
          <w:p w14:paraId="7DABE80D" w14:textId="77777777" w:rsidR="00421D81" w:rsidRPr="001E477B" w:rsidRDefault="00421D81" w:rsidP="00F51BBE">
            <w:pPr>
              <w:jc w:val="center"/>
              <w:rPr>
                <w:rFonts w:eastAsia="Arial Unicode MS"/>
                <w:bCs/>
              </w:rPr>
            </w:pPr>
          </w:p>
        </w:tc>
        <w:tc>
          <w:tcPr>
            <w:tcW w:w="956" w:type="dxa"/>
            <w:tcBorders>
              <w:top w:val="single" w:sz="4" w:space="0" w:color="auto"/>
              <w:left w:val="single" w:sz="4" w:space="0" w:color="auto"/>
              <w:right w:val="single" w:sz="4" w:space="0" w:color="auto"/>
            </w:tcBorders>
          </w:tcPr>
          <w:p w14:paraId="46F23CF3" w14:textId="77777777" w:rsidR="00421D81" w:rsidRPr="001E477B" w:rsidRDefault="00421D81" w:rsidP="00F51BBE">
            <w:pPr>
              <w:jc w:val="center"/>
              <w:rPr>
                <w:rFonts w:eastAsia="Arial Unicode MS"/>
                <w:bCs/>
                <w:color w:val="FF0000"/>
              </w:rPr>
            </w:pPr>
          </w:p>
        </w:tc>
      </w:tr>
      <w:tr w:rsidR="00421D81" w14:paraId="6E79235F" w14:textId="77777777" w:rsidTr="00F51BBE">
        <w:trPr>
          <w:trHeight w:val="330"/>
        </w:trPr>
        <w:tc>
          <w:tcPr>
            <w:tcW w:w="5097" w:type="dxa"/>
            <w:tcBorders>
              <w:left w:val="single" w:sz="4" w:space="0" w:color="auto"/>
              <w:bottom w:val="single" w:sz="4" w:space="0" w:color="auto"/>
              <w:right w:val="single" w:sz="4" w:space="0" w:color="auto"/>
            </w:tcBorders>
          </w:tcPr>
          <w:p w14:paraId="18CBB4BF" w14:textId="77777777" w:rsidR="00421D81" w:rsidRDefault="00421D81" w:rsidP="00F51BBE">
            <w:pPr>
              <w:rPr>
                <w:rFonts w:eastAsia="Arial Unicode MS"/>
                <w:bCs/>
              </w:rPr>
            </w:pPr>
            <w:r>
              <w:rPr>
                <w:bCs/>
              </w:rPr>
              <w:t xml:space="preserve">     Borrowing</w:t>
            </w:r>
          </w:p>
        </w:tc>
        <w:tc>
          <w:tcPr>
            <w:tcW w:w="956" w:type="dxa"/>
            <w:tcBorders>
              <w:left w:val="single" w:sz="4" w:space="0" w:color="auto"/>
              <w:bottom w:val="single" w:sz="4" w:space="0" w:color="auto"/>
              <w:right w:val="single" w:sz="4" w:space="0" w:color="auto"/>
            </w:tcBorders>
          </w:tcPr>
          <w:p w14:paraId="59E1D37C" w14:textId="77777777" w:rsidR="00421D81" w:rsidRPr="001E477B" w:rsidRDefault="00421D81" w:rsidP="00F51BBE">
            <w:pPr>
              <w:jc w:val="center"/>
              <w:rPr>
                <w:rFonts w:eastAsia="Arial Unicode MS"/>
                <w:bCs/>
              </w:rPr>
            </w:pPr>
            <w:r>
              <w:rPr>
                <w:rFonts w:eastAsia="Arial Unicode MS"/>
                <w:bCs/>
              </w:rPr>
              <w:t>120</w:t>
            </w:r>
            <w:r w:rsidRPr="001E477B">
              <w:rPr>
                <w:rFonts w:eastAsia="Arial Unicode MS"/>
                <w:bCs/>
              </w:rPr>
              <w:t>.0</w:t>
            </w:r>
          </w:p>
        </w:tc>
        <w:tc>
          <w:tcPr>
            <w:tcW w:w="956" w:type="dxa"/>
            <w:tcBorders>
              <w:left w:val="single" w:sz="4" w:space="0" w:color="auto"/>
              <w:bottom w:val="single" w:sz="4" w:space="0" w:color="auto"/>
              <w:right w:val="single" w:sz="4" w:space="0" w:color="auto"/>
            </w:tcBorders>
          </w:tcPr>
          <w:p w14:paraId="477B1C8E" w14:textId="77777777" w:rsidR="00421D81" w:rsidRPr="001E477B" w:rsidRDefault="00421D81" w:rsidP="00F51BBE">
            <w:pPr>
              <w:jc w:val="center"/>
              <w:rPr>
                <w:rFonts w:eastAsia="Arial Unicode MS"/>
                <w:bCs/>
              </w:rPr>
            </w:pPr>
            <w:r>
              <w:rPr>
                <w:rFonts w:eastAsia="Arial Unicode MS"/>
                <w:bCs/>
              </w:rPr>
              <w:t>125</w:t>
            </w:r>
            <w:r w:rsidRPr="001E477B">
              <w:rPr>
                <w:rFonts w:eastAsia="Arial Unicode MS"/>
                <w:bCs/>
              </w:rPr>
              <w:t>.0</w:t>
            </w:r>
          </w:p>
        </w:tc>
        <w:tc>
          <w:tcPr>
            <w:tcW w:w="956" w:type="dxa"/>
            <w:tcBorders>
              <w:left w:val="single" w:sz="4" w:space="0" w:color="auto"/>
              <w:bottom w:val="single" w:sz="4" w:space="0" w:color="auto"/>
              <w:right w:val="single" w:sz="4" w:space="0" w:color="auto"/>
            </w:tcBorders>
          </w:tcPr>
          <w:p w14:paraId="59034BA0" w14:textId="77777777" w:rsidR="00421D81" w:rsidRPr="001E477B" w:rsidRDefault="00421D81" w:rsidP="00F51BBE">
            <w:pPr>
              <w:jc w:val="center"/>
              <w:rPr>
                <w:rFonts w:eastAsia="Arial Unicode MS"/>
                <w:bCs/>
              </w:rPr>
            </w:pPr>
            <w:r>
              <w:rPr>
                <w:rFonts w:eastAsia="Arial Unicode MS"/>
                <w:bCs/>
              </w:rPr>
              <w:t>125</w:t>
            </w:r>
            <w:r w:rsidRPr="001E477B">
              <w:rPr>
                <w:rFonts w:eastAsia="Arial Unicode MS"/>
                <w:bCs/>
              </w:rPr>
              <w:t>.0</w:t>
            </w:r>
          </w:p>
        </w:tc>
      </w:tr>
    </w:tbl>
    <w:p w14:paraId="384EE315" w14:textId="77777777" w:rsidR="00421D81" w:rsidRDefault="00421D81" w:rsidP="00421D81">
      <w:pPr>
        <w:pStyle w:val="BodyTextIndent"/>
        <w:spacing w:after="0"/>
        <w:ind w:left="1440" w:hanging="720"/>
        <w:rPr>
          <w:rFonts w:ascii="Arial" w:hAnsi="Arial"/>
          <w:b/>
          <w:bCs/>
        </w:rPr>
      </w:pPr>
    </w:p>
    <w:p w14:paraId="456A61F0" w14:textId="77777777" w:rsidR="00421D81" w:rsidRDefault="00421D81" w:rsidP="00421D81">
      <w:pPr>
        <w:pStyle w:val="BodyTextIndent"/>
        <w:spacing w:after="0"/>
        <w:ind w:left="643"/>
        <w:jc w:val="both"/>
        <w:rPr>
          <w:rFonts w:ascii="Arial" w:hAnsi="Arial"/>
          <w:bCs/>
        </w:rPr>
      </w:pPr>
      <w:r w:rsidRPr="00D201B4">
        <w:rPr>
          <w:rFonts w:ascii="Arial" w:hAnsi="Arial"/>
          <w:bCs/>
        </w:rPr>
        <w:t>The C</w:t>
      </w:r>
      <w:r>
        <w:rPr>
          <w:rFonts w:ascii="Arial" w:hAnsi="Arial"/>
          <w:bCs/>
        </w:rPr>
        <w:t>ommissioner</w:t>
      </w:r>
      <w:r w:rsidRPr="00D201B4">
        <w:rPr>
          <w:rFonts w:ascii="Arial" w:hAnsi="Arial"/>
          <w:bCs/>
        </w:rPr>
        <w:t xml:space="preserve">’s actual external debt as at </w:t>
      </w:r>
      <w:r>
        <w:rPr>
          <w:rFonts w:ascii="Arial" w:hAnsi="Arial"/>
          <w:bCs/>
        </w:rPr>
        <w:t>31/03/21</w:t>
      </w:r>
      <w:r w:rsidRPr="00D201B4">
        <w:rPr>
          <w:rFonts w:ascii="Arial" w:hAnsi="Arial"/>
          <w:bCs/>
        </w:rPr>
        <w:t xml:space="preserve"> is </w:t>
      </w:r>
      <w:r>
        <w:rPr>
          <w:rFonts w:ascii="Arial" w:hAnsi="Arial"/>
          <w:bCs/>
        </w:rPr>
        <w:t xml:space="preserve">currently expected to be </w:t>
      </w:r>
      <w:r w:rsidRPr="00D201B4">
        <w:rPr>
          <w:rFonts w:ascii="Arial" w:hAnsi="Arial"/>
          <w:bCs/>
        </w:rPr>
        <w:t>£</w:t>
      </w:r>
      <w:r>
        <w:rPr>
          <w:rFonts w:ascii="Arial" w:hAnsi="Arial"/>
          <w:bCs/>
        </w:rPr>
        <w:t>94.5</w:t>
      </w:r>
      <w:r w:rsidRPr="00D201B4">
        <w:rPr>
          <w:rFonts w:ascii="Arial" w:hAnsi="Arial"/>
          <w:bCs/>
        </w:rPr>
        <w:t>m, excluding</w:t>
      </w:r>
      <w:r>
        <w:rPr>
          <w:rFonts w:ascii="Arial" w:hAnsi="Arial"/>
          <w:bCs/>
        </w:rPr>
        <w:t xml:space="preserve"> t</w:t>
      </w:r>
      <w:r w:rsidRPr="00D201B4">
        <w:rPr>
          <w:rFonts w:ascii="Arial" w:hAnsi="Arial"/>
          <w:bCs/>
        </w:rPr>
        <w:t>ransferred debt</w:t>
      </w:r>
      <w:r>
        <w:rPr>
          <w:rFonts w:ascii="Arial" w:hAnsi="Arial"/>
          <w:bCs/>
        </w:rPr>
        <w:t xml:space="preserve"> </w:t>
      </w:r>
      <w:r w:rsidRPr="00D201B4">
        <w:rPr>
          <w:rFonts w:ascii="Arial" w:hAnsi="Arial"/>
          <w:bCs/>
        </w:rPr>
        <w:t>managed by Dudley M.B.C.</w:t>
      </w:r>
    </w:p>
    <w:p w14:paraId="1D3C0EB4" w14:textId="77777777" w:rsidR="00421D81" w:rsidRDefault="00421D81" w:rsidP="00421D81">
      <w:pPr>
        <w:pStyle w:val="BodyTextIndent"/>
        <w:spacing w:after="0"/>
        <w:jc w:val="both"/>
        <w:rPr>
          <w:b/>
          <w:bCs/>
        </w:rPr>
      </w:pPr>
    </w:p>
    <w:p w14:paraId="240CD30E" w14:textId="77777777" w:rsidR="00421D81" w:rsidRPr="00D201B4" w:rsidRDefault="00421D81" w:rsidP="00421D81">
      <w:pPr>
        <w:pStyle w:val="BodyTextIndent"/>
        <w:spacing w:after="0"/>
        <w:ind w:left="720" w:hanging="11"/>
        <w:jc w:val="both"/>
        <w:rPr>
          <w:b/>
          <w:bCs/>
          <w:i/>
        </w:rPr>
      </w:pPr>
      <w:r w:rsidRPr="00D201B4">
        <w:rPr>
          <w:rFonts w:ascii="Arial" w:hAnsi="Arial"/>
          <w:b/>
        </w:rPr>
        <w:t>CIPFA Code of Practice for Treasury Management in the Public Services</w:t>
      </w:r>
      <w:r w:rsidRPr="00D201B4">
        <w:rPr>
          <w:rFonts w:ascii="Arial" w:hAnsi="Arial"/>
          <w:b/>
        </w:rPr>
        <w:tab/>
      </w:r>
    </w:p>
    <w:p w14:paraId="1B097463" w14:textId="77777777" w:rsidR="00421D81" w:rsidRPr="00D201B4" w:rsidRDefault="00421D81" w:rsidP="00421D81">
      <w:pPr>
        <w:pStyle w:val="BodyTextIndent"/>
        <w:spacing w:after="0"/>
        <w:ind w:left="720" w:hanging="720"/>
        <w:jc w:val="both"/>
        <w:rPr>
          <w:rFonts w:ascii="Arial" w:hAnsi="Arial"/>
          <w:bCs/>
        </w:rPr>
      </w:pPr>
      <w:r>
        <w:rPr>
          <w:b/>
          <w:bCs/>
          <w:i/>
        </w:rPr>
        <w:tab/>
      </w:r>
      <w:r w:rsidRPr="00D201B4">
        <w:rPr>
          <w:rFonts w:ascii="Arial" w:hAnsi="Arial"/>
          <w:bCs/>
        </w:rPr>
        <w:t>The C</w:t>
      </w:r>
      <w:r>
        <w:rPr>
          <w:rFonts w:ascii="Arial" w:hAnsi="Arial"/>
          <w:bCs/>
        </w:rPr>
        <w:t>ommissioner</w:t>
      </w:r>
      <w:r w:rsidRPr="00D201B4">
        <w:rPr>
          <w:rFonts w:ascii="Arial" w:hAnsi="Arial"/>
          <w:bCs/>
        </w:rPr>
        <w:t xml:space="preserve"> continues to adopt the CIPFA Code of Practice for Treasury Management in the Public Services first adopted by the Police Authority in March 2002.</w:t>
      </w:r>
    </w:p>
    <w:p w14:paraId="54C2CB90" w14:textId="77777777" w:rsidR="00421D81" w:rsidRDefault="00421D81" w:rsidP="00421D81">
      <w:pPr>
        <w:pStyle w:val="BodyTextIndent"/>
        <w:ind w:left="720" w:hanging="720"/>
        <w:jc w:val="both"/>
        <w:rPr>
          <w:b/>
          <w:bCs/>
          <w:i/>
        </w:rPr>
      </w:pPr>
    </w:p>
    <w:p w14:paraId="500825BC" w14:textId="77777777" w:rsidR="00421D81" w:rsidRPr="00D201B4" w:rsidRDefault="00421D81" w:rsidP="00421D81">
      <w:pPr>
        <w:pStyle w:val="BodyTextIndent"/>
        <w:spacing w:after="0"/>
        <w:ind w:left="720"/>
        <w:jc w:val="both"/>
        <w:rPr>
          <w:b/>
          <w:bCs/>
          <w:i/>
        </w:rPr>
      </w:pPr>
      <w:r w:rsidRPr="00D201B4">
        <w:rPr>
          <w:rFonts w:ascii="Arial" w:hAnsi="Arial"/>
          <w:b/>
        </w:rPr>
        <w:t>Interest rate exposures</w:t>
      </w:r>
    </w:p>
    <w:p w14:paraId="639C6FA4" w14:textId="77777777" w:rsidR="00421D81" w:rsidRPr="00D201B4" w:rsidRDefault="00421D81" w:rsidP="00421D81">
      <w:pPr>
        <w:pStyle w:val="BodyTextIndent"/>
        <w:spacing w:after="0"/>
        <w:ind w:left="720" w:hanging="720"/>
        <w:jc w:val="both"/>
        <w:rPr>
          <w:rFonts w:ascii="Arial" w:hAnsi="Arial"/>
          <w:bCs/>
        </w:rPr>
      </w:pPr>
      <w:r>
        <w:rPr>
          <w:b/>
          <w:bCs/>
          <w:i/>
        </w:rPr>
        <w:tab/>
      </w:r>
      <w:r w:rsidRPr="00D201B4">
        <w:rPr>
          <w:rFonts w:ascii="Arial" w:hAnsi="Arial"/>
          <w:bCs/>
        </w:rPr>
        <w:t>These indicators allow the C</w:t>
      </w:r>
      <w:r>
        <w:rPr>
          <w:rFonts w:ascii="Arial" w:hAnsi="Arial"/>
          <w:bCs/>
        </w:rPr>
        <w:t xml:space="preserve">ommissioner to manage the extent to which </w:t>
      </w:r>
      <w:r w:rsidRPr="00D201B4">
        <w:rPr>
          <w:rFonts w:ascii="Arial" w:hAnsi="Arial"/>
          <w:bCs/>
        </w:rPr>
        <w:t xml:space="preserve">he </w:t>
      </w:r>
      <w:r>
        <w:rPr>
          <w:rFonts w:ascii="Arial" w:hAnsi="Arial"/>
          <w:bCs/>
        </w:rPr>
        <w:t xml:space="preserve">is </w:t>
      </w:r>
      <w:r w:rsidRPr="00D201B4">
        <w:rPr>
          <w:rFonts w:ascii="Arial" w:hAnsi="Arial"/>
          <w:bCs/>
        </w:rPr>
        <w:t>expose</w:t>
      </w:r>
      <w:r>
        <w:rPr>
          <w:rFonts w:ascii="Arial" w:hAnsi="Arial"/>
          <w:bCs/>
        </w:rPr>
        <w:t xml:space="preserve">d to changes in interest rates. </w:t>
      </w:r>
      <w:r w:rsidRPr="00D201B4">
        <w:rPr>
          <w:rFonts w:ascii="Arial" w:hAnsi="Arial"/>
          <w:bCs/>
        </w:rPr>
        <w:t>The upper limit for fixed interest reflects the fact that it is possible to construct a prudent treasury strategy on the basis of using only fixed rate debt and investments, so long as the maturity dates of these debts and inv</w:t>
      </w:r>
      <w:r>
        <w:rPr>
          <w:rFonts w:ascii="Arial" w:hAnsi="Arial"/>
          <w:bCs/>
        </w:rPr>
        <w:t xml:space="preserve">estments are reasonably spread. </w:t>
      </w:r>
      <w:r w:rsidRPr="00D201B4">
        <w:rPr>
          <w:rFonts w:ascii="Arial" w:hAnsi="Arial"/>
          <w:bCs/>
        </w:rPr>
        <w:t>The same does not apply to variable rates where a 100% exposure could lead to significant year on year fl</w:t>
      </w:r>
      <w:r>
        <w:rPr>
          <w:rFonts w:ascii="Arial" w:hAnsi="Arial"/>
          <w:bCs/>
        </w:rPr>
        <w:t xml:space="preserve">uctuations in the cost of debt. </w:t>
      </w:r>
      <w:r w:rsidRPr="00D201B4">
        <w:rPr>
          <w:rFonts w:ascii="Arial" w:hAnsi="Arial"/>
          <w:bCs/>
        </w:rPr>
        <w:t>The upper</w:t>
      </w:r>
      <w:r w:rsidRPr="00D201B4">
        <w:rPr>
          <w:rFonts w:ascii="Arial" w:hAnsi="Arial"/>
        </w:rPr>
        <w:t xml:space="preserve"> </w:t>
      </w:r>
      <w:r w:rsidRPr="00D201B4">
        <w:rPr>
          <w:rFonts w:ascii="Arial" w:hAnsi="Arial"/>
          <w:bCs/>
        </w:rPr>
        <w:t>limit</w:t>
      </w:r>
      <w:r w:rsidRPr="00D201B4">
        <w:rPr>
          <w:rFonts w:ascii="Arial" w:hAnsi="Arial"/>
        </w:rPr>
        <w:t xml:space="preserve"> </w:t>
      </w:r>
      <w:r w:rsidRPr="00D201B4">
        <w:rPr>
          <w:rFonts w:ascii="Arial" w:hAnsi="Arial"/>
          <w:bCs/>
        </w:rPr>
        <w:t>for variable rate exposure allows for the use of variable rate debt to offset the exposure to changes in short-term rates o</w:t>
      </w:r>
      <w:r>
        <w:rPr>
          <w:rFonts w:ascii="Arial" w:hAnsi="Arial"/>
          <w:bCs/>
        </w:rPr>
        <w:t xml:space="preserve">n the portfolio of investments. </w:t>
      </w:r>
      <w:r w:rsidRPr="00D201B4">
        <w:rPr>
          <w:rFonts w:ascii="Arial" w:hAnsi="Arial"/>
          <w:bCs/>
        </w:rPr>
        <w:t>This limit reduces over time as the strategy is to gradually reduce the level of investments.</w:t>
      </w:r>
    </w:p>
    <w:p w14:paraId="0373D853" w14:textId="77777777" w:rsidR="00421D81" w:rsidRDefault="00421D81" w:rsidP="00421D81">
      <w:pPr>
        <w:pStyle w:val="BodyTextIndent"/>
        <w:ind w:left="720" w:hanging="720"/>
      </w:pPr>
    </w:p>
    <w:tbl>
      <w:tblPr>
        <w:tblW w:w="0" w:type="auto"/>
        <w:tblInd w:w="725" w:type="dxa"/>
        <w:tblLayout w:type="fixed"/>
        <w:tblCellMar>
          <w:left w:w="0" w:type="dxa"/>
          <w:right w:w="0" w:type="dxa"/>
        </w:tblCellMar>
        <w:tblLook w:val="0000" w:firstRow="0" w:lastRow="0" w:firstColumn="0" w:lastColumn="0" w:noHBand="0" w:noVBand="0"/>
      </w:tblPr>
      <w:tblGrid>
        <w:gridCol w:w="5400"/>
        <w:gridCol w:w="960"/>
        <w:gridCol w:w="960"/>
        <w:gridCol w:w="960"/>
      </w:tblGrid>
      <w:tr w:rsidR="00421D81" w14:paraId="7A266939" w14:textId="77777777" w:rsidTr="00F51BBE">
        <w:trPr>
          <w:cantSplit/>
          <w:trHeight w:val="330"/>
        </w:trPr>
        <w:tc>
          <w:tcPr>
            <w:tcW w:w="5400" w:type="dxa"/>
            <w:tcBorders>
              <w:top w:val="single" w:sz="4" w:space="0" w:color="auto"/>
              <w:left w:val="single" w:sz="4" w:space="0" w:color="auto"/>
              <w:bottom w:val="single" w:sz="4" w:space="0" w:color="auto"/>
              <w:right w:val="single" w:sz="4" w:space="0" w:color="auto"/>
            </w:tcBorders>
          </w:tcPr>
          <w:p w14:paraId="0E3E914B" w14:textId="77777777" w:rsidR="00421D81" w:rsidRDefault="00421D81" w:rsidP="00F51BBE">
            <w:pPr>
              <w:jc w:val="center"/>
              <w:rPr>
                <w:b/>
              </w:rPr>
            </w:pPr>
          </w:p>
        </w:tc>
        <w:tc>
          <w:tcPr>
            <w:tcW w:w="960" w:type="dxa"/>
            <w:tcBorders>
              <w:top w:val="single" w:sz="4" w:space="0" w:color="auto"/>
              <w:left w:val="single" w:sz="4" w:space="0" w:color="auto"/>
              <w:bottom w:val="single" w:sz="4" w:space="0" w:color="auto"/>
              <w:right w:val="single" w:sz="4" w:space="0" w:color="auto"/>
            </w:tcBorders>
          </w:tcPr>
          <w:p w14:paraId="11589303" w14:textId="77777777" w:rsidR="00421D81" w:rsidRDefault="00421D81" w:rsidP="00F51BBE">
            <w:pPr>
              <w:jc w:val="center"/>
              <w:rPr>
                <w:b/>
              </w:rPr>
            </w:pPr>
            <w:r>
              <w:rPr>
                <w:b/>
              </w:rPr>
              <w:t>2020/21</w:t>
            </w:r>
          </w:p>
          <w:p w14:paraId="0E0C8660" w14:textId="77777777" w:rsidR="00421D81" w:rsidRDefault="00421D81" w:rsidP="00F51BBE">
            <w:pPr>
              <w:jc w:val="center"/>
              <w:rPr>
                <w:rFonts w:eastAsia="Arial Unicode MS"/>
                <w:b/>
              </w:rPr>
            </w:pPr>
            <w:r>
              <w:rPr>
                <w:b/>
              </w:rPr>
              <w:t>%</w:t>
            </w:r>
          </w:p>
        </w:tc>
        <w:tc>
          <w:tcPr>
            <w:tcW w:w="960" w:type="dxa"/>
            <w:tcBorders>
              <w:top w:val="single" w:sz="4" w:space="0" w:color="auto"/>
              <w:left w:val="single" w:sz="4" w:space="0" w:color="auto"/>
              <w:bottom w:val="single" w:sz="4" w:space="0" w:color="auto"/>
              <w:right w:val="single" w:sz="4" w:space="0" w:color="auto"/>
            </w:tcBorders>
          </w:tcPr>
          <w:p w14:paraId="118BD1C4" w14:textId="77777777" w:rsidR="00421D81" w:rsidRDefault="00421D81" w:rsidP="00F51BBE">
            <w:pPr>
              <w:jc w:val="center"/>
              <w:rPr>
                <w:b/>
              </w:rPr>
            </w:pPr>
            <w:r>
              <w:rPr>
                <w:b/>
              </w:rPr>
              <w:t>2021/22</w:t>
            </w:r>
          </w:p>
          <w:p w14:paraId="3BFB0B38" w14:textId="77777777" w:rsidR="00421D81" w:rsidRDefault="00421D81" w:rsidP="00F51BBE">
            <w:pPr>
              <w:jc w:val="center"/>
              <w:rPr>
                <w:rFonts w:eastAsia="Arial Unicode MS"/>
                <w:b/>
              </w:rPr>
            </w:pPr>
            <w:r>
              <w:rPr>
                <w:b/>
              </w:rPr>
              <w:t>%</w:t>
            </w:r>
          </w:p>
        </w:tc>
        <w:tc>
          <w:tcPr>
            <w:tcW w:w="960" w:type="dxa"/>
            <w:tcBorders>
              <w:top w:val="single" w:sz="4" w:space="0" w:color="auto"/>
              <w:left w:val="single" w:sz="4" w:space="0" w:color="auto"/>
              <w:bottom w:val="single" w:sz="4" w:space="0" w:color="auto"/>
              <w:right w:val="single" w:sz="4" w:space="0" w:color="auto"/>
            </w:tcBorders>
          </w:tcPr>
          <w:p w14:paraId="28EA33F8" w14:textId="77777777" w:rsidR="00421D81" w:rsidRDefault="00421D81" w:rsidP="00F51BBE">
            <w:pPr>
              <w:jc w:val="center"/>
              <w:rPr>
                <w:b/>
              </w:rPr>
            </w:pPr>
            <w:r>
              <w:rPr>
                <w:b/>
              </w:rPr>
              <w:t>2022/23</w:t>
            </w:r>
          </w:p>
          <w:p w14:paraId="3BD875A7" w14:textId="77777777" w:rsidR="00421D81" w:rsidRDefault="00421D81" w:rsidP="00F51BBE">
            <w:pPr>
              <w:jc w:val="center"/>
              <w:rPr>
                <w:b/>
              </w:rPr>
            </w:pPr>
            <w:r>
              <w:rPr>
                <w:b/>
              </w:rPr>
              <w:t>%</w:t>
            </w:r>
          </w:p>
        </w:tc>
      </w:tr>
      <w:tr w:rsidR="00421D81" w14:paraId="0F4CEE00" w14:textId="77777777" w:rsidTr="00F51BBE">
        <w:trPr>
          <w:cantSplit/>
          <w:trHeight w:val="330"/>
        </w:trPr>
        <w:tc>
          <w:tcPr>
            <w:tcW w:w="5400" w:type="dxa"/>
            <w:tcBorders>
              <w:top w:val="single" w:sz="4" w:space="0" w:color="auto"/>
              <w:left w:val="single" w:sz="4" w:space="0" w:color="auto"/>
              <w:right w:val="single" w:sz="4" w:space="0" w:color="auto"/>
            </w:tcBorders>
          </w:tcPr>
          <w:p w14:paraId="2E9F9C94" w14:textId="77777777" w:rsidR="00421D81" w:rsidRPr="00190678" w:rsidRDefault="00421D81" w:rsidP="00F51BBE">
            <w:pPr>
              <w:pStyle w:val="Heading1"/>
              <w:spacing w:after="0"/>
              <w:rPr>
                <w:rFonts w:ascii="Arial" w:eastAsia="Arial Unicode MS" w:hAnsi="Arial"/>
                <w:sz w:val="22"/>
              </w:rPr>
            </w:pPr>
            <w:r w:rsidRPr="00190678">
              <w:rPr>
                <w:sz w:val="22"/>
              </w:rPr>
              <w:t xml:space="preserve"> </w:t>
            </w:r>
            <w:r w:rsidRPr="00190678">
              <w:rPr>
                <w:rFonts w:ascii="Arial" w:hAnsi="Arial"/>
                <w:sz w:val="22"/>
              </w:rPr>
              <w:t>Upper limit for fixed interest rate exposure</w:t>
            </w:r>
          </w:p>
        </w:tc>
        <w:tc>
          <w:tcPr>
            <w:tcW w:w="960" w:type="dxa"/>
            <w:tcBorders>
              <w:top w:val="single" w:sz="4" w:space="0" w:color="auto"/>
              <w:left w:val="single" w:sz="4" w:space="0" w:color="auto"/>
              <w:right w:val="single" w:sz="4" w:space="0" w:color="auto"/>
            </w:tcBorders>
          </w:tcPr>
          <w:p w14:paraId="3C46B0C2" w14:textId="77777777" w:rsidR="00421D81" w:rsidRDefault="00421D81" w:rsidP="00F51BBE">
            <w:pPr>
              <w:jc w:val="center"/>
              <w:rPr>
                <w:rFonts w:eastAsia="Arial Unicode MS"/>
              </w:rPr>
            </w:pPr>
          </w:p>
        </w:tc>
        <w:tc>
          <w:tcPr>
            <w:tcW w:w="960" w:type="dxa"/>
            <w:tcBorders>
              <w:top w:val="single" w:sz="4" w:space="0" w:color="auto"/>
              <w:left w:val="single" w:sz="4" w:space="0" w:color="auto"/>
              <w:right w:val="single" w:sz="4" w:space="0" w:color="auto"/>
            </w:tcBorders>
          </w:tcPr>
          <w:p w14:paraId="7EF7D7E4" w14:textId="77777777" w:rsidR="00421D81" w:rsidRDefault="00421D81" w:rsidP="00F51BBE">
            <w:pPr>
              <w:jc w:val="center"/>
              <w:rPr>
                <w:rFonts w:eastAsia="Arial Unicode MS"/>
              </w:rPr>
            </w:pPr>
          </w:p>
        </w:tc>
        <w:tc>
          <w:tcPr>
            <w:tcW w:w="960" w:type="dxa"/>
            <w:tcBorders>
              <w:top w:val="single" w:sz="4" w:space="0" w:color="auto"/>
              <w:left w:val="single" w:sz="4" w:space="0" w:color="auto"/>
              <w:right w:val="single" w:sz="4" w:space="0" w:color="auto"/>
            </w:tcBorders>
          </w:tcPr>
          <w:p w14:paraId="052248BB" w14:textId="77777777" w:rsidR="00421D81" w:rsidRDefault="00421D81" w:rsidP="00F51BBE">
            <w:pPr>
              <w:jc w:val="center"/>
              <w:rPr>
                <w:rFonts w:eastAsia="Arial Unicode MS"/>
              </w:rPr>
            </w:pPr>
            <w:r>
              <w:t> </w:t>
            </w:r>
          </w:p>
        </w:tc>
      </w:tr>
      <w:tr w:rsidR="00421D81" w14:paraId="5E8BA77E" w14:textId="77777777" w:rsidTr="00F51BBE">
        <w:trPr>
          <w:cantSplit/>
          <w:trHeight w:val="330"/>
        </w:trPr>
        <w:tc>
          <w:tcPr>
            <w:tcW w:w="5400" w:type="dxa"/>
            <w:tcBorders>
              <w:left w:val="single" w:sz="4" w:space="0" w:color="auto"/>
              <w:bottom w:val="single" w:sz="4" w:space="0" w:color="auto"/>
              <w:right w:val="single" w:sz="4" w:space="0" w:color="auto"/>
            </w:tcBorders>
          </w:tcPr>
          <w:p w14:paraId="15533518" w14:textId="77777777" w:rsidR="00421D81" w:rsidRDefault="00421D81" w:rsidP="00F51BBE">
            <w:pPr>
              <w:rPr>
                <w:rFonts w:eastAsia="Arial Unicode MS"/>
              </w:rPr>
            </w:pPr>
            <w:r>
              <w:t xml:space="preserve">     Net principal fixed rate borrowing / investments </w:t>
            </w:r>
          </w:p>
        </w:tc>
        <w:tc>
          <w:tcPr>
            <w:tcW w:w="960" w:type="dxa"/>
            <w:tcBorders>
              <w:left w:val="single" w:sz="4" w:space="0" w:color="auto"/>
              <w:bottom w:val="single" w:sz="4" w:space="0" w:color="auto"/>
              <w:right w:val="single" w:sz="4" w:space="0" w:color="auto"/>
            </w:tcBorders>
          </w:tcPr>
          <w:p w14:paraId="34288AF3" w14:textId="77777777" w:rsidR="00421D81" w:rsidRPr="001322A8" w:rsidRDefault="00421D81" w:rsidP="00F51BBE">
            <w:pPr>
              <w:jc w:val="center"/>
              <w:rPr>
                <w:rFonts w:eastAsia="Arial Unicode MS"/>
              </w:rPr>
            </w:pPr>
            <w:r w:rsidRPr="001322A8">
              <w:rPr>
                <w:rFonts w:eastAsia="Arial Unicode MS"/>
              </w:rPr>
              <w:t>100</w:t>
            </w:r>
          </w:p>
        </w:tc>
        <w:tc>
          <w:tcPr>
            <w:tcW w:w="960" w:type="dxa"/>
            <w:tcBorders>
              <w:left w:val="single" w:sz="4" w:space="0" w:color="auto"/>
              <w:bottom w:val="single" w:sz="4" w:space="0" w:color="auto"/>
              <w:right w:val="single" w:sz="4" w:space="0" w:color="auto"/>
            </w:tcBorders>
          </w:tcPr>
          <w:p w14:paraId="12674CB8" w14:textId="77777777" w:rsidR="00421D81" w:rsidRPr="001322A8" w:rsidRDefault="00421D81" w:rsidP="00F51BBE">
            <w:pPr>
              <w:jc w:val="center"/>
              <w:rPr>
                <w:rFonts w:eastAsia="Arial Unicode MS"/>
              </w:rPr>
            </w:pPr>
            <w:r w:rsidRPr="001322A8">
              <w:rPr>
                <w:rFonts w:eastAsia="Arial Unicode MS"/>
              </w:rPr>
              <w:t>100</w:t>
            </w:r>
          </w:p>
        </w:tc>
        <w:tc>
          <w:tcPr>
            <w:tcW w:w="960" w:type="dxa"/>
            <w:tcBorders>
              <w:left w:val="single" w:sz="4" w:space="0" w:color="auto"/>
              <w:bottom w:val="single" w:sz="4" w:space="0" w:color="auto"/>
              <w:right w:val="single" w:sz="4" w:space="0" w:color="auto"/>
            </w:tcBorders>
          </w:tcPr>
          <w:p w14:paraId="1FF6EA6A" w14:textId="77777777" w:rsidR="00421D81" w:rsidRPr="001322A8" w:rsidRDefault="00421D81" w:rsidP="00F51BBE">
            <w:pPr>
              <w:jc w:val="center"/>
              <w:rPr>
                <w:rFonts w:eastAsia="Arial Unicode MS"/>
              </w:rPr>
            </w:pPr>
            <w:r w:rsidRPr="001322A8">
              <w:rPr>
                <w:rFonts w:eastAsia="Arial Unicode MS"/>
              </w:rPr>
              <w:t>100</w:t>
            </w:r>
          </w:p>
        </w:tc>
      </w:tr>
      <w:tr w:rsidR="00421D81" w14:paraId="3C2CD316" w14:textId="77777777" w:rsidTr="00F51BBE">
        <w:trPr>
          <w:cantSplit/>
          <w:trHeight w:val="330"/>
        </w:trPr>
        <w:tc>
          <w:tcPr>
            <w:tcW w:w="5400" w:type="dxa"/>
            <w:tcBorders>
              <w:top w:val="single" w:sz="4" w:space="0" w:color="auto"/>
              <w:left w:val="single" w:sz="4" w:space="0" w:color="auto"/>
              <w:right w:val="single" w:sz="4" w:space="0" w:color="auto"/>
            </w:tcBorders>
          </w:tcPr>
          <w:p w14:paraId="2EA57573" w14:textId="77777777" w:rsidR="00421D81" w:rsidRDefault="00421D81" w:rsidP="00F51BBE">
            <w:pPr>
              <w:rPr>
                <w:rFonts w:eastAsia="Arial Unicode MS"/>
              </w:rPr>
            </w:pPr>
            <w:r>
              <w:rPr>
                <w:b/>
              </w:rPr>
              <w:t xml:space="preserve"> Upper limit for variable rate exposure</w:t>
            </w:r>
          </w:p>
        </w:tc>
        <w:tc>
          <w:tcPr>
            <w:tcW w:w="960" w:type="dxa"/>
            <w:tcBorders>
              <w:top w:val="single" w:sz="4" w:space="0" w:color="auto"/>
              <w:left w:val="single" w:sz="4" w:space="0" w:color="auto"/>
              <w:right w:val="single" w:sz="4" w:space="0" w:color="auto"/>
            </w:tcBorders>
          </w:tcPr>
          <w:p w14:paraId="1C978D1A" w14:textId="77777777" w:rsidR="00421D81" w:rsidRPr="001322A8" w:rsidRDefault="00421D81" w:rsidP="00F51BBE">
            <w:pPr>
              <w:jc w:val="center"/>
              <w:rPr>
                <w:rFonts w:eastAsia="Arial Unicode MS"/>
              </w:rPr>
            </w:pPr>
          </w:p>
        </w:tc>
        <w:tc>
          <w:tcPr>
            <w:tcW w:w="960" w:type="dxa"/>
            <w:tcBorders>
              <w:top w:val="single" w:sz="4" w:space="0" w:color="auto"/>
              <w:left w:val="single" w:sz="4" w:space="0" w:color="auto"/>
              <w:right w:val="single" w:sz="4" w:space="0" w:color="auto"/>
            </w:tcBorders>
          </w:tcPr>
          <w:p w14:paraId="7D0CED7E" w14:textId="77777777" w:rsidR="00421D81" w:rsidRPr="001322A8" w:rsidRDefault="00421D81" w:rsidP="00F51BBE">
            <w:pPr>
              <w:jc w:val="center"/>
              <w:rPr>
                <w:rFonts w:eastAsia="Arial Unicode MS"/>
              </w:rPr>
            </w:pPr>
          </w:p>
        </w:tc>
        <w:tc>
          <w:tcPr>
            <w:tcW w:w="960" w:type="dxa"/>
            <w:tcBorders>
              <w:top w:val="single" w:sz="4" w:space="0" w:color="auto"/>
              <w:left w:val="single" w:sz="4" w:space="0" w:color="auto"/>
              <w:right w:val="single" w:sz="4" w:space="0" w:color="auto"/>
            </w:tcBorders>
          </w:tcPr>
          <w:p w14:paraId="73FFECD0" w14:textId="77777777" w:rsidR="00421D81" w:rsidRPr="001322A8" w:rsidRDefault="00421D81" w:rsidP="00F51BBE">
            <w:pPr>
              <w:jc w:val="center"/>
              <w:rPr>
                <w:rFonts w:eastAsia="Arial Unicode MS"/>
              </w:rPr>
            </w:pPr>
          </w:p>
        </w:tc>
      </w:tr>
      <w:tr w:rsidR="00421D81" w14:paraId="50BB2AA6" w14:textId="77777777" w:rsidTr="00F51BBE">
        <w:trPr>
          <w:cantSplit/>
          <w:trHeight w:val="330"/>
        </w:trPr>
        <w:tc>
          <w:tcPr>
            <w:tcW w:w="5400" w:type="dxa"/>
            <w:tcBorders>
              <w:left w:val="single" w:sz="4" w:space="0" w:color="auto"/>
              <w:bottom w:val="single" w:sz="4" w:space="0" w:color="auto"/>
              <w:right w:val="single" w:sz="4" w:space="0" w:color="auto"/>
            </w:tcBorders>
          </w:tcPr>
          <w:p w14:paraId="1EAABFA5" w14:textId="77777777" w:rsidR="00421D81" w:rsidRDefault="00421D81" w:rsidP="00F51BBE">
            <w:pPr>
              <w:rPr>
                <w:rFonts w:eastAsia="Arial Unicode MS"/>
              </w:rPr>
            </w:pPr>
            <w:r>
              <w:t xml:space="preserve">     Net principal variable rate borrowing / investments</w:t>
            </w:r>
          </w:p>
        </w:tc>
        <w:tc>
          <w:tcPr>
            <w:tcW w:w="960" w:type="dxa"/>
            <w:tcBorders>
              <w:left w:val="single" w:sz="4" w:space="0" w:color="auto"/>
              <w:bottom w:val="single" w:sz="4" w:space="0" w:color="auto"/>
              <w:right w:val="single" w:sz="4" w:space="0" w:color="auto"/>
            </w:tcBorders>
          </w:tcPr>
          <w:p w14:paraId="1786EFD1" w14:textId="77777777" w:rsidR="00421D81" w:rsidRPr="001322A8" w:rsidRDefault="00421D81" w:rsidP="00F51BBE">
            <w:pPr>
              <w:jc w:val="center"/>
              <w:rPr>
                <w:rFonts w:eastAsia="Arial Unicode MS"/>
              </w:rPr>
            </w:pPr>
            <w:r w:rsidRPr="001322A8">
              <w:rPr>
                <w:rFonts w:eastAsia="Arial Unicode MS"/>
              </w:rPr>
              <w:t>20</w:t>
            </w:r>
          </w:p>
        </w:tc>
        <w:tc>
          <w:tcPr>
            <w:tcW w:w="960" w:type="dxa"/>
            <w:tcBorders>
              <w:left w:val="single" w:sz="4" w:space="0" w:color="auto"/>
              <w:bottom w:val="single" w:sz="4" w:space="0" w:color="auto"/>
              <w:right w:val="single" w:sz="4" w:space="0" w:color="auto"/>
            </w:tcBorders>
          </w:tcPr>
          <w:p w14:paraId="2EAAD45B" w14:textId="77777777" w:rsidR="00421D81" w:rsidRPr="001322A8" w:rsidRDefault="00421D81" w:rsidP="00F51BBE">
            <w:pPr>
              <w:jc w:val="center"/>
              <w:rPr>
                <w:rFonts w:eastAsia="Arial Unicode MS"/>
              </w:rPr>
            </w:pPr>
            <w:r w:rsidRPr="001322A8">
              <w:rPr>
                <w:rFonts w:eastAsia="Arial Unicode MS"/>
              </w:rPr>
              <w:t>20</w:t>
            </w:r>
          </w:p>
        </w:tc>
        <w:tc>
          <w:tcPr>
            <w:tcW w:w="960" w:type="dxa"/>
            <w:tcBorders>
              <w:left w:val="single" w:sz="4" w:space="0" w:color="auto"/>
              <w:bottom w:val="single" w:sz="4" w:space="0" w:color="auto"/>
              <w:right w:val="single" w:sz="4" w:space="0" w:color="auto"/>
            </w:tcBorders>
          </w:tcPr>
          <w:p w14:paraId="6AA18012" w14:textId="77777777" w:rsidR="00421D81" w:rsidRPr="001322A8" w:rsidRDefault="00421D81" w:rsidP="00F51BBE">
            <w:pPr>
              <w:jc w:val="center"/>
              <w:rPr>
                <w:rFonts w:eastAsia="Arial Unicode MS"/>
              </w:rPr>
            </w:pPr>
            <w:r w:rsidRPr="001322A8">
              <w:rPr>
                <w:rFonts w:eastAsia="Arial Unicode MS"/>
              </w:rPr>
              <w:t>20</w:t>
            </w:r>
          </w:p>
        </w:tc>
      </w:tr>
    </w:tbl>
    <w:p w14:paraId="376002AA" w14:textId="77777777" w:rsidR="00421D81" w:rsidRDefault="00421D81" w:rsidP="00421D81">
      <w:pPr>
        <w:pStyle w:val="BodyTextIndent"/>
        <w:spacing w:after="0"/>
        <w:ind w:left="720" w:hanging="720"/>
        <w:rPr>
          <w:rFonts w:ascii="Arial" w:hAnsi="Arial"/>
        </w:rPr>
      </w:pPr>
    </w:p>
    <w:p w14:paraId="7952FDDC" w14:textId="77777777" w:rsidR="00421D81" w:rsidRDefault="00421D81" w:rsidP="00421D81">
      <w:pPr>
        <w:pStyle w:val="BodyTextIndent"/>
        <w:spacing w:after="0"/>
        <w:ind w:left="720" w:hanging="720"/>
        <w:rPr>
          <w:i/>
        </w:rPr>
      </w:pPr>
      <w:r>
        <w:rPr>
          <w:i/>
        </w:rPr>
        <w:tab/>
      </w:r>
    </w:p>
    <w:p w14:paraId="7FE1D369" w14:textId="77777777" w:rsidR="00421D81" w:rsidRDefault="00421D81" w:rsidP="00421D81">
      <w:pPr>
        <w:pStyle w:val="BodyTextIndent"/>
        <w:spacing w:after="0"/>
        <w:ind w:left="720"/>
        <w:jc w:val="both"/>
        <w:rPr>
          <w:rFonts w:ascii="Arial" w:hAnsi="Arial"/>
          <w:b/>
        </w:rPr>
      </w:pPr>
      <w:r w:rsidRPr="00D201B4">
        <w:rPr>
          <w:rFonts w:ascii="Arial" w:hAnsi="Arial"/>
          <w:b/>
        </w:rPr>
        <w:t>Maturity structure of borrowing and Investments longer than 364 days</w:t>
      </w:r>
    </w:p>
    <w:p w14:paraId="157851F7" w14:textId="77777777" w:rsidR="00421D81" w:rsidRPr="00ED039D" w:rsidRDefault="00421D81" w:rsidP="00421D81">
      <w:pPr>
        <w:pStyle w:val="BodyTextIndent"/>
        <w:spacing w:after="0"/>
        <w:ind w:left="720"/>
        <w:jc w:val="both"/>
        <w:rPr>
          <w:rFonts w:ascii="Arial" w:hAnsi="Arial"/>
          <w:b/>
        </w:rPr>
      </w:pPr>
    </w:p>
    <w:p w14:paraId="43ED3D15" w14:textId="77777777" w:rsidR="00421D81" w:rsidRDefault="00421D81" w:rsidP="00421D81">
      <w:pPr>
        <w:pStyle w:val="BodyTextIndent"/>
        <w:spacing w:after="0"/>
        <w:ind w:left="720" w:hanging="720"/>
        <w:jc w:val="both"/>
        <w:rPr>
          <w:rFonts w:ascii="Arial" w:hAnsi="Arial"/>
          <w:bCs/>
        </w:rPr>
      </w:pPr>
      <w:r>
        <w:tab/>
      </w:r>
      <w:r w:rsidRPr="00D201B4">
        <w:rPr>
          <w:rFonts w:ascii="Arial" w:hAnsi="Arial"/>
          <w:bCs/>
        </w:rPr>
        <w:t>The purpose of the prudential limits for principal sums invested for periods longer than 364 days is for the C</w:t>
      </w:r>
      <w:r>
        <w:rPr>
          <w:rFonts w:ascii="Arial" w:hAnsi="Arial"/>
          <w:bCs/>
        </w:rPr>
        <w:t>ommissioner</w:t>
      </w:r>
      <w:r w:rsidRPr="00D201B4">
        <w:rPr>
          <w:rFonts w:ascii="Arial" w:hAnsi="Arial"/>
          <w:bCs/>
        </w:rPr>
        <w:t xml:space="preserve"> to contain hi</w:t>
      </w:r>
      <w:r>
        <w:rPr>
          <w:rFonts w:ascii="Arial" w:hAnsi="Arial"/>
          <w:bCs/>
        </w:rPr>
        <w:t>s</w:t>
      </w:r>
      <w:r w:rsidRPr="00D201B4">
        <w:rPr>
          <w:rFonts w:ascii="Arial" w:hAnsi="Arial"/>
          <w:bCs/>
        </w:rPr>
        <w:t xml:space="preserve"> exposure to the possibility of loss that might arise as a result of having to seek early repayment of principal sums invested. The maturity structure of fixed rate borrowing is designed to protect against excessive exposures to interest rate changes in any one period, in particular in the course of the next ten years.</w:t>
      </w:r>
    </w:p>
    <w:p w14:paraId="7F4D2BFC" w14:textId="77777777" w:rsidR="00421D81" w:rsidRDefault="00421D81" w:rsidP="00421D81">
      <w:pPr>
        <w:pStyle w:val="BodyTextIndent"/>
        <w:spacing w:after="0"/>
        <w:ind w:left="0"/>
        <w:jc w:val="both"/>
      </w:pPr>
    </w:p>
    <w:tbl>
      <w:tblPr>
        <w:tblW w:w="0" w:type="auto"/>
        <w:tblInd w:w="725" w:type="dxa"/>
        <w:tblLayout w:type="fixed"/>
        <w:tblCellMar>
          <w:left w:w="0" w:type="dxa"/>
          <w:right w:w="0" w:type="dxa"/>
        </w:tblCellMar>
        <w:tblLook w:val="0000" w:firstRow="0" w:lastRow="0" w:firstColumn="0" w:lastColumn="0" w:noHBand="0" w:noVBand="0"/>
      </w:tblPr>
      <w:tblGrid>
        <w:gridCol w:w="5130"/>
        <w:gridCol w:w="1710"/>
        <w:gridCol w:w="1512"/>
      </w:tblGrid>
      <w:tr w:rsidR="00421D81" w14:paraId="303A5F59" w14:textId="77777777" w:rsidTr="00F51BBE">
        <w:trPr>
          <w:cantSplit/>
          <w:trHeight w:val="330"/>
        </w:trPr>
        <w:tc>
          <w:tcPr>
            <w:tcW w:w="6840" w:type="dxa"/>
            <w:gridSpan w:val="2"/>
            <w:tcBorders>
              <w:top w:val="single" w:sz="4" w:space="0" w:color="auto"/>
              <w:left w:val="single" w:sz="4" w:space="0" w:color="auto"/>
              <w:bottom w:val="single" w:sz="4" w:space="0" w:color="auto"/>
              <w:right w:val="single" w:sz="4" w:space="0" w:color="auto"/>
            </w:tcBorders>
          </w:tcPr>
          <w:p w14:paraId="4E9D6F30" w14:textId="77777777" w:rsidR="00421D81" w:rsidRDefault="00421D81" w:rsidP="00F51BBE">
            <w:pPr>
              <w:rPr>
                <w:rFonts w:eastAsia="Arial Unicode MS"/>
              </w:rPr>
            </w:pPr>
            <w:r>
              <w:rPr>
                <w:b/>
              </w:rPr>
              <w:t>Upper limit of principal invested for periods over 364 days</w:t>
            </w:r>
          </w:p>
        </w:tc>
        <w:tc>
          <w:tcPr>
            <w:tcW w:w="1512" w:type="dxa"/>
            <w:tcBorders>
              <w:top w:val="single" w:sz="4" w:space="0" w:color="auto"/>
              <w:left w:val="single" w:sz="4" w:space="0" w:color="auto"/>
              <w:bottom w:val="single" w:sz="4" w:space="0" w:color="auto"/>
              <w:right w:val="single" w:sz="4" w:space="0" w:color="auto"/>
            </w:tcBorders>
          </w:tcPr>
          <w:p w14:paraId="08BF5C08" w14:textId="77777777" w:rsidR="00421D81" w:rsidRDefault="00421D81" w:rsidP="00F51BBE">
            <w:pPr>
              <w:jc w:val="center"/>
              <w:rPr>
                <w:rFonts w:eastAsia="Arial Unicode MS"/>
              </w:rPr>
            </w:pPr>
            <w:r>
              <w:rPr>
                <w:rFonts w:eastAsia="Arial Unicode MS"/>
              </w:rPr>
              <w:t>£40m</w:t>
            </w:r>
          </w:p>
        </w:tc>
      </w:tr>
      <w:tr w:rsidR="00421D81" w14:paraId="11059A99" w14:textId="77777777" w:rsidTr="00F51BBE">
        <w:trPr>
          <w:cantSplit/>
          <w:trHeight w:val="330"/>
        </w:trPr>
        <w:tc>
          <w:tcPr>
            <w:tcW w:w="8352" w:type="dxa"/>
            <w:gridSpan w:val="3"/>
            <w:tcBorders>
              <w:top w:val="single" w:sz="4" w:space="0" w:color="auto"/>
              <w:bottom w:val="single" w:sz="4" w:space="0" w:color="auto"/>
            </w:tcBorders>
          </w:tcPr>
          <w:p w14:paraId="4A6894E6" w14:textId="77777777" w:rsidR="00421D81" w:rsidRDefault="00421D81" w:rsidP="00F51BBE">
            <w:pPr>
              <w:rPr>
                <w:b/>
              </w:rPr>
            </w:pPr>
          </w:p>
          <w:p w14:paraId="292524E8" w14:textId="77777777" w:rsidR="00421D81" w:rsidRDefault="00421D81" w:rsidP="00F51BBE">
            <w:pPr>
              <w:jc w:val="center"/>
              <w:rPr>
                <w:rFonts w:eastAsia="Arial Unicode MS"/>
              </w:rPr>
            </w:pPr>
          </w:p>
        </w:tc>
      </w:tr>
      <w:tr w:rsidR="00421D81" w14:paraId="3CC1ECC6" w14:textId="77777777" w:rsidTr="00F51BBE">
        <w:trPr>
          <w:trHeight w:val="330"/>
        </w:trPr>
        <w:tc>
          <w:tcPr>
            <w:tcW w:w="5130" w:type="dxa"/>
            <w:tcBorders>
              <w:top w:val="single" w:sz="4" w:space="0" w:color="auto"/>
              <w:left w:val="single" w:sz="4" w:space="0" w:color="auto"/>
              <w:bottom w:val="single" w:sz="4" w:space="0" w:color="auto"/>
              <w:right w:val="single" w:sz="4" w:space="0" w:color="auto"/>
            </w:tcBorders>
          </w:tcPr>
          <w:p w14:paraId="1F08898B" w14:textId="77777777" w:rsidR="00421D81" w:rsidRDefault="00421D81" w:rsidP="00F51BBE">
            <w:pPr>
              <w:rPr>
                <w:rFonts w:eastAsia="Arial Unicode MS"/>
                <w:b/>
              </w:rPr>
            </w:pPr>
            <w:r>
              <w:rPr>
                <w:b/>
              </w:rPr>
              <w:t xml:space="preserve">Maturity structure of fixed rate borrowing </w:t>
            </w:r>
          </w:p>
        </w:tc>
        <w:tc>
          <w:tcPr>
            <w:tcW w:w="1710" w:type="dxa"/>
            <w:tcBorders>
              <w:top w:val="single" w:sz="4" w:space="0" w:color="auto"/>
              <w:left w:val="single" w:sz="4" w:space="0" w:color="auto"/>
              <w:bottom w:val="single" w:sz="4" w:space="0" w:color="auto"/>
              <w:right w:val="single" w:sz="4" w:space="0" w:color="auto"/>
            </w:tcBorders>
            <w:vAlign w:val="center"/>
          </w:tcPr>
          <w:p w14:paraId="2591688C" w14:textId="77777777" w:rsidR="00421D81" w:rsidRDefault="00421D81" w:rsidP="00F51BBE">
            <w:pPr>
              <w:jc w:val="center"/>
              <w:rPr>
                <w:b/>
              </w:rPr>
            </w:pPr>
            <w:r>
              <w:rPr>
                <w:b/>
              </w:rPr>
              <w:t>Upper limit</w:t>
            </w:r>
          </w:p>
          <w:p w14:paraId="56648E89" w14:textId="77777777" w:rsidR="00421D81" w:rsidRDefault="00421D81" w:rsidP="00F51BBE">
            <w:pPr>
              <w:jc w:val="center"/>
              <w:rPr>
                <w:rFonts w:eastAsia="Arial Unicode MS"/>
                <w:b/>
              </w:rPr>
            </w:pPr>
            <w:r>
              <w:rPr>
                <w:b/>
              </w:rPr>
              <w:t>%</w:t>
            </w:r>
          </w:p>
        </w:tc>
        <w:tc>
          <w:tcPr>
            <w:tcW w:w="1512" w:type="dxa"/>
            <w:tcBorders>
              <w:top w:val="single" w:sz="4" w:space="0" w:color="auto"/>
              <w:left w:val="single" w:sz="4" w:space="0" w:color="auto"/>
              <w:bottom w:val="single" w:sz="4" w:space="0" w:color="auto"/>
              <w:right w:val="single" w:sz="4" w:space="0" w:color="auto"/>
            </w:tcBorders>
            <w:vAlign w:val="center"/>
          </w:tcPr>
          <w:p w14:paraId="6ABD0924" w14:textId="77777777" w:rsidR="00421D81" w:rsidRDefault="00421D81" w:rsidP="00F51BBE">
            <w:pPr>
              <w:jc w:val="center"/>
              <w:rPr>
                <w:b/>
              </w:rPr>
            </w:pPr>
            <w:r>
              <w:rPr>
                <w:b/>
              </w:rPr>
              <w:t>Lower limit</w:t>
            </w:r>
          </w:p>
          <w:p w14:paraId="71148F14" w14:textId="77777777" w:rsidR="00421D81" w:rsidRDefault="00421D81" w:rsidP="00F51BBE">
            <w:pPr>
              <w:jc w:val="center"/>
              <w:rPr>
                <w:rFonts w:eastAsia="Arial Unicode MS"/>
                <w:b/>
              </w:rPr>
            </w:pPr>
            <w:r>
              <w:rPr>
                <w:b/>
              </w:rPr>
              <w:t>%</w:t>
            </w:r>
          </w:p>
        </w:tc>
      </w:tr>
      <w:tr w:rsidR="00421D81" w14:paraId="19CBAA92" w14:textId="77777777" w:rsidTr="00F51BBE">
        <w:trPr>
          <w:trHeight w:val="330"/>
        </w:trPr>
        <w:tc>
          <w:tcPr>
            <w:tcW w:w="5130" w:type="dxa"/>
            <w:tcBorders>
              <w:top w:val="single" w:sz="4" w:space="0" w:color="auto"/>
              <w:left w:val="single" w:sz="4" w:space="0" w:color="auto"/>
              <w:bottom w:val="single" w:sz="4" w:space="0" w:color="auto"/>
              <w:right w:val="single" w:sz="4" w:space="0" w:color="auto"/>
            </w:tcBorders>
          </w:tcPr>
          <w:p w14:paraId="76A5412B" w14:textId="77777777" w:rsidR="00421D81" w:rsidRDefault="00421D81" w:rsidP="00F51BBE">
            <w:pPr>
              <w:rPr>
                <w:rFonts w:eastAsia="Arial Unicode MS"/>
              </w:rPr>
            </w:pPr>
            <w:r>
              <w:t>Under 12 months</w:t>
            </w:r>
          </w:p>
        </w:tc>
        <w:tc>
          <w:tcPr>
            <w:tcW w:w="1710" w:type="dxa"/>
            <w:tcBorders>
              <w:top w:val="single" w:sz="4" w:space="0" w:color="auto"/>
              <w:left w:val="single" w:sz="4" w:space="0" w:color="auto"/>
              <w:bottom w:val="single" w:sz="4" w:space="0" w:color="auto"/>
              <w:right w:val="single" w:sz="4" w:space="0" w:color="auto"/>
            </w:tcBorders>
            <w:vAlign w:val="center"/>
          </w:tcPr>
          <w:p w14:paraId="3CC1F546" w14:textId="77777777" w:rsidR="00421D81" w:rsidRDefault="00421D81" w:rsidP="00F51BBE">
            <w:pPr>
              <w:jc w:val="center"/>
              <w:rPr>
                <w:rFonts w:eastAsia="Arial Unicode MS"/>
              </w:rPr>
            </w:pPr>
            <w:r>
              <w:rPr>
                <w:rFonts w:eastAsia="Arial Unicode MS"/>
              </w:rPr>
              <w:t>25</w:t>
            </w:r>
          </w:p>
        </w:tc>
        <w:tc>
          <w:tcPr>
            <w:tcW w:w="1512" w:type="dxa"/>
            <w:tcBorders>
              <w:top w:val="single" w:sz="4" w:space="0" w:color="auto"/>
              <w:left w:val="single" w:sz="4" w:space="0" w:color="auto"/>
              <w:bottom w:val="single" w:sz="4" w:space="0" w:color="auto"/>
              <w:right w:val="single" w:sz="4" w:space="0" w:color="auto"/>
            </w:tcBorders>
            <w:vAlign w:val="center"/>
          </w:tcPr>
          <w:p w14:paraId="77EB5292" w14:textId="77777777" w:rsidR="00421D81" w:rsidRDefault="00421D81" w:rsidP="00F51BBE">
            <w:pPr>
              <w:jc w:val="center"/>
              <w:rPr>
                <w:rFonts w:eastAsia="Arial Unicode MS"/>
              </w:rPr>
            </w:pPr>
            <w:r>
              <w:rPr>
                <w:rFonts w:eastAsia="Arial Unicode MS"/>
              </w:rPr>
              <w:t>0</w:t>
            </w:r>
          </w:p>
        </w:tc>
      </w:tr>
      <w:tr w:rsidR="00421D81" w14:paraId="43321C66" w14:textId="77777777" w:rsidTr="00F51BBE">
        <w:trPr>
          <w:trHeight w:val="330"/>
        </w:trPr>
        <w:tc>
          <w:tcPr>
            <w:tcW w:w="5130" w:type="dxa"/>
            <w:tcBorders>
              <w:top w:val="single" w:sz="4" w:space="0" w:color="auto"/>
              <w:left w:val="single" w:sz="4" w:space="0" w:color="auto"/>
              <w:bottom w:val="single" w:sz="4" w:space="0" w:color="auto"/>
              <w:right w:val="single" w:sz="4" w:space="0" w:color="auto"/>
            </w:tcBorders>
          </w:tcPr>
          <w:p w14:paraId="355B5C83" w14:textId="77777777" w:rsidR="00421D81" w:rsidRDefault="00421D81" w:rsidP="00F51BBE">
            <w:pPr>
              <w:rPr>
                <w:rFonts w:eastAsia="Arial Unicode MS"/>
              </w:rPr>
            </w:pPr>
            <w:r>
              <w:t>12 months and within 24 months</w:t>
            </w:r>
          </w:p>
        </w:tc>
        <w:tc>
          <w:tcPr>
            <w:tcW w:w="1710" w:type="dxa"/>
            <w:tcBorders>
              <w:top w:val="single" w:sz="4" w:space="0" w:color="auto"/>
              <w:left w:val="single" w:sz="4" w:space="0" w:color="auto"/>
              <w:bottom w:val="single" w:sz="4" w:space="0" w:color="auto"/>
              <w:right w:val="single" w:sz="4" w:space="0" w:color="auto"/>
            </w:tcBorders>
            <w:vAlign w:val="center"/>
          </w:tcPr>
          <w:p w14:paraId="0CF8CD48" w14:textId="77777777" w:rsidR="00421D81" w:rsidRDefault="00421D81" w:rsidP="00F51BBE">
            <w:pPr>
              <w:jc w:val="center"/>
              <w:rPr>
                <w:rFonts w:eastAsia="Arial Unicode MS"/>
              </w:rPr>
            </w:pPr>
            <w:r>
              <w:rPr>
                <w:rFonts w:eastAsia="Arial Unicode MS"/>
              </w:rPr>
              <w:t>25</w:t>
            </w:r>
          </w:p>
        </w:tc>
        <w:tc>
          <w:tcPr>
            <w:tcW w:w="1512" w:type="dxa"/>
            <w:tcBorders>
              <w:top w:val="single" w:sz="4" w:space="0" w:color="auto"/>
              <w:left w:val="single" w:sz="4" w:space="0" w:color="auto"/>
              <w:bottom w:val="single" w:sz="4" w:space="0" w:color="auto"/>
              <w:right w:val="single" w:sz="4" w:space="0" w:color="auto"/>
            </w:tcBorders>
            <w:vAlign w:val="center"/>
          </w:tcPr>
          <w:p w14:paraId="3FE805C5" w14:textId="77777777" w:rsidR="00421D81" w:rsidRDefault="00421D81" w:rsidP="00F51BBE">
            <w:pPr>
              <w:jc w:val="center"/>
              <w:rPr>
                <w:rFonts w:eastAsia="Arial Unicode MS"/>
              </w:rPr>
            </w:pPr>
            <w:r>
              <w:rPr>
                <w:rFonts w:eastAsia="Arial Unicode MS"/>
              </w:rPr>
              <w:t>0</w:t>
            </w:r>
          </w:p>
        </w:tc>
      </w:tr>
      <w:tr w:rsidR="00421D81" w14:paraId="450CCBD3" w14:textId="77777777" w:rsidTr="00F51BBE">
        <w:trPr>
          <w:trHeight w:val="330"/>
        </w:trPr>
        <w:tc>
          <w:tcPr>
            <w:tcW w:w="5130" w:type="dxa"/>
            <w:tcBorders>
              <w:top w:val="single" w:sz="4" w:space="0" w:color="auto"/>
              <w:left w:val="single" w:sz="4" w:space="0" w:color="auto"/>
              <w:bottom w:val="single" w:sz="4" w:space="0" w:color="auto"/>
              <w:right w:val="single" w:sz="4" w:space="0" w:color="auto"/>
            </w:tcBorders>
          </w:tcPr>
          <w:p w14:paraId="747859FB" w14:textId="77777777" w:rsidR="00421D81" w:rsidRDefault="00421D81" w:rsidP="00F51BBE">
            <w:pPr>
              <w:rPr>
                <w:rFonts w:eastAsia="Arial Unicode MS"/>
              </w:rPr>
            </w:pPr>
            <w:r>
              <w:t>24 months and within 5 years</w:t>
            </w:r>
          </w:p>
        </w:tc>
        <w:tc>
          <w:tcPr>
            <w:tcW w:w="1710" w:type="dxa"/>
            <w:tcBorders>
              <w:top w:val="single" w:sz="4" w:space="0" w:color="auto"/>
              <w:left w:val="single" w:sz="4" w:space="0" w:color="auto"/>
              <w:bottom w:val="single" w:sz="4" w:space="0" w:color="auto"/>
              <w:right w:val="single" w:sz="4" w:space="0" w:color="auto"/>
            </w:tcBorders>
            <w:vAlign w:val="center"/>
          </w:tcPr>
          <w:p w14:paraId="4820E5B9" w14:textId="77777777" w:rsidR="00421D81" w:rsidRDefault="00421D81" w:rsidP="00F51BBE">
            <w:pPr>
              <w:jc w:val="center"/>
              <w:rPr>
                <w:rFonts w:eastAsia="Arial Unicode MS"/>
              </w:rPr>
            </w:pPr>
            <w:r>
              <w:rPr>
                <w:rFonts w:eastAsia="Arial Unicode MS"/>
              </w:rPr>
              <w:t>50</w:t>
            </w:r>
          </w:p>
        </w:tc>
        <w:tc>
          <w:tcPr>
            <w:tcW w:w="1512" w:type="dxa"/>
            <w:tcBorders>
              <w:top w:val="single" w:sz="4" w:space="0" w:color="auto"/>
              <w:left w:val="single" w:sz="4" w:space="0" w:color="auto"/>
              <w:bottom w:val="single" w:sz="4" w:space="0" w:color="auto"/>
              <w:right w:val="single" w:sz="4" w:space="0" w:color="auto"/>
            </w:tcBorders>
            <w:vAlign w:val="center"/>
          </w:tcPr>
          <w:p w14:paraId="3119C7A5" w14:textId="77777777" w:rsidR="00421D81" w:rsidRDefault="00421D81" w:rsidP="00F51BBE">
            <w:pPr>
              <w:jc w:val="center"/>
              <w:rPr>
                <w:rFonts w:eastAsia="Arial Unicode MS"/>
              </w:rPr>
            </w:pPr>
            <w:r>
              <w:rPr>
                <w:rFonts w:eastAsia="Arial Unicode MS"/>
              </w:rPr>
              <w:t>0</w:t>
            </w:r>
          </w:p>
        </w:tc>
      </w:tr>
      <w:tr w:rsidR="00421D81" w14:paraId="1D83CFA0" w14:textId="77777777" w:rsidTr="00F51BBE">
        <w:trPr>
          <w:trHeight w:val="330"/>
        </w:trPr>
        <w:tc>
          <w:tcPr>
            <w:tcW w:w="5130" w:type="dxa"/>
            <w:tcBorders>
              <w:top w:val="single" w:sz="4" w:space="0" w:color="auto"/>
              <w:left w:val="single" w:sz="4" w:space="0" w:color="auto"/>
              <w:bottom w:val="single" w:sz="4" w:space="0" w:color="auto"/>
              <w:right w:val="single" w:sz="4" w:space="0" w:color="auto"/>
            </w:tcBorders>
          </w:tcPr>
          <w:p w14:paraId="16F4310D" w14:textId="77777777" w:rsidR="00421D81" w:rsidRDefault="00421D81" w:rsidP="00F51BBE">
            <w:pPr>
              <w:rPr>
                <w:rFonts w:eastAsia="Arial Unicode MS"/>
              </w:rPr>
            </w:pPr>
            <w:r>
              <w:t>5 years and within 10 years</w:t>
            </w:r>
          </w:p>
        </w:tc>
        <w:tc>
          <w:tcPr>
            <w:tcW w:w="1710" w:type="dxa"/>
            <w:tcBorders>
              <w:top w:val="single" w:sz="4" w:space="0" w:color="auto"/>
              <w:left w:val="single" w:sz="4" w:space="0" w:color="auto"/>
              <w:bottom w:val="single" w:sz="4" w:space="0" w:color="auto"/>
              <w:right w:val="single" w:sz="4" w:space="0" w:color="auto"/>
            </w:tcBorders>
            <w:vAlign w:val="center"/>
          </w:tcPr>
          <w:p w14:paraId="310A7992" w14:textId="77777777" w:rsidR="00421D81" w:rsidRDefault="00421D81" w:rsidP="00F51BBE">
            <w:pPr>
              <w:jc w:val="center"/>
              <w:rPr>
                <w:rFonts w:eastAsia="Arial Unicode MS"/>
              </w:rPr>
            </w:pPr>
            <w:r>
              <w:rPr>
                <w:rFonts w:eastAsia="Arial Unicode MS"/>
              </w:rPr>
              <w:t>75</w:t>
            </w:r>
          </w:p>
        </w:tc>
        <w:tc>
          <w:tcPr>
            <w:tcW w:w="1512" w:type="dxa"/>
            <w:tcBorders>
              <w:top w:val="single" w:sz="4" w:space="0" w:color="auto"/>
              <w:left w:val="single" w:sz="4" w:space="0" w:color="auto"/>
              <w:bottom w:val="single" w:sz="4" w:space="0" w:color="auto"/>
              <w:right w:val="single" w:sz="4" w:space="0" w:color="auto"/>
            </w:tcBorders>
            <w:vAlign w:val="center"/>
          </w:tcPr>
          <w:p w14:paraId="79E69234" w14:textId="77777777" w:rsidR="00421D81" w:rsidRDefault="00421D81" w:rsidP="00F51BBE">
            <w:pPr>
              <w:jc w:val="center"/>
              <w:rPr>
                <w:rFonts w:eastAsia="Arial Unicode MS"/>
              </w:rPr>
            </w:pPr>
            <w:r>
              <w:rPr>
                <w:rFonts w:eastAsia="Arial Unicode MS"/>
              </w:rPr>
              <w:t>0</w:t>
            </w:r>
          </w:p>
        </w:tc>
      </w:tr>
      <w:tr w:rsidR="00421D81" w14:paraId="556D25C2" w14:textId="77777777" w:rsidTr="00F51BBE">
        <w:trPr>
          <w:trHeight w:val="330"/>
        </w:trPr>
        <w:tc>
          <w:tcPr>
            <w:tcW w:w="5130" w:type="dxa"/>
            <w:tcBorders>
              <w:top w:val="single" w:sz="4" w:space="0" w:color="auto"/>
              <w:left w:val="single" w:sz="4" w:space="0" w:color="auto"/>
              <w:bottom w:val="single" w:sz="4" w:space="0" w:color="auto"/>
              <w:right w:val="single" w:sz="4" w:space="0" w:color="auto"/>
            </w:tcBorders>
          </w:tcPr>
          <w:p w14:paraId="64C0F4FB" w14:textId="77777777" w:rsidR="00421D81" w:rsidRDefault="00421D81" w:rsidP="00F51BBE">
            <w:pPr>
              <w:rPr>
                <w:rFonts w:eastAsia="Arial Unicode MS"/>
              </w:rPr>
            </w:pPr>
            <w:r>
              <w:t>10 years and above</w:t>
            </w:r>
          </w:p>
        </w:tc>
        <w:tc>
          <w:tcPr>
            <w:tcW w:w="1710" w:type="dxa"/>
            <w:tcBorders>
              <w:top w:val="single" w:sz="4" w:space="0" w:color="auto"/>
              <w:left w:val="single" w:sz="4" w:space="0" w:color="auto"/>
              <w:bottom w:val="single" w:sz="4" w:space="0" w:color="auto"/>
              <w:right w:val="single" w:sz="4" w:space="0" w:color="auto"/>
            </w:tcBorders>
            <w:vAlign w:val="center"/>
          </w:tcPr>
          <w:p w14:paraId="59832270" w14:textId="77777777" w:rsidR="00421D81" w:rsidRDefault="00421D81" w:rsidP="00F51BBE">
            <w:pPr>
              <w:jc w:val="center"/>
              <w:rPr>
                <w:rFonts w:eastAsia="Arial Unicode MS"/>
              </w:rPr>
            </w:pPr>
            <w:r>
              <w:rPr>
                <w:rFonts w:eastAsia="Arial Unicode MS"/>
              </w:rPr>
              <w:t>100</w:t>
            </w:r>
          </w:p>
        </w:tc>
        <w:tc>
          <w:tcPr>
            <w:tcW w:w="1512" w:type="dxa"/>
            <w:tcBorders>
              <w:top w:val="single" w:sz="4" w:space="0" w:color="auto"/>
              <w:left w:val="single" w:sz="4" w:space="0" w:color="auto"/>
              <w:bottom w:val="single" w:sz="4" w:space="0" w:color="auto"/>
              <w:right w:val="single" w:sz="4" w:space="0" w:color="auto"/>
            </w:tcBorders>
            <w:vAlign w:val="center"/>
          </w:tcPr>
          <w:p w14:paraId="16CD1A0D" w14:textId="77777777" w:rsidR="00421D81" w:rsidRDefault="00421D81" w:rsidP="00F51BBE">
            <w:pPr>
              <w:jc w:val="center"/>
              <w:rPr>
                <w:rFonts w:eastAsia="Arial Unicode MS"/>
              </w:rPr>
            </w:pPr>
            <w:r>
              <w:rPr>
                <w:rFonts w:eastAsia="Arial Unicode MS"/>
              </w:rPr>
              <w:t>25</w:t>
            </w:r>
          </w:p>
        </w:tc>
      </w:tr>
    </w:tbl>
    <w:p w14:paraId="574E76CA" w14:textId="77777777" w:rsidR="00421D81" w:rsidRDefault="00421D81" w:rsidP="00421D81">
      <w:pPr>
        <w:pStyle w:val="BodyTextIndent"/>
        <w:ind w:left="0"/>
        <w:rPr>
          <w:rFonts w:ascii="Arial" w:hAnsi="Arial"/>
          <w:b/>
          <w:bCs/>
        </w:rPr>
      </w:pPr>
    </w:p>
    <w:p w14:paraId="78301220" w14:textId="77777777" w:rsidR="00421D81" w:rsidRDefault="00421D81" w:rsidP="00421D81">
      <w:pPr>
        <w:ind w:left="720" w:hanging="720"/>
        <w:jc w:val="both"/>
      </w:pPr>
      <w:r w:rsidRPr="00E777F3">
        <w:rPr>
          <w:bCs/>
        </w:rPr>
        <w:lastRenderedPageBreak/>
        <w:t>3.</w:t>
      </w:r>
      <w:r>
        <w:rPr>
          <w:bCs/>
        </w:rPr>
        <w:t>5</w:t>
      </w:r>
      <w:r>
        <w:rPr>
          <w:b/>
          <w:bCs/>
        </w:rPr>
        <w:tab/>
      </w:r>
      <w:r w:rsidRPr="001454AE">
        <w:t xml:space="preserve">In considering the </w:t>
      </w:r>
      <w:r>
        <w:t xml:space="preserve">capital </w:t>
      </w:r>
      <w:r w:rsidRPr="001454AE">
        <w:t>programme for 20</w:t>
      </w:r>
      <w:r>
        <w:t>21</w:t>
      </w:r>
      <w:r w:rsidRPr="001454AE">
        <w:t>/</w:t>
      </w:r>
      <w:r>
        <w:t>22</w:t>
      </w:r>
      <w:r w:rsidRPr="001454AE">
        <w:t xml:space="preserve">, the anticipated future borrowing requirements </w:t>
      </w:r>
      <w:r>
        <w:t>we</w:t>
      </w:r>
      <w:r w:rsidRPr="001454AE">
        <w:t xml:space="preserve">re considered in the </w:t>
      </w:r>
      <w:r>
        <w:t>context of overall capital resources</w:t>
      </w:r>
      <w:r w:rsidRPr="001454AE">
        <w:t xml:space="preserve"> and </w:t>
      </w:r>
      <w:r>
        <w:t xml:space="preserve">the impact on the revenue </w:t>
      </w:r>
      <w:r w:rsidRPr="001454AE">
        <w:t>b</w:t>
      </w:r>
      <w:r>
        <w:t>udget</w:t>
      </w:r>
      <w:r w:rsidRPr="001454AE">
        <w:t xml:space="preserve">. </w:t>
      </w:r>
    </w:p>
    <w:p w14:paraId="6734414B" w14:textId="77777777" w:rsidR="00421D81" w:rsidRPr="00E777F3" w:rsidRDefault="00421D81" w:rsidP="00421D81">
      <w:pPr>
        <w:ind w:left="720" w:hanging="720"/>
        <w:jc w:val="both"/>
      </w:pPr>
    </w:p>
    <w:tbl>
      <w:tblPr>
        <w:tblW w:w="8601"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9"/>
        <w:gridCol w:w="1196"/>
        <w:gridCol w:w="1290"/>
        <w:gridCol w:w="1291"/>
        <w:gridCol w:w="1291"/>
        <w:gridCol w:w="1434"/>
      </w:tblGrid>
      <w:tr w:rsidR="00421D81" w:rsidRPr="00E777F3" w14:paraId="20774F45" w14:textId="77777777" w:rsidTr="00F51BBE">
        <w:trPr>
          <w:trHeight w:val="929"/>
        </w:trPr>
        <w:tc>
          <w:tcPr>
            <w:tcW w:w="2099" w:type="dxa"/>
            <w:shd w:val="clear" w:color="auto" w:fill="auto"/>
          </w:tcPr>
          <w:p w14:paraId="5AB9DB32" w14:textId="77777777" w:rsidR="00421D81" w:rsidRPr="00E777F3" w:rsidRDefault="00421D81" w:rsidP="00F51BBE">
            <w:pPr>
              <w:jc w:val="both"/>
            </w:pPr>
          </w:p>
          <w:p w14:paraId="271AFE28" w14:textId="77777777" w:rsidR="00421D81" w:rsidRPr="00E777F3" w:rsidRDefault="00421D81" w:rsidP="00F51BBE">
            <w:pPr>
              <w:jc w:val="both"/>
            </w:pPr>
          </w:p>
        </w:tc>
        <w:tc>
          <w:tcPr>
            <w:tcW w:w="1196" w:type="dxa"/>
            <w:tcBorders>
              <w:bottom w:val="single" w:sz="4" w:space="0" w:color="auto"/>
            </w:tcBorders>
            <w:shd w:val="clear" w:color="auto" w:fill="auto"/>
          </w:tcPr>
          <w:p w14:paraId="51951B13" w14:textId="77777777" w:rsidR="00421D81" w:rsidRPr="00E777F3" w:rsidRDefault="00421D81" w:rsidP="00F51BBE">
            <w:pPr>
              <w:jc w:val="center"/>
              <w:rPr>
                <w:b/>
                <w:bCs/>
              </w:rPr>
            </w:pPr>
            <w:r w:rsidRPr="00E777F3">
              <w:rPr>
                <w:b/>
                <w:bCs/>
              </w:rPr>
              <w:t>31</w:t>
            </w:r>
            <w:r>
              <w:rPr>
                <w:b/>
                <w:bCs/>
              </w:rPr>
              <w:t xml:space="preserve"> </w:t>
            </w:r>
            <w:r w:rsidRPr="00E777F3">
              <w:rPr>
                <w:b/>
                <w:bCs/>
              </w:rPr>
              <w:t>March 20</w:t>
            </w:r>
            <w:r>
              <w:rPr>
                <w:b/>
                <w:bCs/>
              </w:rPr>
              <w:t>20</w:t>
            </w:r>
          </w:p>
          <w:p w14:paraId="603C79DF" w14:textId="77777777" w:rsidR="00421D81" w:rsidRPr="00E777F3" w:rsidRDefault="00421D81" w:rsidP="00F51BBE">
            <w:pPr>
              <w:jc w:val="center"/>
              <w:rPr>
                <w:b/>
                <w:bCs/>
              </w:rPr>
            </w:pPr>
            <w:r w:rsidRPr="00E777F3">
              <w:rPr>
                <w:b/>
                <w:bCs/>
              </w:rPr>
              <w:t>£'m</w:t>
            </w:r>
          </w:p>
        </w:tc>
        <w:tc>
          <w:tcPr>
            <w:tcW w:w="1290" w:type="dxa"/>
            <w:tcBorders>
              <w:bottom w:val="single" w:sz="4" w:space="0" w:color="auto"/>
            </w:tcBorders>
            <w:shd w:val="clear" w:color="auto" w:fill="auto"/>
          </w:tcPr>
          <w:p w14:paraId="0B1C5547" w14:textId="77777777" w:rsidR="00421D81" w:rsidRPr="00E777F3" w:rsidRDefault="00421D81" w:rsidP="00F51BBE">
            <w:pPr>
              <w:jc w:val="center"/>
              <w:rPr>
                <w:b/>
                <w:bCs/>
              </w:rPr>
            </w:pPr>
            <w:r w:rsidRPr="00E777F3">
              <w:rPr>
                <w:b/>
                <w:bCs/>
              </w:rPr>
              <w:t>31</w:t>
            </w:r>
            <w:r>
              <w:rPr>
                <w:b/>
                <w:bCs/>
              </w:rPr>
              <w:t xml:space="preserve"> </w:t>
            </w:r>
            <w:r w:rsidRPr="00E777F3">
              <w:rPr>
                <w:b/>
                <w:bCs/>
              </w:rPr>
              <w:t>March 20</w:t>
            </w:r>
            <w:r>
              <w:rPr>
                <w:b/>
                <w:bCs/>
              </w:rPr>
              <w:t>21</w:t>
            </w:r>
          </w:p>
          <w:p w14:paraId="59004288" w14:textId="77777777" w:rsidR="00421D81" w:rsidRPr="00E777F3" w:rsidRDefault="00421D81" w:rsidP="00F51BBE">
            <w:pPr>
              <w:jc w:val="center"/>
              <w:rPr>
                <w:b/>
                <w:bCs/>
              </w:rPr>
            </w:pPr>
            <w:r w:rsidRPr="00E777F3">
              <w:rPr>
                <w:b/>
                <w:bCs/>
              </w:rPr>
              <w:t>£'m</w:t>
            </w:r>
          </w:p>
        </w:tc>
        <w:tc>
          <w:tcPr>
            <w:tcW w:w="1291" w:type="dxa"/>
            <w:tcBorders>
              <w:bottom w:val="single" w:sz="4" w:space="0" w:color="auto"/>
            </w:tcBorders>
            <w:shd w:val="clear" w:color="auto" w:fill="auto"/>
          </w:tcPr>
          <w:p w14:paraId="7A054F04" w14:textId="77777777" w:rsidR="00421D81" w:rsidRPr="00E777F3" w:rsidRDefault="00421D81" w:rsidP="00F51BBE">
            <w:pPr>
              <w:jc w:val="center"/>
              <w:rPr>
                <w:b/>
                <w:bCs/>
              </w:rPr>
            </w:pPr>
            <w:r w:rsidRPr="00E777F3">
              <w:rPr>
                <w:b/>
                <w:bCs/>
              </w:rPr>
              <w:t>31</w:t>
            </w:r>
            <w:r>
              <w:rPr>
                <w:b/>
                <w:bCs/>
              </w:rPr>
              <w:t xml:space="preserve"> </w:t>
            </w:r>
            <w:r w:rsidRPr="00E777F3">
              <w:rPr>
                <w:b/>
                <w:bCs/>
              </w:rPr>
              <w:t>March 20</w:t>
            </w:r>
            <w:r>
              <w:rPr>
                <w:b/>
                <w:bCs/>
              </w:rPr>
              <w:t>22</w:t>
            </w:r>
          </w:p>
          <w:p w14:paraId="38B55712" w14:textId="77777777" w:rsidR="00421D81" w:rsidRPr="00E777F3" w:rsidRDefault="00421D81" w:rsidP="00F51BBE">
            <w:pPr>
              <w:jc w:val="center"/>
              <w:rPr>
                <w:b/>
                <w:bCs/>
              </w:rPr>
            </w:pPr>
            <w:r w:rsidRPr="00E777F3">
              <w:rPr>
                <w:b/>
                <w:bCs/>
              </w:rPr>
              <w:t>£'m</w:t>
            </w:r>
          </w:p>
        </w:tc>
        <w:tc>
          <w:tcPr>
            <w:tcW w:w="1291" w:type="dxa"/>
            <w:tcBorders>
              <w:bottom w:val="single" w:sz="4" w:space="0" w:color="auto"/>
            </w:tcBorders>
            <w:shd w:val="clear" w:color="auto" w:fill="auto"/>
          </w:tcPr>
          <w:p w14:paraId="1FDA28E1" w14:textId="77777777" w:rsidR="00421D81" w:rsidRPr="00E777F3" w:rsidRDefault="00421D81" w:rsidP="00F51BBE">
            <w:pPr>
              <w:jc w:val="center"/>
              <w:rPr>
                <w:b/>
                <w:bCs/>
              </w:rPr>
            </w:pPr>
            <w:r w:rsidRPr="00E777F3">
              <w:rPr>
                <w:b/>
                <w:bCs/>
              </w:rPr>
              <w:t>31</w:t>
            </w:r>
            <w:r>
              <w:rPr>
                <w:b/>
                <w:bCs/>
              </w:rPr>
              <w:t xml:space="preserve"> </w:t>
            </w:r>
            <w:r w:rsidRPr="00E777F3">
              <w:rPr>
                <w:b/>
                <w:bCs/>
              </w:rPr>
              <w:t>March 20</w:t>
            </w:r>
            <w:r>
              <w:rPr>
                <w:b/>
                <w:bCs/>
              </w:rPr>
              <w:t>23</w:t>
            </w:r>
          </w:p>
          <w:p w14:paraId="0F5F0354" w14:textId="77777777" w:rsidR="00421D81" w:rsidRPr="00E777F3" w:rsidRDefault="00421D81" w:rsidP="00F51BBE">
            <w:pPr>
              <w:jc w:val="center"/>
              <w:rPr>
                <w:b/>
                <w:bCs/>
              </w:rPr>
            </w:pPr>
            <w:r w:rsidRPr="00E777F3">
              <w:rPr>
                <w:b/>
                <w:bCs/>
              </w:rPr>
              <w:t>£'m</w:t>
            </w:r>
          </w:p>
        </w:tc>
        <w:tc>
          <w:tcPr>
            <w:tcW w:w="1434" w:type="dxa"/>
            <w:tcBorders>
              <w:bottom w:val="single" w:sz="4" w:space="0" w:color="auto"/>
            </w:tcBorders>
            <w:shd w:val="clear" w:color="auto" w:fill="auto"/>
          </w:tcPr>
          <w:p w14:paraId="4B0F5AD9" w14:textId="77777777" w:rsidR="00421D81" w:rsidRDefault="00421D81" w:rsidP="00F51BBE">
            <w:pPr>
              <w:jc w:val="center"/>
              <w:rPr>
                <w:b/>
                <w:bCs/>
              </w:rPr>
            </w:pPr>
            <w:r w:rsidRPr="00E777F3">
              <w:rPr>
                <w:b/>
                <w:bCs/>
              </w:rPr>
              <w:t>31</w:t>
            </w:r>
            <w:r>
              <w:rPr>
                <w:b/>
                <w:bCs/>
                <w:vertAlign w:val="superscript"/>
              </w:rPr>
              <w:t xml:space="preserve"> </w:t>
            </w:r>
            <w:r w:rsidRPr="00E777F3">
              <w:rPr>
                <w:b/>
                <w:bCs/>
              </w:rPr>
              <w:t>March 20</w:t>
            </w:r>
            <w:r>
              <w:rPr>
                <w:b/>
                <w:bCs/>
              </w:rPr>
              <w:t xml:space="preserve">24 </w:t>
            </w:r>
          </w:p>
          <w:p w14:paraId="271D0C8D" w14:textId="77777777" w:rsidR="00421D81" w:rsidRPr="00E777F3" w:rsidRDefault="00421D81" w:rsidP="00F51BBE">
            <w:pPr>
              <w:jc w:val="center"/>
              <w:rPr>
                <w:b/>
                <w:bCs/>
              </w:rPr>
            </w:pPr>
            <w:r w:rsidRPr="00E777F3">
              <w:rPr>
                <w:b/>
                <w:bCs/>
              </w:rPr>
              <w:t>£'m</w:t>
            </w:r>
          </w:p>
        </w:tc>
      </w:tr>
      <w:tr w:rsidR="00421D81" w:rsidRPr="001322A8" w14:paraId="713A01B7" w14:textId="77777777" w:rsidTr="00F51BBE">
        <w:trPr>
          <w:trHeight w:val="473"/>
        </w:trPr>
        <w:tc>
          <w:tcPr>
            <w:tcW w:w="2099" w:type="dxa"/>
            <w:shd w:val="clear" w:color="auto" w:fill="auto"/>
          </w:tcPr>
          <w:p w14:paraId="1C28DFF0" w14:textId="77777777" w:rsidR="00421D81" w:rsidRPr="001322A8" w:rsidRDefault="00421D81" w:rsidP="00F51BBE">
            <w:pPr>
              <w:pStyle w:val="Header"/>
              <w:rPr>
                <w:rFonts w:ascii="Arial" w:hAnsi="Arial" w:cs="Arial"/>
                <w:sz w:val="22"/>
              </w:rPr>
            </w:pPr>
            <w:r w:rsidRPr="001322A8">
              <w:rPr>
                <w:rFonts w:ascii="Arial" w:hAnsi="Arial" w:cs="Arial"/>
                <w:sz w:val="22"/>
              </w:rPr>
              <w:t>Capital financing requirement (CFR)</w:t>
            </w:r>
          </w:p>
        </w:tc>
        <w:tc>
          <w:tcPr>
            <w:tcW w:w="1196" w:type="dxa"/>
            <w:tcBorders>
              <w:bottom w:val="single" w:sz="4" w:space="0" w:color="auto"/>
            </w:tcBorders>
            <w:vAlign w:val="center"/>
          </w:tcPr>
          <w:p w14:paraId="6723B3CE" w14:textId="77777777" w:rsidR="00421D81" w:rsidRPr="002D2707" w:rsidRDefault="00421D81" w:rsidP="00F51BBE">
            <w:pPr>
              <w:ind w:right="113"/>
              <w:jc w:val="right"/>
            </w:pPr>
            <w:r>
              <w:t>63.5</w:t>
            </w:r>
          </w:p>
        </w:tc>
        <w:tc>
          <w:tcPr>
            <w:tcW w:w="1290" w:type="dxa"/>
            <w:tcBorders>
              <w:bottom w:val="single" w:sz="4" w:space="0" w:color="auto"/>
            </w:tcBorders>
            <w:vAlign w:val="center"/>
          </w:tcPr>
          <w:p w14:paraId="5FB5D9D3" w14:textId="77777777" w:rsidR="00421D81" w:rsidRPr="002D2707" w:rsidRDefault="00421D81" w:rsidP="00F51BBE">
            <w:pPr>
              <w:ind w:right="113"/>
              <w:jc w:val="right"/>
            </w:pPr>
            <w:r>
              <w:t>75.8</w:t>
            </w:r>
          </w:p>
        </w:tc>
        <w:tc>
          <w:tcPr>
            <w:tcW w:w="1291" w:type="dxa"/>
            <w:tcBorders>
              <w:bottom w:val="single" w:sz="4" w:space="0" w:color="auto"/>
            </w:tcBorders>
            <w:vAlign w:val="center"/>
          </w:tcPr>
          <w:p w14:paraId="5E725462" w14:textId="77777777" w:rsidR="00421D81" w:rsidRPr="002D2707" w:rsidRDefault="00421D81" w:rsidP="00F51BBE">
            <w:pPr>
              <w:ind w:right="113"/>
              <w:jc w:val="right"/>
            </w:pPr>
            <w:r>
              <w:t>93.6</w:t>
            </w:r>
          </w:p>
        </w:tc>
        <w:tc>
          <w:tcPr>
            <w:tcW w:w="1291" w:type="dxa"/>
            <w:tcBorders>
              <w:bottom w:val="single" w:sz="4" w:space="0" w:color="auto"/>
            </w:tcBorders>
            <w:vAlign w:val="center"/>
          </w:tcPr>
          <w:p w14:paraId="631C208C" w14:textId="77777777" w:rsidR="00421D81" w:rsidRPr="002D2707" w:rsidRDefault="00421D81" w:rsidP="00F51BBE">
            <w:pPr>
              <w:ind w:right="113"/>
              <w:jc w:val="right"/>
            </w:pPr>
            <w:r w:rsidRPr="002D2707">
              <w:t>9</w:t>
            </w:r>
            <w:r>
              <w:t>8.0</w:t>
            </w:r>
          </w:p>
        </w:tc>
        <w:tc>
          <w:tcPr>
            <w:tcW w:w="1434" w:type="dxa"/>
            <w:tcBorders>
              <w:bottom w:val="single" w:sz="4" w:space="0" w:color="auto"/>
            </w:tcBorders>
            <w:vAlign w:val="center"/>
          </w:tcPr>
          <w:p w14:paraId="491978BF" w14:textId="77777777" w:rsidR="00421D81" w:rsidRPr="002D2707" w:rsidRDefault="00421D81" w:rsidP="00F51BBE">
            <w:pPr>
              <w:ind w:right="113"/>
              <w:jc w:val="right"/>
            </w:pPr>
            <w:r w:rsidRPr="002D2707">
              <w:t>9</w:t>
            </w:r>
            <w:r>
              <w:t>4.6</w:t>
            </w:r>
          </w:p>
        </w:tc>
      </w:tr>
      <w:tr w:rsidR="00421D81" w:rsidRPr="001322A8" w14:paraId="13568D65" w14:textId="77777777" w:rsidTr="00F51BBE">
        <w:trPr>
          <w:trHeight w:val="229"/>
        </w:trPr>
        <w:tc>
          <w:tcPr>
            <w:tcW w:w="2099" w:type="dxa"/>
          </w:tcPr>
          <w:p w14:paraId="5960AA83" w14:textId="77777777" w:rsidR="00421D81" w:rsidRPr="001322A8" w:rsidRDefault="00421D81" w:rsidP="00F51BBE">
            <w:pPr>
              <w:jc w:val="both"/>
            </w:pPr>
            <w:r w:rsidRPr="001322A8">
              <w:t>External borrowing</w:t>
            </w:r>
          </w:p>
        </w:tc>
        <w:tc>
          <w:tcPr>
            <w:tcW w:w="1196" w:type="dxa"/>
            <w:tcBorders>
              <w:top w:val="single" w:sz="4" w:space="0" w:color="auto"/>
            </w:tcBorders>
            <w:vAlign w:val="center"/>
          </w:tcPr>
          <w:p w14:paraId="6C7A461E" w14:textId="77777777" w:rsidR="00421D81" w:rsidRPr="002D2707" w:rsidRDefault="00421D81" w:rsidP="00F51BBE">
            <w:pPr>
              <w:ind w:right="113"/>
              <w:jc w:val="right"/>
            </w:pPr>
            <w:r w:rsidRPr="002D2707">
              <w:t>-</w:t>
            </w:r>
            <w:r>
              <w:t>97.3</w:t>
            </w:r>
          </w:p>
        </w:tc>
        <w:tc>
          <w:tcPr>
            <w:tcW w:w="1290" w:type="dxa"/>
            <w:tcBorders>
              <w:top w:val="single" w:sz="4" w:space="0" w:color="auto"/>
            </w:tcBorders>
            <w:vAlign w:val="center"/>
          </w:tcPr>
          <w:p w14:paraId="29E0E7A2" w14:textId="77777777" w:rsidR="00421D81" w:rsidRPr="002D2707" w:rsidRDefault="00421D81" w:rsidP="00F51BBE">
            <w:pPr>
              <w:ind w:right="113"/>
              <w:jc w:val="right"/>
            </w:pPr>
            <w:r w:rsidRPr="002D2707">
              <w:t>-9</w:t>
            </w:r>
            <w:r>
              <w:t>4.5</w:t>
            </w:r>
          </w:p>
        </w:tc>
        <w:tc>
          <w:tcPr>
            <w:tcW w:w="1291" w:type="dxa"/>
            <w:tcBorders>
              <w:top w:val="single" w:sz="4" w:space="0" w:color="auto"/>
            </w:tcBorders>
            <w:vAlign w:val="center"/>
          </w:tcPr>
          <w:p w14:paraId="3422F9B5" w14:textId="77777777" w:rsidR="00421D81" w:rsidRPr="002D2707" w:rsidRDefault="00421D81" w:rsidP="00F51BBE">
            <w:pPr>
              <w:ind w:right="113"/>
              <w:jc w:val="right"/>
            </w:pPr>
            <w:r w:rsidRPr="002D2707">
              <w:t>-11</w:t>
            </w:r>
            <w:r>
              <w:t>4.5</w:t>
            </w:r>
          </w:p>
        </w:tc>
        <w:tc>
          <w:tcPr>
            <w:tcW w:w="1291" w:type="dxa"/>
            <w:tcBorders>
              <w:top w:val="single" w:sz="4" w:space="0" w:color="auto"/>
            </w:tcBorders>
            <w:vAlign w:val="center"/>
          </w:tcPr>
          <w:p w14:paraId="3CD27603" w14:textId="77777777" w:rsidR="00421D81" w:rsidRPr="002D2707" w:rsidRDefault="00421D81" w:rsidP="00F51BBE">
            <w:pPr>
              <w:ind w:right="113"/>
              <w:jc w:val="right"/>
            </w:pPr>
            <w:r w:rsidRPr="002D2707">
              <w:t>-1</w:t>
            </w:r>
            <w:r>
              <w:t>21.5</w:t>
            </w:r>
          </w:p>
        </w:tc>
        <w:tc>
          <w:tcPr>
            <w:tcW w:w="1434" w:type="dxa"/>
            <w:tcBorders>
              <w:top w:val="single" w:sz="4" w:space="0" w:color="auto"/>
            </w:tcBorders>
            <w:vAlign w:val="center"/>
          </w:tcPr>
          <w:p w14:paraId="71062216" w14:textId="77777777" w:rsidR="00421D81" w:rsidRPr="002D2707" w:rsidRDefault="00421D81" w:rsidP="00F51BBE">
            <w:pPr>
              <w:ind w:right="113"/>
              <w:jc w:val="right"/>
            </w:pPr>
            <w:r w:rsidRPr="002D2707">
              <w:t>-120.</w:t>
            </w:r>
            <w:r>
              <w:t>7</w:t>
            </w:r>
          </w:p>
        </w:tc>
      </w:tr>
      <w:tr w:rsidR="00421D81" w:rsidRPr="001322A8" w14:paraId="24DF2A7B" w14:textId="77777777" w:rsidTr="00F51BBE">
        <w:trPr>
          <w:trHeight w:val="243"/>
        </w:trPr>
        <w:tc>
          <w:tcPr>
            <w:tcW w:w="2099" w:type="dxa"/>
          </w:tcPr>
          <w:p w14:paraId="7A7B28A4" w14:textId="77777777" w:rsidR="00421D81" w:rsidRPr="001322A8" w:rsidRDefault="00421D81" w:rsidP="00F51BBE">
            <w:pPr>
              <w:jc w:val="both"/>
            </w:pPr>
            <w:r w:rsidRPr="001322A8">
              <w:t>Variance</w:t>
            </w:r>
          </w:p>
        </w:tc>
        <w:tc>
          <w:tcPr>
            <w:tcW w:w="1196" w:type="dxa"/>
            <w:vAlign w:val="center"/>
          </w:tcPr>
          <w:p w14:paraId="61D30A52" w14:textId="77777777" w:rsidR="00421D81" w:rsidRPr="002D2707" w:rsidRDefault="00421D81" w:rsidP="00F51BBE">
            <w:pPr>
              <w:ind w:right="113"/>
              <w:jc w:val="right"/>
            </w:pPr>
            <w:r w:rsidRPr="002D2707">
              <w:t>-</w:t>
            </w:r>
            <w:r>
              <w:t>33.8</w:t>
            </w:r>
          </w:p>
        </w:tc>
        <w:tc>
          <w:tcPr>
            <w:tcW w:w="1290" w:type="dxa"/>
            <w:vAlign w:val="center"/>
          </w:tcPr>
          <w:p w14:paraId="783FD79C" w14:textId="77777777" w:rsidR="00421D81" w:rsidRPr="002D2707" w:rsidRDefault="00421D81" w:rsidP="00F51BBE">
            <w:pPr>
              <w:ind w:right="113"/>
              <w:jc w:val="right"/>
            </w:pPr>
            <w:r w:rsidRPr="002D2707">
              <w:t>-1</w:t>
            </w:r>
            <w:r>
              <w:t>8.7</w:t>
            </w:r>
          </w:p>
        </w:tc>
        <w:tc>
          <w:tcPr>
            <w:tcW w:w="1291" w:type="dxa"/>
            <w:vAlign w:val="center"/>
          </w:tcPr>
          <w:p w14:paraId="443F641F" w14:textId="77777777" w:rsidR="00421D81" w:rsidRPr="002D2707" w:rsidRDefault="00421D81" w:rsidP="00F51BBE">
            <w:pPr>
              <w:ind w:right="113"/>
              <w:jc w:val="right"/>
            </w:pPr>
            <w:r w:rsidRPr="002D2707">
              <w:t>-</w:t>
            </w:r>
            <w:r>
              <w:t>20.9</w:t>
            </w:r>
          </w:p>
        </w:tc>
        <w:tc>
          <w:tcPr>
            <w:tcW w:w="1291" w:type="dxa"/>
            <w:vAlign w:val="center"/>
          </w:tcPr>
          <w:p w14:paraId="4EF0DB31" w14:textId="77777777" w:rsidR="00421D81" w:rsidRPr="002D2707" w:rsidRDefault="00421D81" w:rsidP="00F51BBE">
            <w:pPr>
              <w:ind w:right="113"/>
              <w:jc w:val="right"/>
            </w:pPr>
            <w:r w:rsidRPr="002D2707">
              <w:t>-2</w:t>
            </w:r>
            <w:r>
              <w:t>3.5</w:t>
            </w:r>
          </w:p>
        </w:tc>
        <w:tc>
          <w:tcPr>
            <w:tcW w:w="1434" w:type="dxa"/>
            <w:vAlign w:val="center"/>
          </w:tcPr>
          <w:p w14:paraId="0915D027" w14:textId="77777777" w:rsidR="00421D81" w:rsidRPr="002D2707" w:rsidRDefault="00421D81" w:rsidP="00F51BBE">
            <w:pPr>
              <w:ind w:right="113"/>
              <w:jc w:val="right"/>
            </w:pPr>
            <w:r w:rsidRPr="002D2707">
              <w:t>-2</w:t>
            </w:r>
            <w:r>
              <w:t>6.1</w:t>
            </w:r>
          </w:p>
        </w:tc>
      </w:tr>
    </w:tbl>
    <w:p w14:paraId="206D8102" w14:textId="77777777" w:rsidR="00421D81" w:rsidRPr="001322A8" w:rsidRDefault="00421D81" w:rsidP="00421D81">
      <w:pPr>
        <w:jc w:val="both"/>
      </w:pPr>
    </w:p>
    <w:p w14:paraId="23FAF8C7" w14:textId="77777777" w:rsidR="00421D81" w:rsidRDefault="00421D81" w:rsidP="00421D81">
      <w:pPr>
        <w:ind w:left="720"/>
        <w:jc w:val="both"/>
      </w:pPr>
      <w:r>
        <w:t xml:space="preserve">The CFR is the historic underlying need to borrow for capital expenditure net of all capital receipts, grant, revenue contributions etc. The CFR increases when unfinanced expenditure is incurred and reduces when provision is made to repay that debt. </w:t>
      </w:r>
    </w:p>
    <w:p w14:paraId="6E26B5F8" w14:textId="77777777" w:rsidR="00421D81" w:rsidRDefault="00421D81" w:rsidP="00421D81">
      <w:pPr>
        <w:ind w:left="720"/>
        <w:jc w:val="both"/>
      </w:pPr>
    </w:p>
    <w:p w14:paraId="5E1FD677" w14:textId="77777777" w:rsidR="00421D81" w:rsidRDefault="00421D81" w:rsidP="00421D81">
      <w:pPr>
        <w:ind w:left="720"/>
        <w:jc w:val="both"/>
      </w:pPr>
    </w:p>
    <w:p w14:paraId="06737850" w14:textId="77777777" w:rsidR="00421D81" w:rsidRDefault="00421D81" w:rsidP="00421D81">
      <w:pPr>
        <w:ind w:left="495"/>
      </w:pPr>
      <w:r>
        <w:rPr>
          <w:noProof/>
        </w:rPr>
        <w:drawing>
          <wp:inline distT="0" distB="0" distL="0" distR="0" wp14:anchorId="5A19DCCA" wp14:editId="2D381A22">
            <wp:extent cx="4572000" cy="27432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6DB49D1" w14:textId="77777777" w:rsidR="00421D81" w:rsidRDefault="00421D81" w:rsidP="00421D81"/>
    <w:p w14:paraId="75AB859A" w14:textId="77777777" w:rsidR="00421D81" w:rsidRDefault="00421D81" w:rsidP="00421D81">
      <w:pPr>
        <w:ind w:left="495" w:hanging="495"/>
        <w:jc w:val="both"/>
      </w:pPr>
      <w:r>
        <w:t>3.6</w:t>
      </w:r>
      <w:r>
        <w:tab/>
        <w:t>External Borrowing is used to finance capital expenditure in land and buildings. Therefore although there is an increased liability on the balance sheet this is offset by increase in the value of assets to be utilised by the commissioner.</w:t>
      </w:r>
    </w:p>
    <w:p w14:paraId="50316B5E" w14:textId="77777777" w:rsidR="00421D81" w:rsidRDefault="00421D81" w:rsidP="00421D81">
      <w:pPr>
        <w:pStyle w:val="BodyTextIndent"/>
        <w:ind w:left="0"/>
        <w:rPr>
          <w:rFonts w:ascii="Arial" w:hAnsi="Arial"/>
          <w:b/>
          <w:bCs/>
        </w:rPr>
      </w:pPr>
    </w:p>
    <w:p w14:paraId="12F0C9E5" w14:textId="77777777" w:rsidR="00421D81" w:rsidRDefault="00421D81" w:rsidP="00421D81">
      <w:pPr>
        <w:jc w:val="both"/>
        <w:rPr>
          <w:b/>
        </w:rPr>
      </w:pPr>
      <w:r>
        <w:rPr>
          <w:b/>
        </w:rPr>
        <w:t>4.0</w:t>
      </w:r>
      <w:r>
        <w:rPr>
          <w:b/>
        </w:rPr>
        <w:tab/>
        <w:t xml:space="preserve">PROSPECTS FOR INTEREST </w:t>
      </w:r>
      <w:r w:rsidRPr="00BF46E7">
        <w:rPr>
          <w:b/>
        </w:rPr>
        <w:t>RATES</w:t>
      </w:r>
    </w:p>
    <w:p w14:paraId="3A7E1A60" w14:textId="77777777" w:rsidR="00421D81" w:rsidRDefault="00421D81" w:rsidP="00421D81">
      <w:pPr>
        <w:jc w:val="both"/>
      </w:pPr>
    </w:p>
    <w:p w14:paraId="12C6B9F5" w14:textId="77777777" w:rsidR="00421D81" w:rsidRDefault="00421D81" w:rsidP="00421D81">
      <w:pPr>
        <w:pStyle w:val="BodyTextIndent"/>
        <w:spacing w:after="0"/>
        <w:ind w:left="567" w:hanging="567"/>
        <w:jc w:val="both"/>
        <w:rPr>
          <w:rFonts w:ascii="Arial" w:hAnsi="Arial"/>
          <w:bCs/>
        </w:rPr>
      </w:pPr>
      <w:r w:rsidRPr="00D201B4">
        <w:rPr>
          <w:rFonts w:ascii="Arial" w:hAnsi="Arial"/>
          <w:bCs/>
        </w:rPr>
        <w:t>4.1</w:t>
      </w:r>
      <w:r>
        <w:rPr>
          <w:rFonts w:ascii="Arial" w:hAnsi="Arial"/>
          <w:b/>
          <w:bCs/>
        </w:rPr>
        <w:tab/>
      </w:r>
      <w:r w:rsidRPr="00D201B4">
        <w:rPr>
          <w:rFonts w:ascii="Arial" w:hAnsi="Arial"/>
          <w:bCs/>
        </w:rPr>
        <w:t>The C</w:t>
      </w:r>
      <w:r>
        <w:rPr>
          <w:rFonts w:ascii="Arial" w:hAnsi="Arial"/>
          <w:bCs/>
        </w:rPr>
        <w:t>ommissioner</w:t>
      </w:r>
      <w:r w:rsidRPr="00D201B4">
        <w:rPr>
          <w:rFonts w:ascii="Arial" w:hAnsi="Arial"/>
          <w:bCs/>
        </w:rPr>
        <w:t xml:space="preserve"> continues to use </w:t>
      </w:r>
      <w:r>
        <w:rPr>
          <w:rFonts w:ascii="Arial" w:hAnsi="Arial"/>
          <w:bCs/>
        </w:rPr>
        <w:t>Link</w:t>
      </w:r>
      <w:r w:rsidRPr="00D201B4">
        <w:rPr>
          <w:rFonts w:ascii="Arial" w:hAnsi="Arial"/>
          <w:bCs/>
        </w:rPr>
        <w:t xml:space="preserve"> </w:t>
      </w:r>
      <w:r>
        <w:rPr>
          <w:rFonts w:ascii="Arial" w:hAnsi="Arial"/>
          <w:bCs/>
        </w:rPr>
        <w:t>Asset</w:t>
      </w:r>
      <w:r w:rsidRPr="00D201B4">
        <w:rPr>
          <w:rFonts w:ascii="Arial" w:hAnsi="Arial"/>
          <w:bCs/>
        </w:rPr>
        <w:t xml:space="preserve"> Services</w:t>
      </w:r>
      <w:r>
        <w:rPr>
          <w:rFonts w:ascii="Arial" w:hAnsi="Arial"/>
          <w:bCs/>
        </w:rPr>
        <w:t xml:space="preserve"> (LAS)</w:t>
      </w:r>
      <w:r w:rsidRPr="00D201B4">
        <w:rPr>
          <w:rFonts w:ascii="Arial" w:hAnsi="Arial"/>
          <w:bCs/>
        </w:rPr>
        <w:t xml:space="preserve"> as a treasury advisor and has made use of their services in formulating a view on interest rates.  </w:t>
      </w:r>
      <w:r>
        <w:rPr>
          <w:rFonts w:ascii="Arial" w:hAnsi="Arial"/>
          <w:bCs/>
        </w:rPr>
        <w:t>LAS</w:t>
      </w:r>
      <w:r w:rsidRPr="00D201B4">
        <w:rPr>
          <w:rFonts w:ascii="Arial" w:hAnsi="Arial"/>
          <w:bCs/>
        </w:rPr>
        <w:t xml:space="preserve"> has in turn drawn upon the work of a number of City economic forecasters.  Having discussed these, the following view of the prospects for interest rates over the next twelve months</w:t>
      </w:r>
      <w:r>
        <w:rPr>
          <w:rFonts w:ascii="Arial" w:hAnsi="Arial"/>
          <w:bCs/>
        </w:rPr>
        <w:t xml:space="preserve"> and beyond</w:t>
      </w:r>
      <w:r w:rsidRPr="00D201B4">
        <w:rPr>
          <w:rFonts w:ascii="Arial" w:hAnsi="Arial"/>
          <w:bCs/>
        </w:rPr>
        <w:t xml:space="preserve"> has been derived:</w:t>
      </w:r>
    </w:p>
    <w:p w14:paraId="6CD8A0C0" w14:textId="77777777" w:rsidR="00421D81" w:rsidRDefault="00421D81" w:rsidP="00421D81">
      <w:pPr>
        <w:pStyle w:val="BodyTextIndent"/>
        <w:spacing w:after="0"/>
        <w:ind w:left="567" w:hanging="567"/>
        <w:jc w:val="both"/>
        <w:rPr>
          <w:rFonts w:ascii="Arial" w:hAnsi="Arial"/>
        </w:rPr>
      </w:pPr>
    </w:p>
    <w:p w14:paraId="4D9BE128" w14:textId="77777777" w:rsidR="00421D81" w:rsidRPr="00531771" w:rsidRDefault="00421D81" w:rsidP="00421D81">
      <w:pPr>
        <w:numPr>
          <w:ilvl w:val="0"/>
          <w:numId w:val="31"/>
        </w:numPr>
        <w:ind w:left="567" w:hanging="567"/>
        <w:jc w:val="both"/>
        <w:rPr>
          <w:b/>
          <w:color w:val="000000"/>
        </w:rPr>
      </w:pPr>
      <w:r w:rsidRPr="00531771">
        <w:rPr>
          <w:b/>
          <w:bCs/>
        </w:rPr>
        <w:t>Short-term rates.</w:t>
      </w:r>
      <w:r w:rsidRPr="00531771">
        <w:t xml:space="preserve">  </w:t>
      </w:r>
    </w:p>
    <w:p w14:paraId="70199BA9" w14:textId="77777777" w:rsidR="00421D81" w:rsidRPr="002D2707" w:rsidRDefault="00421D81" w:rsidP="00421D81">
      <w:pPr>
        <w:ind w:left="567"/>
        <w:rPr>
          <w:highlight w:val="yellow"/>
        </w:rPr>
      </w:pPr>
      <w:r w:rsidRPr="00FE4F38">
        <w:rPr>
          <w:lang w:val="en-AU"/>
        </w:rPr>
        <w:t>The coronavirus outbreak has done huge economic damage to the UK and economies around the world. After the Bank of England took emergency action in March</w:t>
      </w:r>
      <w:r>
        <w:rPr>
          <w:lang w:val="en-AU"/>
        </w:rPr>
        <w:t xml:space="preserve"> 2020</w:t>
      </w:r>
      <w:r w:rsidRPr="00FE4F38">
        <w:rPr>
          <w:lang w:val="en-AU"/>
        </w:rPr>
        <w:t xml:space="preserve"> to cut Bank Rate to first 0.25%, and then to 0.10%, it </w:t>
      </w:r>
      <w:r>
        <w:rPr>
          <w:lang w:val="en-AU"/>
        </w:rPr>
        <w:t xml:space="preserve">subsequently </w:t>
      </w:r>
      <w:r w:rsidRPr="00FE4F38">
        <w:rPr>
          <w:lang w:val="en-AU"/>
        </w:rPr>
        <w:t xml:space="preserve">left Bank Rate unchanged at its </w:t>
      </w:r>
      <w:r>
        <w:rPr>
          <w:lang w:val="en-AU"/>
        </w:rPr>
        <w:t xml:space="preserve">subsequent </w:t>
      </w:r>
      <w:r w:rsidRPr="00FE4F38">
        <w:rPr>
          <w:lang w:val="en-AU"/>
        </w:rPr>
        <w:t>meeting</w:t>
      </w:r>
      <w:r>
        <w:rPr>
          <w:lang w:val="en-AU"/>
        </w:rPr>
        <w:t>s, including its last meeting on 4</w:t>
      </w:r>
      <w:r w:rsidRPr="00742896">
        <w:rPr>
          <w:vertAlign w:val="superscript"/>
          <w:lang w:val="en-AU"/>
        </w:rPr>
        <w:t>th</w:t>
      </w:r>
      <w:r>
        <w:rPr>
          <w:lang w:val="en-AU"/>
        </w:rPr>
        <w:t xml:space="preserve"> February 2021,</w:t>
      </w:r>
      <w:r w:rsidRPr="00FE4F38">
        <w:rPr>
          <w:lang w:val="en-AU"/>
        </w:rPr>
        <w:t xml:space="preserve"> </w:t>
      </w:r>
      <w:r w:rsidRPr="00FE4F38">
        <w:rPr>
          <w:lang w:val="en-AU"/>
        </w:rPr>
        <w:lastRenderedPageBreak/>
        <w:t>although some forecasters had suggested that a cut into negative territory could happen.</w:t>
      </w:r>
      <w:r>
        <w:rPr>
          <w:lang w:val="en-AU"/>
        </w:rPr>
        <w:t xml:space="preserve">  </w:t>
      </w:r>
      <w:r w:rsidRPr="00FE4F38">
        <w:rPr>
          <w:lang w:val="en-AU"/>
        </w:rPr>
        <w:t xml:space="preserve">However, </w:t>
      </w:r>
      <w:r>
        <w:rPr>
          <w:lang w:val="en-AU"/>
        </w:rPr>
        <w:t xml:space="preserve">at that last meeting, the BoE were informed that financial institutions were not prepared for implementing negative rates. The Monetary Policy Committee (MPC), therefore, requested that the Prudential Regulation Authority require financial institutions to prepare for such implementation if, at any time in the future, the MPC may wish to use that as a new monetary policy tool. The MPC made it clear that this did not in any way imply that it was about to use this tool. </w:t>
      </w:r>
      <w:r w:rsidRPr="002D2707">
        <w:rPr>
          <w:highlight w:val="yellow"/>
        </w:rPr>
        <w:br/>
      </w:r>
    </w:p>
    <w:p w14:paraId="2175A453" w14:textId="77777777" w:rsidR="00421D81" w:rsidRPr="00F10D49" w:rsidRDefault="00421D81" w:rsidP="00421D81">
      <w:pPr>
        <w:numPr>
          <w:ilvl w:val="0"/>
          <w:numId w:val="31"/>
        </w:numPr>
        <w:ind w:left="567" w:hanging="567"/>
        <w:jc w:val="both"/>
      </w:pPr>
      <w:r w:rsidRPr="00F10D49">
        <w:rPr>
          <w:b/>
        </w:rPr>
        <w:t>Long-term rates.</w:t>
      </w:r>
      <w:r w:rsidRPr="00F10D49">
        <w:t xml:space="preserve">  </w:t>
      </w:r>
    </w:p>
    <w:p w14:paraId="392DB66E" w14:textId="77777777" w:rsidR="00421D81" w:rsidRDefault="00421D81" w:rsidP="00421D81">
      <w:pPr>
        <w:ind w:left="567"/>
        <w:jc w:val="both"/>
      </w:pPr>
      <w:r>
        <w:t>LINK group have provided the following interest rate forecasts:</w:t>
      </w:r>
    </w:p>
    <w:p w14:paraId="29BC6F3B" w14:textId="77777777" w:rsidR="00421D81" w:rsidRDefault="00421D81" w:rsidP="00421D81">
      <w:pPr>
        <w:ind w:left="567" w:hanging="567"/>
      </w:pPr>
    </w:p>
    <w:p w14:paraId="3D03F909" w14:textId="77777777" w:rsidR="00421D81" w:rsidRDefault="00421D81" w:rsidP="00421D81">
      <w:pPr>
        <w:ind w:left="567" w:hanging="567"/>
      </w:pPr>
      <w:r>
        <w:tab/>
      </w:r>
      <w:r>
        <w:rPr>
          <w:i/>
          <w:noProof/>
        </w:rPr>
        <w:drawing>
          <wp:inline distT="0" distB="0" distL="0" distR="0" wp14:anchorId="5C4F61A4" wp14:editId="6C61C1DE">
            <wp:extent cx="5731510" cy="1664983"/>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1664983"/>
                    </a:xfrm>
                    <a:prstGeom prst="rect">
                      <a:avLst/>
                    </a:prstGeom>
                    <a:noFill/>
                  </pic:spPr>
                </pic:pic>
              </a:graphicData>
            </a:graphic>
          </wp:inline>
        </w:drawing>
      </w:r>
    </w:p>
    <w:p w14:paraId="5C759680" w14:textId="77777777" w:rsidR="00421D81" w:rsidRDefault="00421D81" w:rsidP="00421D81">
      <w:pPr>
        <w:numPr>
          <w:ilvl w:val="12"/>
          <w:numId w:val="0"/>
        </w:numPr>
        <w:ind w:left="567" w:hanging="567"/>
        <w:jc w:val="both"/>
      </w:pPr>
    </w:p>
    <w:p w14:paraId="261B8A3D" w14:textId="77777777" w:rsidR="00421D81" w:rsidRDefault="00421D81" w:rsidP="00421D81">
      <w:pPr>
        <w:numPr>
          <w:ilvl w:val="12"/>
          <w:numId w:val="0"/>
        </w:numPr>
        <w:ind w:left="567"/>
        <w:jc w:val="both"/>
      </w:pPr>
      <w:r>
        <w:t xml:space="preserve">PWLB rates dropped 100 basis points (1%) in November 2020 in response to a consultation.  The current borrowing rate represents the lowest that has been available for some time. </w:t>
      </w:r>
      <w:r w:rsidRPr="00FE4F38">
        <w:t>As the interest forecast</w:t>
      </w:r>
      <w:r>
        <w:t>s above</w:t>
      </w:r>
      <w:r w:rsidRPr="00FE4F38">
        <w:t xml:space="preserve"> shows, there is </w:t>
      </w:r>
      <w:r>
        <w:t xml:space="preserve">expected </w:t>
      </w:r>
      <w:r w:rsidRPr="00FE4F38">
        <w:t xml:space="preserve">to be little upward movement in PWLB rates over the next two years as </w:t>
      </w:r>
      <w:r>
        <w:t>government bond yields of major countries around the world are expected to rise little during this time in an environment where central bank rates are also expected to remain low for some years.  This is the result of a change of inflation targeting policy of central banks to one based on average inflation over a number of years. F</w:t>
      </w:r>
      <w:r w:rsidRPr="00D17206">
        <w:t>rom time to time, gilt yields, and therefore PWLB rates, can be subject to exceptional levels of volatility due to geo-political, sovereign debt crisis, emerging market developments and sharp changes in investor sentiment</w:t>
      </w:r>
      <w:r>
        <w:t xml:space="preserve"> (as shown on 9</w:t>
      </w:r>
      <w:r w:rsidRPr="00D726C6">
        <w:rPr>
          <w:vertAlign w:val="superscript"/>
        </w:rPr>
        <w:t>th</w:t>
      </w:r>
      <w:r>
        <w:t xml:space="preserve"> November 2020 when the first results of a successful COVID-19 vaccine trial were announced)</w:t>
      </w:r>
      <w:r w:rsidRPr="00D17206">
        <w:t>. Such volatility could occur at any time during the forecast period.</w:t>
      </w:r>
      <w:r>
        <w:t xml:space="preserve"> </w:t>
      </w:r>
    </w:p>
    <w:p w14:paraId="0993028E" w14:textId="77777777" w:rsidR="00421D81" w:rsidRPr="00396B39" w:rsidRDefault="00421D81" w:rsidP="00421D81">
      <w:pPr>
        <w:ind w:left="567" w:hanging="567"/>
      </w:pPr>
    </w:p>
    <w:p w14:paraId="67D5C47F" w14:textId="77777777" w:rsidR="00421D81" w:rsidRPr="00D839AD" w:rsidRDefault="00421D81" w:rsidP="00421D81">
      <w:pPr>
        <w:spacing w:after="210"/>
        <w:ind w:left="567" w:hanging="567"/>
        <w:jc w:val="both"/>
        <w:rPr>
          <w:color w:val="0D0D0D"/>
        </w:rPr>
      </w:pPr>
      <w:r>
        <w:rPr>
          <w:color w:val="0D0D0D"/>
        </w:rPr>
        <w:t>4.2</w:t>
      </w:r>
      <w:r>
        <w:rPr>
          <w:color w:val="0D0D0D"/>
        </w:rPr>
        <w:tab/>
        <w:t>While this Commissioner</w:t>
      </w:r>
      <w:r w:rsidRPr="00D839AD">
        <w:rPr>
          <w:color w:val="0D0D0D"/>
        </w:rPr>
        <w:t xml:space="preserve"> will not be able to avoid borrowing to finance new capital expenditure, to replace maturing deb</w:t>
      </w:r>
      <w:r>
        <w:rPr>
          <w:color w:val="0D0D0D"/>
        </w:rPr>
        <w:t xml:space="preserve">t and the rundown of reserves, </w:t>
      </w:r>
      <w:r w:rsidRPr="00D839AD">
        <w:rPr>
          <w:color w:val="0D0D0D"/>
        </w:rPr>
        <w:t xml:space="preserve">there will be a </w:t>
      </w:r>
      <w:r w:rsidRPr="0029464D">
        <w:rPr>
          <w:i/>
          <w:iCs/>
          <w:color w:val="0D0D0D"/>
        </w:rPr>
        <w:t>cost of carry</w:t>
      </w:r>
      <w:r w:rsidRPr="00D839AD">
        <w:rPr>
          <w:color w:val="0D0D0D"/>
        </w:rPr>
        <w:t>, (the difference between higher borrowing costs and lower investment returns), to any new borrowing that causes a temporary increase in cash balances</w:t>
      </w:r>
      <w:r>
        <w:rPr>
          <w:color w:val="0D0D0D"/>
        </w:rPr>
        <w:t>.</w:t>
      </w:r>
    </w:p>
    <w:p w14:paraId="0EE01DD9" w14:textId="77777777" w:rsidR="00421D81" w:rsidRDefault="00421D81" w:rsidP="00421D81">
      <w:pPr>
        <w:spacing w:line="276" w:lineRule="auto"/>
        <w:ind w:left="567" w:hanging="567"/>
        <w:jc w:val="both"/>
      </w:pPr>
      <w:r>
        <w:t>4.3</w:t>
      </w:r>
      <w:r>
        <w:tab/>
        <w:t>The overall strategy will be based on the projections above. However, the Commissioner will maintain flexibility to take account of unexpected variations from the forecast.</w:t>
      </w:r>
    </w:p>
    <w:p w14:paraId="46E5BBEA" w14:textId="77777777" w:rsidR="00421D81" w:rsidRDefault="00421D81" w:rsidP="00421D81">
      <w:pPr>
        <w:ind w:left="567" w:hanging="567"/>
        <w:jc w:val="both"/>
      </w:pPr>
    </w:p>
    <w:p w14:paraId="7666CEAE" w14:textId="77777777" w:rsidR="00421D81" w:rsidRDefault="00421D81" w:rsidP="00421D81">
      <w:pPr>
        <w:ind w:left="567" w:hanging="567"/>
        <w:rPr>
          <w:b/>
        </w:rPr>
      </w:pPr>
      <w:r>
        <w:rPr>
          <w:b/>
        </w:rPr>
        <w:t>5.0</w:t>
      </w:r>
      <w:r>
        <w:rPr>
          <w:b/>
        </w:rPr>
        <w:tab/>
        <w:t>ANNUAL INVESTMENT STRATEGY</w:t>
      </w:r>
    </w:p>
    <w:p w14:paraId="6113DEC6" w14:textId="77777777" w:rsidR="00421D81" w:rsidRDefault="00421D81" w:rsidP="00421D81">
      <w:pPr>
        <w:ind w:left="567" w:hanging="567"/>
        <w:rPr>
          <w:b/>
        </w:rPr>
      </w:pPr>
    </w:p>
    <w:p w14:paraId="52562B9E" w14:textId="77777777" w:rsidR="00421D81" w:rsidRDefault="00421D81" w:rsidP="00421D81">
      <w:pPr>
        <w:ind w:left="567" w:hanging="567"/>
        <w:jc w:val="both"/>
        <w:rPr>
          <w:color w:val="000000"/>
        </w:rPr>
      </w:pPr>
      <w:r w:rsidRPr="00E777F3">
        <w:t>5.1</w:t>
      </w:r>
      <w:r>
        <w:tab/>
      </w:r>
      <w:r w:rsidRPr="00E777F3">
        <w:rPr>
          <w:color w:val="000000"/>
        </w:rPr>
        <w:t xml:space="preserve">The </w:t>
      </w:r>
      <w:r>
        <w:rPr>
          <w:color w:val="000000"/>
        </w:rPr>
        <w:t xml:space="preserve">Commissioner’s </w:t>
      </w:r>
      <w:r>
        <w:t>investment activities</w:t>
      </w:r>
      <w:r w:rsidRPr="00E777F3">
        <w:rPr>
          <w:color w:val="000000"/>
        </w:rPr>
        <w:t xml:space="preserve"> have regard to </w:t>
      </w:r>
      <w:r>
        <w:rPr>
          <w:color w:val="000000"/>
        </w:rPr>
        <w:t xml:space="preserve">guidance issued by the </w:t>
      </w:r>
      <w:r w:rsidRPr="00E777F3">
        <w:rPr>
          <w:color w:val="000000"/>
        </w:rPr>
        <w:t>Government and</w:t>
      </w:r>
      <w:r>
        <w:rPr>
          <w:color w:val="000000"/>
        </w:rPr>
        <w:t xml:space="preserve"> CIPFA</w:t>
      </w:r>
      <w:r w:rsidRPr="00E777F3">
        <w:rPr>
          <w:color w:val="000000"/>
        </w:rPr>
        <w:t>.</w:t>
      </w:r>
    </w:p>
    <w:p w14:paraId="4ED4367F" w14:textId="77777777" w:rsidR="00421D81" w:rsidRDefault="00421D81" w:rsidP="00421D81">
      <w:pPr>
        <w:ind w:left="567" w:hanging="567"/>
        <w:jc w:val="both"/>
      </w:pPr>
    </w:p>
    <w:p w14:paraId="3E3B87C5" w14:textId="77777777" w:rsidR="00421D81" w:rsidRDefault="00421D81" w:rsidP="00421D81">
      <w:pPr>
        <w:pStyle w:val="BodyTextIndent"/>
        <w:numPr>
          <w:ilvl w:val="1"/>
          <w:numId w:val="32"/>
        </w:numPr>
        <w:spacing w:after="0"/>
        <w:ind w:left="567" w:hanging="567"/>
        <w:jc w:val="both"/>
        <w:rPr>
          <w:rFonts w:ascii="Arial" w:hAnsi="Arial" w:cs="Arial"/>
        </w:rPr>
      </w:pPr>
      <w:r w:rsidRPr="00D201B4">
        <w:rPr>
          <w:rFonts w:ascii="Arial" w:hAnsi="Arial"/>
          <w:bCs/>
        </w:rPr>
        <w:t xml:space="preserve">In making investment decisions, </w:t>
      </w:r>
      <w:r>
        <w:rPr>
          <w:rFonts w:ascii="Arial" w:hAnsi="Arial"/>
          <w:bCs/>
        </w:rPr>
        <w:t>the Commissioner’s investment priorities will be security first (capital preservation), liquidity second and then yield (return)</w:t>
      </w:r>
      <w:r w:rsidRPr="00D201B4">
        <w:rPr>
          <w:rFonts w:ascii="Arial" w:hAnsi="Arial"/>
          <w:bCs/>
        </w:rPr>
        <w:t>. Pursuit of the best possible ret</w:t>
      </w:r>
      <w:r>
        <w:rPr>
          <w:rFonts w:ascii="Arial" w:hAnsi="Arial"/>
          <w:bCs/>
        </w:rPr>
        <w:t xml:space="preserve">urn on investments will only be </w:t>
      </w:r>
      <w:r w:rsidRPr="00D201B4">
        <w:rPr>
          <w:rFonts w:ascii="Arial" w:hAnsi="Arial"/>
          <w:bCs/>
        </w:rPr>
        <w:t xml:space="preserve">allowed to the extent that this is </w:t>
      </w:r>
      <w:r w:rsidRPr="00D201B4">
        <w:rPr>
          <w:rFonts w:ascii="Arial" w:hAnsi="Arial" w:cs="Arial"/>
        </w:rPr>
        <w:t>consistent with very low levels of risk in terms of security and liquidity.</w:t>
      </w:r>
    </w:p>
    <w:p w14:paraId="0CD45E0C" w14:textId="77777777" w:rsidR="00421D81" w:rsidRDefault="00421D81" w:rsidP="00421D81">
      <w:pPr>
        <w:pStyle w:val="BodyTextIndent"/>
        <w:spacing w:after="0"/>
        <w:ind w:left="567" w:hanging="567"/>
        <w:jc w:val="both"/>
        <w:rPr>
          <w:rFonts w:ascii="Arial" w:hAnsi="Arial" w:cs="Arial"/>
        </w:rPr>
      </w:pPr>
    </w:p>
    <w:p w14:paraId="4A289ECB" w14:textId="77777777" w:rsidR="00421D81" w:rsidRPr="00B05550" w:rsidRDefault="00421D81" w:rsidP="00421D81">
      <w:pPr>
        <w:pStyle w:val="BodyTextIndent"/>
        <w:numPr>
          <w:ilvl w:val="1"/>
          <w:numId w:val="32"/>
        </w:numPr>
        <w:spacing w:after="0"/>
        <w:ind w:left="567" w:hanging="567"/>
        <w:jc w:val="both"/>
        <w:rPr>
          <w:rFonts w:ascii="Arial" w:hAnsi="Arial" w:cs="Arial"/>
        </w:rPr>
      </w:pPr>
      <w:r w:rsidRPr="00B05550">
        <w:rPr>
          <w:rFonts w:ascii="Arial" w:hAnsi="Arial" w:cs="Arial"/>
          <w:color w:val="0D0D0D" w:themeColor="text1" w:themeTint="F2"/>
        </w:rPr>
        <w:t>In the current economic climate it is considered appropriate to keep investments short term to cover cash flow needs.  However, where appropriate (from an internal as well as external perspective), the Commis</w:t>
      </w:r>
      <w:r>
        <w:rPr>
          <w:rFonts w:ascii="Arial" w:hAnsi="Arial" w:cs="Arial"/>
          <w:color w:val="0D0D0D" w:themeColor="text1" w:themeTint="F2"/>
        </w:rPr>
        <w:t>s</w:t>
      </w:r>
      <w:r w:rsidRPr="00B05550">
        <w:rPr>
          <w:rFonts w:ascii="Arial" w:hAnsi="Arial" w:cs="Arial"/>
          <w:color w:val="0D0D0D" w:themeColor="text1" w:themeTint="F2"/>
        </w:rPr>
        <w:t>ioner will also consider the value available in periods up to 12 months with high credit rated financial institutio</w:t>
      </w:r>
      <w:r>
        <w:rPr>
          <w:rFonts w:ascii="Arial" w:hAnsi="Arial" w:cs="Arial"/>
          <w:color w:val="0D0D0D" w:themeColor="text1" w:themeTint="F2"/>
        </w:rPr>
        <w:t xml:space="preserve">ns, as well as a wider range of </w:t>
      </w:r>
      <w:r w:rsidRPr="00B05550">
        <w:rPr>
          <w:rFonts w:ascii="Arial" w:hAnsi="Arial" w:cs="Arial"/>
          <w:color w:val="0D0D0D" w:themeColor="text1" w:themeTint="F2"/>
        </w:rPr>
        <w:t>options.</w:t>
      </w:r>
    </w:p>
    <w:p w14:paraId="1360A093" w14:textId="77777777" w:rsidR="00421D81" w:rsidRPr="002609A6" w:rsidRDefault="00421D81" w:rsidP="00421D81">
      <w:pPr>
        <w:pStyle w:val="BodyTextIndent"/>
        <w:spacing w:after="0"/>
        <w:ind w:left="567" w:hanging="567"/>
        <w:jc w:val="both"/>
        <w:rPr>
          <w:rFonts w:ascii="Arial" w:hAnsi="Arial" w:cs="Arial"/>
          <w:b/>
        </w:rPr>
      </w:pPr>
    </w:p>
    <w:p w14:paraId="7CFCDE2C" w14:textId="77777777" w:rsidR="00421D81" w:rsidRPr="00D201B4" w:rsidRDefault="00421D81" w:rsidP="00421D81">
      <w:pPr>
        <w:numPr>
          <w:ilvl w:val="1"/>
          <w:numId w:val="32"/>
        </w:numPr>
        <w:ind w:left="567" w:hanging="567"/>
        <w:jc w:val="both"/>
      </w:pPr>
      <w:r w:rsidRPr="00D201B4">
        <w:t>The borrowing of monies purely to invest or on-lend and make a return is unlawful and the C</w:t>
      </w:r>
      <w:r>
        <w:t>ommissioner</w:t>
      </w:r>
      <w:r w:rsidRPr="00D201B4">
        <w:t xml:space="preserve"> will not engage in such activity.</w:t>
      </w:r>
    </w:p>
    <w:p w14:paraId="0BE435B9" w14:textId="77777777" w:rsidR="00421D81" w:rsidRPr="00D201B4" w:rsidRDefault="00421D81" w:rsidP="00421D81">
      <w:pPr>
        <w:ind w:left="567" w:hanging="567"/>
        <w:jc w:val="both"/>
      </w:pPr>
    </w:p>
    <w:p w14:paraId="4CEDB7DF" w14:textId="77777777" w:rsidR="00421D81" w:rsidRPr="00D201B4" w:rsidRDefault="00421D81" w:rsidP="00421D81">
      <w:pPr>
        <w:numPr>
          <w:ilvl w:val="1"/>
          <w:numId w:val="32"/>
        </w:numPr>
        <w:ind w:left="567" w:hanging="567"/>
        <w:jc w:val="both"/>
      </w:pPr>
      <w:r w:rsidRPr="00D201B4">
        <w:t>The C</w:t>
      </w:r>
      <w:r>
        <w:t>ommissioner</w:t>
      </w:r>
      <w:r w:rsidRPr="00D201B4">
        <w:t xml:space="preserve"> will make use of </w:t>
      </w:r>
      <w:r>
        <w:t xml:space="preserve">both </w:t>
      </w:r>
      <w:r w:rsidRPr="00D201B4">
        <w:t>specified investments</w:t>
      </w:r>
      <w:r>
        <w:t xml:space="preserve"> and non-specified investments</w:t>
      </w:r>
      <w:r w:rsidRPr="00D201B4">
        <w:t xml:space="preserve">. </w:t>
      </w:r>
      <w:r>
        <w:t>Specified</w:t>
      </w:r>
      <w:r w:rsidRPr="00D201B4">
        <w:t xml:space="preserve"> investments </w:t>
      </w:r>
      <w:r>
        <w:t xml:space="preserve">are those </w:t>
      </w:r>
      <w:r w:rsidRPr="00D201B4">
        <w:t>that satisfy the following conditions:</w:t>
      </w:r>
    </w:p>
    <w:p w14:paraId="56B3D2A8" w14:textId="77777777" w:rsidR="00421D81" w:rsidRPr="00D201B4" w:rsidRDefault="00421D81" w:rsidP="00421D81">
      <w:pPr>
        <w:ind w:left="567" w:hanging="567"/>
        <w:jc w:val="both"/>
      </w:pPr>
    </w:p>
    <w:p w14:paraId="4BA55F68" w14:textId="77777777" w:rsidR="00421D81" w:rsidRDefault="00421D81" w:rsidP="00421D81">
      <w:pPr>
        <w:numPr>
          <w:ilvl w:val="0"/>
          <w:numId w:val="33"/>
        </w:numPr>
        <w:ind w:left="567" w:hanging="567"/>
        <w:jc w:val="both"/>
      </w:pPr>
      <w:r>
        <w:t>The investment is denominated in sterling and any payments or repayments in respect of the investment are payable only in sterling.</w:t>
      </w:r>
    </w:p>
    <w:p w14:paraId="2249F399" w14:textId="77777777" w:rsidR="00421D81" w:rsidRDefault="00421D81" w:rsidP="00421D81">
      <w:pPr>
        <w:numPr>
          <w:ilvl w:val="0"/>
          <w:numId w:val="33"/>
        </w:numPr>
        <w:ind w:left="567" w:hanging="567"/>
        <w:jc w:val="both"/>
      </w:pPr>
      <w:r>
        <w:t>The Commissioner requires that the investment be repaid or redeemed within 12 months of the date on which the investment was made.</w:t>
      </w:r>
    </w:p>
    <w:p w14:paraId="0A12EDC2" w14:textId="77777777" w:rsidR="00421D81" w:rsidRDefault="00421D81" w:rsidP="00421D81">
      <w:pPr>
        <w:numPr>
          <w:ilvl w:val="0"/>
          <w:numId w:val="33"/>
        </w:numPr>
        <w:ind w:left="567" w:hanging="567"/>
        <w:jc w:val="both"/>
      </w:pPr>
      <w:r>
        <w:t>The investment does not involve the acquisition of share capital or loan capital in any corporate body.</w:t>
      </w:r>
    </w:p>
    <w:p w14:paraId="1337CF4C" w14:textId="77777777" w:rsidR="00421D81" w:rsidRDefault="00421D81" w:rsidP="00421D81">
      <w:pPr>
        <w:numPr>
          <w:ilvl w:val="0"/>
          <w:numId w:val="33"/>
        </w:numPr>
        <w:ind w:left="567" w:hanging="567"/>
        <w:jc w:val="both"/>
      </w:pPr>
      <w:r>
        <w:t>The investment satisfies any of the following conditions:</w:t>
      </w:r>
    </w:p>
    <w:p w14:paraId="5F184357" w14:textId="77777777" w:rsidR="00421D81" w:rsidRDefault="00421D81" w:rsidP="00421D81">
      <w:pPr>
        <w:ind w:left="567" w:hanging="567"/>
        <w:jc w:val="both"/>
      </w:pPr>
    </w:p>
    <w:p w14:paraId="40DC4B4E" w14:textId="77777777" w:rsidR="00421D81" w:rsidRDefault="00421D81" w:rsidP="00421D81">
      <w:pPr>
        <w:ind w:left="567"/>
        <w:jc w:val="both"/>
      </w:pPr>
      <w:r>
        <w:t>The investment is made with the UK government (Debt Management Agency Deposit Facility), a local authority, a parish council or a community council.</w:t>
      </w:r>
    </w:p>
    <w:p w14:paraId="5E41BBFC" w14:textId="77777777" w:rsidR="00421D81" w:rsidRDefault="00421D81" w:rsidP="00421D81">
      <w:pPr>
        <w:ind w:left="567" w:hanging="567"/>
        <w:jc w:val="both"/>
      </w:pPr>
    </w:p>
    <w:p w14:paraId="1AD5ABC9" w14:textId="77777777" w:rsidR="00421D81" w:rsidRDefault="00421D81" w:rsidP="00421D81">
      <w:pPr>
        <w:ind w:left="567"/>
        <w:jc w:val="both"/>
      </w:pPr>
      <w:r>
        <w:t>The investment is made with a body which has been awarded a “high credit rating” by a credit rating agency.</w:t>
      </w:r>
    </w:p>
    <w:p w14:paraId="122BED74" w14:textId="77777777" w:rsidR="00421D81" w:rsidRDefault="00421D81" w:rsidP="00421D81">
      <w:pPr>
        <w:ind w:left="567" w:hanging="567"/>
        <w:jc w:val="both"/>
      </w:pPr>
    </w:p>
    <w:p w14:paraId="3A412DCB" w14:textId="77777777" w:rsidR="00421D81" w:rsidRDefault="00421D81" w:rsidP="00421D81">
      <w:pPr>
        <w:pStyle w:val="ListParagraph"/>
        <w:numPr>
          <w:ilvl w:val="1"/>
          <w:numId w:val="29"/>
        </w:numPr>
        <w:tabs>
          <w:tab w:val="clear" w:pos="1440"/>
        </w:tabs>
        <w:jc w:val="both"/>
      </w:pPr>
      <w:r>
        <w:t>If the body is not a UK bank, the sovereign country must be awarded a “high credit rating” by a credit rating agency.</w:t>
      </w:r>
    </w:p>
    <w:p w14:paraId="7186967D" w14:textId="77777777" w:rsidR="00421D81" w:rsidRDefault="00421D81" w:rsidP="00421D81">
      <w:pPr>
        <w:ind w:left="1440"/>
        <w:jc w:val="both"/>
      </w:pPr>
    </w:p>
    <w:p w14:paraId="53484021" w14:textId="77777777" w:rsidR="00421D81" w:rsidRDefault="00421D81" w:rsidP="00421D81">
      <w:pPr>
        <w:spacing w:line="276" w:lineRule="auto"/>
        <w:ind w:left="720"/>
        <w:jc w:val="both"/>
      </w:pPr>
      <w:r>
        <w:t xml:space="preserve">For the purposes of this strategy, use is made of the creditworthiness service provided by Link Asset Services to define a “high credit rating”  </w:t>
      </w:r>
    </w:p>
    <w:p w14:paraId="15D1229C" w14:textId="77777777" w:rsidR="00421D81" w:rsidRDefault="00421D81" w:rsidP="00421D81">
      <w:pPr>
        <w:pStyle w:val="ListParagraph"/>
        <w:numPr>
          <w:ilvl w:val="1"/>
          <w:numId w:val="29"/>
        </w:numPr>
        <w:tabs>
          <w:tab w:val="clear" w:pos="1440"/>
        </w:tabs>
        <w:jc w:val="both"/>
      </w:pPr>
      <w:r>
        <w:t>UK banks and building societies – short-term rating F1 or higher and viability rating of “a-” or higher.</w:t>
      </w:r>
    </w:p>
    <w:p w14:paraId="13296E60" w14:textId="77777777" w:rsidR="00421D81" w:rsidRDefault="00421D81" w:rsidP="00421D81">
      <w:pPr>
        <w:ind w:left="1440"/>
        <w:jc w:val="both"/>
      </w:pPr>
    </w:p>
    <w:p w14:paraId="377C1917" w14:textId="77777777" w:rsidR="00421D81" w:rsidRDefault="00421D81" w:rsidP="00421D81">
      <w:pPr>
        <w:pStyle w:val="ListParagraph"/>
        <w:numPr>
          <w:ilvl w:val="1"/>
          <w:numId w:val="29"/>
        </w:numPr>
        <w:tabs>
          <w:tab w:val="clear" w:pos="1440"/>
        </w:tabs>
        <w:jc w:val="both"/>
      </w:pPr>
      <w:r>
        <w:t>Foreign banks – short-term rating F1+, and a viability rating of a minimum of "a" with a sovereign rating of AAA.</w:t>
      </w:r>
    </w:p>
    <w:p w14:paraId="2EDB5462" w14:textId="77777777" w:rsidR="00421D81" w:rsidRDefault="00421D81" w:rsidP="00421D81">
      <w:pPr>
        <w:ind w:left="1440"/>
        <w:jc w:val="both"/>
      </w:pPr>
    </w:p>
    <w:p w14:paraId="2F4102F4" w14:textId="77777777" w:rsidR="00421D81" w:rsidRDefault="00421D81" w:rsidP="00421D81">
      <w:pPr>
        <w:pStyle w:val="ListParagraph"/>
        <w:numPr>
          <w:ilvl w:val="1"/>
          <w:numId w:val="29"/>
        </w:numPr>
        <w:tabs>
          <w:tab w:val="clear" w:pos="1440"/>
        </w:tabs>
        <w:jc w:val="both"/>
      </w:pPr>
      <w:r>
        <w:t>Money market Funds (MMF’s) – Any AAA rated fund</w:t>
      </w:r>
    </w:p>
    <w:p w14:paraId="6C1B0BD3" w14:textId="77777777" w:rsidR="00421D81" w:rsidRDefault="00421D81" w:rsidP="00421D81">
      <w:pPr>
        <w:ind w:left="1440"/>
        <w:jc w:val="both"/>
      </w:pPr>
    </w:p>
    <w:p w14:paraId="64A19EE7" w14:textId="77777777" w:rsidR="00421D81" w:rsidRPr="00BD5CA1" w:rsidRDefault="00421D81" w:rsidP="00421D81">
      <w:pPr>
        <w:ind w:left="720"/>
        <w:jc w:val="both"/>
        <w:rPr>
          <w:b/>
        </w:rPr>
      </w:pPr>
      <w:r>
        <w:t xml:space="preserve">These will be supported by other accredited rating systems (Standard &amp; Poor’s and Moody’s), credit watches and outlooks, Credit Default Swap data, and information from the financial press. A full list of the credit ratings to be used can be found in </w:t>
      </w:r>
      <w:r w:rsidRPr="00BD5CA1">
        <w:rPr>
          <w:b/>
        </w:rPr>
        <w:t>Appendix C.</w:t>
      </w:r>
    </w:p>
    <w:p w14:paraId="2759EA7F" w14:textId="77777777" w:rsidR="00421D81" w:rsidRDefault="00421D81" w:rsidP="00421D81">
      <w:pPr>
        <w:ind w:left="720"/>
        <w:jc w:val="both"/>
      </w:pPr>
    </w:p>
    <w:p w14:paraId="3F85D72A" w14:textId="77777777" w:rsidR="00421D81" w:rsidRDefault="00421D81" w:rsidP="00421D81">
      <w:pPr>
        <w:numPr>
          <w:ilvl w:val="1"/>
          <w:numId w:val="32"/>
        </w:numPr>
        <w:spacing w:line="276" w:lineRule="auto"/>
        <w:jc w:val="both"/>
      </w:pPr>
      <w:r>
        <w:t>Since the credit crisis, there are several semi-n</w:t>
      </w:r>
      <w:r w:rsidRPr="006E7C8D">
        <w:t xml:space="preserve">ationalised banks in the UK with credit ratings which do not conform to the credit criteria usually used to identify banks which are of high credit worthiness. In particular, as they no longer are separate institutions in their own right, it is impossible for the rating agencies to assign them an individual rating for their standalone financial strength. However, these institutions are now recipients of at least an F2 short term rating (effectively taking on the creditworthiness </w:t>
      </w:r>
      <w:r w:rsidRPr="006E7C8D">
        <w:lastRenderedPageBreak/>
        <w:t>of the Government). That is deposits made with them are effectively being made to the Government.  This relates to National Westminster Bank and Royal Bank of Scotland.</w:t>
      </w:r>
    </w:p>
    <w:p w14:paraId="0C9C359C" w14:textId="77777777" w:rsidR="00421D81" w:rsidRDefault="00421D81" w:rsidP="00421D81">
      <w:pPr>
        <w:spacing w:line="276" w:lineRule="auto"/>
        <w:ind w:left="720"/>
        <w:jc w:val="both"/>
      </w:pPr>
    </w:p>
    <w:p w14:paraId="5FC162DC" w14:textId="77777777" w:rsidR="00421D81" w:rsidRDefault="00421D81" w:rsidP="00421D81">
      <w:pPr>
        <w:numPr>
          <w:ilvl w:val="1"/>
          <w:numId w:val="32"/>
        </w:numPr>
        <w:spacing w:line="276" w:lineRule="auto"/>
        <w:jc w:val="both"/>
      </w:pPr>
      <w:r>
        <w:t>Money market funds (MMFs) are to be used for the first time as a treasury management tool by the Commissioner.  They are a type of fixed income fund that invests in debt securities which are characterised by their enhanced diversification, short maturities and minimal credit risk. Money market funds are among the lowest-volatility types of investments. One of the key objectives of MMFs is to provide investors with security of capital and daily liquidity together with an investment return which is comparable to normal sterling denominated money market interest rates. Broadly, MMFs may invest in certificates of deposit (CD), commercial paper, medium-term notes (MTNs), variable rate notes (VRNs), floating rate notes (FRNs), bankers acceptances, government bonds, treasury bills, Eurobonds, asset-backed securities and corporate bonds.  Funds can be deposited and accessed on a daily basis.</w:t>
      </w:r>
    </w:p>
    <w:p w14:paraId="18FA6CD0" w14:textId="77777777" w:rsidR="00421D81" w:rsidRDefault="00421D81" w:rsidP="00421D81">
      <w:pPr>
        <w:pStyle w:val="ListParagraph"/>
        <w:jc w:val="both"/>
      </w:pPr>
    </w:p>
    <w:p w14:paraId="5A2D27B3" w14:textId="77777777" w:rsidR="00421D81" w:rsidRDefault="00421D81" w:rsidP="00421D81">
      <w:pPr>
        <w:numPr>
          <w:ilvl w:val="1"/>
          <w:numId w:val="32"/>
        </w:numPr>
        <w:tabs>
          <w:tab w:val="left" w:pos="360"/>
        </w:tabs>
        <w:spacing w:line="276" w:lineRule="auto"/>
        <w:jc w:val="both"/>
      </w:pPr>
      <w:r>
        <w:t xml:space="preserve">      </w:t>
      </w:r>
      <w:r w:rsidRPr="0055729D">
        <w:t>The C</w:t>
      </w:r>
      <w:r>
        <w:t>ommissioner</w:t>
      </w:r>
      <w:r w:rsidRPr="0055729D">
        <w:t xml:space="preserve">’s </w:t>
      </w:r>
      <w:r>
        <w:t>CFO</w:t>
      </w:r>
      <w:r w:rsidRPr="0055729D">
        <w:t xml:space="preserve"> will monitor credit ratings through the receipt of credit rating bulletins from the treasury management consultants at</w:t>
      </w:r>
      <w:r>
        <w:t xml:space="preserve"> Link</w:t>
      </w:r>
      <w:r w:rsidRPr="0055729D">
        <w:t xml:space="preserve"> </w:t>
      </w:r>
      <w:r>
        <w:t>Asset</w:t>
      </w:r>
      <w:r w:rsidRPr="0055729D">
        <w:t xml:space="preserve"> Services.  Institutions that cease to meet the criteria above will immediately cease to be treated as specified investments.</w:t>
      </w:r>
    </w:p>
    <w:p w14:paraId="1158EA74" w14:textId="77777777" w:rsidR="00421D81" w:rsidRDefault="00421D81" w:rsidP="00421D81">
      <w:pPr>
        <w:pStyle w:val="ListParagraph"/>
        <w:jc w:val="both"/>
      </w:pPr>
    </w:p>
    <w:p w14:paraId="1B271140" w14:textId="77777777" w:rsidR="00421D81" w:rsidRDefault="00421D81" w:rsidP="00421D81">
      <w:pPr>
        <w:numPr>
          <w:ilvl w:val="1"/>
          <w:numId w:val="32"/>
        </w:numPr>
        <w:tabs>
          <w:tab w:val="left" w:pos="360"/>
        </w:tabs>
        <w:spacing w:line="276" w:lineRule="auto"/>
        <w:jc w:val="both"/>
      </w:pPr>
      <w:r>
        <w:t xml:space="preserve">      Non-specified investments are those that do not meet the criteria in 5.4 to 5.6 above. In determining which categories of non-specified investments may prudently be used, account will be taken of advice from the advisors, Link Asset Services, and, if investments are for 12 months or more, long-term credit ratings will be utilised as determined by Fitch IBCA.</w:t>
      </w:r>
    </w:p>
    <w:p w14:paraId="44CD8510" w14:textId="77777777" w:rsidR="00421D81" w:rsidRDefault="00421D81" w:rsidP="00421D81">
      <w:pPr>
        <w:numPr>
          <w:ilvl w:val="12"/>
          <w:numId w:val="0"/>
        </w:numPr>
        <w:tabs>
          <w:tab w:val="left" w:pos="360"/>
        </w:tabs>
        <w:jc w:val="both"/>
      </w:pPr>
    </w:p>
    <w:p w14:paraId="1B76953A" w14:textId="77777777" w:rsidR="00421D81" w:rsidRDefault="00421D81" w:rsidP="00421D81">
      <w:pPr>
        <w:pStyle w:val="ListParagraph"/>
        <w:numPr>
          <w:ilvl w:val="1"/>
          <w:numId w:val="32"/>
        </w:numPr>
        <w:jc w:val="both"/>
      </w:pPr>
      <w:r>
        <w:t>So far, the following categories of investment have been identified as prudent for use for non-specified investments. The table also shows the maximum value of investments that may be held:</w:t>
      </w:r>
    </w:p>
    <w:p w14:paraId="2F478074" w14:textId="77777777" w:rsidR="00421D81" w:rsidRDefault="00421D81" w:rsidP="00421D81"/>
    <w:p w14:paraId="6517A653" w14:textId="77777777" w:rsidR="00421D81" w:rsidRDefault="00421D81" w:rsidP="00421D81"/>
    <w:tbl>
      <w:tblPr>
        <w:tblW w:w="0" w:type="auto"/>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20"/>
        <w:gridCol w:w="3260"/>
      </w:tblGrid>
      <w:tr w:rsidR="00421D81" w14:paraId="553A74E7" w14:textId="77777777" w:rsidTr="00F51BBE">
        <w:tc>
          <w:tcPr>
            <w:tcW w:w="4820" w:type="dxa"/>
          </w:tcPr>
          <w:p w14:paraId="5754A33B" w14:textId="77777777" w:rsidR="00421D81" w:rsidRDefault="00421D81" w:rsidP="00F51BBE">
            <w:pPr>
              <w:rPr>
                <w:b/>
              </w:rPr>
            </w:pPr>
            <w:r>
              <w:rPr>
                <w:b/>
              </w:rPr>
              <w:t>Category of investment</w:t>
            </w:r>
          </w:p>
        </w:tc>
        <w:tc>
          <w:tcPr>
            <w:tcW w:w="3260" w:type="dxa"/>
          </w:tcPr>
          <w:p w14:paraId="6506E98B" w14:textId="77777777" w:rsidR="00421D81" w:rsidRDefault="00421D81" w:rsidP="00F51BBE">
            <w:pPr>
              <w:jc w:val="center"/>
              <w:rPr>
                <w:b/>
              </w:rPr>
            </w:pPr>
            <w:r>
              <w:rPr>
                <w:b/>
              </w:rPr>
              <w:t>Maximum value for this category of investments</w:t>
            </w:r>
          </w:p>
        </w:tc>
      </w:tr>
      <w:tr w:rsidR="00421D81" w14:paraId="0EDA671F" w14:textId="77777777" w:rsidTr="00F51BBE">
        <w:tc>
          <w:tcPr>
            <w:tcW w:w="4820" w:type="dxa"/>
          </w:tcPr>
          <w:p w14:paraId="3EA3A1FA" w14:textId="77777777" w:rsidR="00421D81" w:rsidRDefault="00421D81" w:rsidP="00F51BBE">
            <w:r>
              <w:t>Sterling deposits in excess of 364 days with Local Authorities and UK banks (where these are not “specified investments” as defined above).</w:t>
            </w:r>
          </w:p>
        </w:tc>
        <w:tc>
          <w:tcPr>
            <w:tcW w:w="3260" w:type="dxa"/>
            <w:vAlign w:val="center"/>
          </w:tcPr>
          <w:p w14:paraId="2689C86B" w14:textId="77777777" w:rsidR="00421D81" w:rsidRDefault="00421D81" w:rsidP="00F51BBE">
            <w:pPr>
              <w:jc w:val="center"/>
            </w:pPr>
            <w:r>
              <w:t>£4</w:t>
            </w:r>
            <w:r w:rsidRPr="009B359B">
              <w:t>0</w:t>
            </w:r>
            <w:r>
              <w:t>m</w:t>
            </w:r>
          </w:p>
        </w:tc>
      </w:tr>
      <w:tr w:rsidR="00421D81" w14:paraId="1A3950FE" w14:textId="77777777" w:rsidTr="00F51BBE">
        <w:tc>
          <w:tcPr>
            <w:tcW w:w="4820" w:type="dxa"/>
          </w:tcPr>
          <w:p w14:paraId="6BB2D737" w14:textId="77777777" w:rsidR="00421D81" w:rsidRDefault="00421D81" w:rsidP="00F51BBE">
            <w:r>
              <w:t>Property Funds based in the UK</w:t>
            </w:r>
          </w:p>
        </w:tc>
        <w:tc>
          <w:tcPr>
            <w:tcW w:w="3260" w:type="dxa"/>
            <w:vAlign w:val="center"/>
          </w:tcPr>
          <w:p w14:paraId="46F759B5" w14:textId="77777777" w:rsidR="00421D81" w:rsidRDefault="00421D81" w:rsidP="00F51BBE">
            <w:pPr>
              <w:jc w:val="center"/>
            </w:pPr>
            <w:r w:rsidRPr="002D6618">
              <w:t>£5m</w:t>
            </w:r>
          </w:p>
        </w:tc>
      </w:tr>
    </w:tbl>
    <w:p w14:paraId="23E4EAC1" w14:textId="77777777" w:rsidR="00421D81" w:rsidRDefault="00421D81" w:rsidP="00421D81"/>
    <w:p w14:paraId="200EB6B9" w14:textId="77777777" w:rsidR="00421D81" w:rsidRDefault="00421D81" w:rsidP="00421D81">
      <w:pPr>
        <w:ind w:left="720" w:hanging="720"/>
        <w:jc w:val="both"/>
      </w:pPr>
      <w:r>
        <w:t>5.11</w:t>
      </w:r>
      <w:r w:rsidRPr="009B4C83">
        <w:tab/>
      </w:r>
      <w:r>
        <w:t>Property funds provide investors with long term income and potential long-term capital appreciation.  These type of funds are actively managed in a diversified portfolio of commercial property</w:t>
      </w:r>
    </w:p>
    <w:p w14:paraId="6F848B0E" w14:textId="77777777" w:rsidR="00421D81" w:rsidRDefault="00421D81" w:rsidP="00421D81">
      <w:pPr>
        <w:jc w:val="both"/>
      </w:pPr>
    </w:p>
    <w:p w14:paraId="4AD78C99" w14:textId="77777777" w:rsidR="00421D81" w:rsidRDefault="00421D81" w:rsidP="00421D81">
      <w:pPr>
        <w:ind w:left="720" w:hanging="720"/>
        <w:jc w:val="both"/>
      </w:pPr>
      <w:r>
        <w:t>5.12</w:t>
      </w:r>
      <w:r>
        <w:tab/>
      </w:r>
      <w:r w:rsidRPr="009B4C83">
        <w:t>In determining the maximum period for wh</w:t>
      </w:r>
      <w:r>
        <w:t>ich investments may be held,</w:t>
      </w:r>
      <w:r w:rsidRPr="009B4C83">
        <w:t xml:space="preserve"> regard to </w:t>
      </w:r>
      <w:r>
        <w:t>the</w:t>
      </w:r>
      <w:r w:rsidRPr="009B4C83">
        <w:t xml:space="preserve"> most recent cash flow forecast </w:t>
      </w:r>
      <w:r>
        <w:t>will be taken</w:t>
      </w:r>
      <w:r w:rsidRPr="009B4C83">
        <w:t xml:space="preserve">.  </w:t>
      </w:r>
      <w:r>
        <w:t>No</w:t>
      </w:r>
      <w:r w:rsidRPr="009B4C83">
        <w:t xml:space="preserve"> investment </w:t>
      </w:r>
      <w:r>
        <w:t xml:space="preserve">will be entered into </w:t>
      </w:r>
      <w:r w:rsidRPr="009B4C83">
        <w:t xml:space="preserve">where </w:t>
      </w:r>
      <w:r>
        <w:t>the</w:t>
      </w:r>
      <w:r w:rsidRPr="009B4C83">
        <w:t xml:space="preserve"> cash-flow forecast indicates that, as a result of that investment, </w:t>
      </w:r>
      <w:r>
        <w:t>the Commissioner</w:t>
      </w:r>
      <w:r w:rsidRPr="009B4C83">
        <w:t xml:space="preserve"> would be forced to borrow money in a future year that would not otherwise have had to </w:t>
      </w:r>
      <w:r>
        <w:t xml:space="preserve">be </w:t>
      </w:r>
      <w:r w:rsidRPr="009B4C83">
        <w:t>borrow</w:t>
      </w:r>
      <w:r>
        <w:t>ed</w:t>
      </w:r>
      <w:r w:rsidRPr="009B4C83">
        <w:t>.</w:t>
      </w:r>
    </w:p>
    <w:p w14:paraId="4A39B4CE" w14:textId="77777777" w:rsidR="00421D81" w:rsidRDefault="00421D81" w:rsidP="00421D81">
      <w:pPr>
        <w:ind w:left="720" w:hanging="720"/>
        <w:jc w:val="both"/>
      </w:pPr>
    </w:p>
    <w:p w14:paraId="22DA19E8" w14:textId="77777777" w:rsidR="00421D81" w:rsidRDefault="00421D81" w:rsidP="00421D81">
      <w:pPr>
        <w:ind w:left="720" w:hanging="720"/>
        <w:jc w:val="both"/>
      </w:pPr>
      <w:r w:rsidRPr="009B4C83">
        <w:lastRenderedPageBreak/>
        <w:t>5.1</w:t>
      </w:r>
      <w:r>
        <w:t>3</w:t>
      </w:r>
      <w:r w:rsidRPr="009B4C83">
        <w:tab/>
      </w:r>
      <w:r>
        <w:t>Also</w:t>
      </w:r>
      <w:r w:rsidRPr="009B4C83">
        <w:t xml:space="preserve"> at the time of making a new investment, long-term investments (investments of one year’s duration or more) </w:t>
      </w:r>
      <w:r>
        <w:t xml:space="preserve">should not constitute </w:t>
      </w:r>
      <w:r w:rsidRPr="009B4C83">
        <w:t xml:space="preserve">more than </w:t>
      </w:r>
      <w:r>
        <w:t>30</w:t>
      </w:r>
      <w:r w:rsidRPr="009B4C83">
        <w:t xml:space="preserve">% of </w:t>
      </w:r>
      <w:r>
        <w:t>the</w:t>
      </w:r>
      <w:r w:rsidRPr="009B4C83">
        <w:t xml:space="preserve"> total pool of investments.</w:t>
      </w:r>
    </w:p>
    <w:p w14:paraId="24208F4E" w14:textId="77777777" w:rsidR="00421D81" w:rsidRDefault="00421D81" w:rsidP="00421D81">
      <w:pPr>
        <w:ind w:left="720" w:hanging="720"/>
        <w:jc w:val="both"/>
        <w:rPr>
          <w:b/>
          <w:bCs/>
        </w:rPr>
      </w:pPr>
    </w:p>
    <w:p w14:paraId="10267BC1" w14:textId="77777777" w:rsidR="00421D81" w:rsidRDefault="00421D81" w:rsidP="00421D81">
      <w:pPr>
        <w:pStyle w:val="BodyTextIndent"/>
        <w:spacing w:after="0"/>
        <w:ind w:left="720" w:hanging="720"/>
        <w:jc w:val="both"/>
        <w:rPr>
          <w:rFonts w:ascii="Arial" w:hAnsi="Arial"/>
          <w:bCs/>
        </w:rPr>
      </w:pPr>
      <w:r w:rsidRPr="0055729D">
        <w:rPr>
          <w:rFonts w:ascii="Arial" w:hAnsi="Arial"/>
          <w:bCs/>
        </w:rPr>
        <w:t>5.1</w:t>
      </w:r>
      <w:r>
        <w:rPr>
          <w:rFonts w:ascii="Arial" w:hAnsi="Arial"/>
          <w:bCs/>
        </w:rPr>
        <w:t>4</w:t>
      </w:r>
      <w:r w:rsidRPr="0055729D">
        <w:rPr>
          <w:rFonts w:ascii="Arial" w:hAnsi="Arial"/>
          <w:bCs/>
        </w:rPr>
        <w:tab/>
        <w:t>Investments with a single institution should not exceed 25% (15% for Building Societies) of the total pool of investments at month end. Investments with a group of banks should not exceed 30% of the total pool of investments at month end.</w:t>
      </w:r>
    </w:p>
    <w:p w14:paraId="2F665B7A" w14:textId="77777777" w:rsidR="00421D81" w:rsidRDefault="00421D81" w:rsidP="00421D81">
      <w:pPr>
        <w:pStyle w:val="BodyTextIndent"/>
        <w:spacing w:after="0"/>
        <w:ind w:left="720" w:hanging="720"/>
        <w:jc w:val="both"/>
        <w:rPr>
          <w:rFonts w:ascii="Arial" w:hAnsi="Arial"/>
          <w:bCs/>
        </w:rPr>
      </w:pPr>
    </w:p>
    <w:p w14:paraId="04D0324A" w14:textId="77777777" w:rsidR="00421D81" w:rsidRDefault="00421D81" w:rsidP="00421D81">
      <w:pPr>
        <w:pStyle w:val="BodyTextIndent"/>
        <w:spacing w:after="0"/>
        <w:ind w:left="720" w:hanging="720"/>
        <w:jc w:val="both"/>
        <w:rPr>
          <w:rFonts w:ascii="Arial" w:hAnsi="Arial"/>
          <w:bCs/>
        </w:rPr>
      </w:pPr>
      <w:r>
        <w:rPr>
          <w:rFonts w:ascii="Arial" w:hAnsi="Arial"/>
          <w:bCs/>
        </w:rPr>
        <w:t>5.15</w:t>
      </w:r>
      <w:r>
        <w:rPr>
          <w:rFonts w:ascii="Arial" w:hAnsi="Arial"/>
          <w:bCs/>
        </w:rPr>
        <w:tab/>
        <w:t>There is currently no impact expected on investment or borrowing strategies as a result of United Kingdom leaving the European Union</w:t>
      </w:r>
    </w:p>
    <w:p w14:paraId="4225E1A0" w14:textId="77777777" w:rsidR="00421D81" w:rsidRDefault="00421D81" w:rsidP="00421D81">
      <w:pPr>
        <w:pStyle w:val="BodyTextIndent"/>
        <w:spacing w:after="0"/>
        <w:ind w:left="720" w:hanging="720"/>
        <w:jc w:val="both"/>
        <w:rPr>
          <w:rFonts w:ascii="Arial" w:hAnsi="Arial"/>
          <w:bCs/>
        </w:rPr>
      </w:pPr>
    </w:p>
    <w:p w14:paraId="424D9F6D" w14:textId="77777777" w:rsidR="00421D81" w:rsidRPr="00544436" w:rsidRDefault="00421D81" w:rsidP="00421D81">
      <w:pPr>
        <w:pStyle w:val="BodyTextIndent"/>
        <w:spacing w:after="0"/>
        <w:ind w:left="720" w:hanging="11"/>
        <w:jc w:val="both"/>
        <w:rPr>
          <w:rFonts w:ascii="Arial" w:hAnsi="Arial"/>
          <w:bCs/>
          <w:u w:val="single"/>
        </w:rPr>
      </w:pPr>
      <w:r w:rsidRPr="00544436">
        <w:rPr>
          <w:rFonts w:ascii="Arial" w:hAnsi="Arial"/>
          <w:bCs/>
          <w:u w:val="single"/>
        </w:rPr>
        <w:t>Future Investment returns</w:t>
      </w:r>
      <w:r>
        <w:rPr>
          <w:rFonts w:ascii="Arial" w:hAnsi="Arial"/>
          <w:bCs/>
          <w:u w:val="single"/>
        </w:rPr>
        <w:t xml:space="preserve"> &amp; Negative Interest rates</w:t>
      </w:r>
    </w:p>
    <w:p w14:paraId="36E9EC71" w14:textId="77777777" w:rsidR="00421D81" w:rsidRDefault="00421D81" w:rsidP="00421D81">
      <w:pPr>
        <w:tabs>
          <w:tab w:val="left" w:pos="360"/>
        </w:tabs>
        <w:jc w:val="both"/>
        <w:rPr>
          <w:color w:val="0D0D0D" w:themeColor="text1" w:themeTint="F2"/>
        </w:rPr>
      </w:pPr>
    </w:p>
    <w:p w14:paraId="47208EB5" w14:textId="77777777" w:rsidR="00421D81" w:rsidRPr="00DC1F29" w:rsidRDefault="00421D81" w:rsidP="00421D81">
      <w:pPr>
        <w:ind w:left="709" w:hanging="709"/>
        <w:jc w:val="both"/>
        <w:rPr>
          <w:rFonts w:eastAsia="Bliss 2 Regular"/>
          <w:color w:val="0D0D0D" w:themeColor="text1" w:themeTint="F2"/>
        </w:rPr>
      </w:pPr>
      <w:r>
        <w:rPr>
          <w:color w:val="0D0D0D" w:themeColor="text1" w:themeTint="F2"/>
        </w:rPr>
        <w:t>5.16</w:t>
      </w:r>
      <w:r>
        <w:rPr>
          <w:color w:val="0D0D0D" w:themeColor="text1" w:themeTint="F2"/>
        </w:rPr>
        <w:tab/>
      </w:r>
      <w:r w:rsidRPr="00DC1F29">
        <w:rPr>
          <w:rFonts w:eastAsia="Bliss 2 Regular"/>
          <w:color w:val="0D0D0D" w:themeColor="text1" w:themeTint="F2"/>
        </w:rPr>
        <w:t xml:space="preserve">While the Bank of England said in August / September 2020 that it is unlikely to introduce a negative Bank Rate, at least in the next 6 -12 months, </w:t>
      </w:r>
      <w:r>
        <w:rPr>
          <w:rFonts w:eastAsia="Bliss 2 Regular"/>
          <w:color w:val="0D0D0D" w:themeColor="text1" w:themeTint="F2"/>
        </w:rPr>
        <w:t xml:space="preserve">and in February 2021 stated that financial institutions would not be ready to implement negative rates for six months, </w:t>
      </w:r>
      <w:r w:rsidRPr="00DC1F29">
        <w:rPr>
          <w:rFonts w:eastAsia="Bliss 2 Regular"/>
          <w:color w:val="0D0D0D" w:themeColor="text1" w:themeTint="F2"/>
        </w:rPr>
        <w:t xml:space="preserve">some deposit accounts </w:t>
      </w:r>
      <w:r>
        <w:rPr>
          <w:rFonts w:eastAsia="Bliss 2 Regular"/>
          <w:color w:val="0D0D0D" w:themeColor="text1" w:themeTint="F2"/>
        </w:rPr>
        <w:t xml:space="preserve">were </w:t>
      </w:r>
      <w:r w:rsidRPr="00DC1F29">
        <w:rPr>
          <w:rFonts w:eastAsia="Bliss 2 Regular"/>
          <w:color w:val="0D0D0D" w:themeColor="text1" w:themeTint="F2"/>
        </w:rPr>
        <w:t>offering negative rates for shorter periods</w:t>
      </w:r>
      <w:r>
        <w:rPr>
          <w:rFonts w:eastAsia="Bliss 2 Regular"/>
          <w:color w:val="0D0D0D" w:themeColor="text1" w:themeTint="F2"/>
        </w:rPr>
        <w:t xml:space="preserve"> prior to this latest announcement</w:t>
      </w:r>
      <w:r w:rsidRPr="00DC1F29">
        <w:rPr>
          <w:rFonts w:eastAsia="Bliss 2 Regular"/>
          <w:color w:val="0D0D0D" w:themeColor="text1" w:themeTint="F2"/>
        </w:rPr>
        <w:t xml:space="preserve">.  As part of the response to the </w:t>
      </w:r>
      <w:r>
        <w:rPr>
          <w:rFonts w:eastAsia="Bliss 2 Regular"/>
          <w:color w:val="0D0D0D" w:themeColor="text1" w:themeTint="F2"/>
        </w:rPr>
        <w:t xml:space="preserve">coronavirus </w:t>
      </w:r>
      <w:r w:rsidRPr="00DC1F29">
        <w:rPr>
          <w:rFonts w:eastAsia="Bliss 2 Regular"/>
          <w:color w:val="0D0D0D" w:themeColor="text1" w:themeTint="F2"/>
        </w:rPr>
        <w:t xml:space="preserve">pandemic and lockdown, the Bank and the Government have provided financial markets and businesses with plentiful access to credit, either directly or through commercial banks. In addition, the Government has provided large sums of grants to local authorities to help deal with the </w:t>
      </w:r>
      <w:r>
        <w:rPr>
          <w:rFonts w:eastAsia="Bliss 2 Regular"/>
          <w:color w:val="0D0D0D" w:themeColor="text1" w:themeTint="F2"/>
        </w:rPr>
        <w:t>COVID</w:t>
      </w:r>
      <w:r w:rsidRPr="00DC1F29">
        <w:rPr>
          <w:rFonts w:eastAsia="Bliss 2 Regular"/>
          <w:color w:val="0D0D0D" w:themeColor="text1" w:themeTint="F2"/>
        </w:rPr>
        <w:t xml:space="preserve"> crisis; this has caused some local authorities to have sudden large increases in cash balances searching for an investment home, some of which was only very short term until those sums were able to be passed on.</w:t>
      </w:r>
      <w:r>
        <w:rPr>
          <w:rFonts w:eastAsia="Bliss 2 Regular"/>
          <w:color w:val="0D0D0D" w:themeColor="text1" w:themeTint="F2"/>
        </w:rPr>
        <w:t xml:space="preserve"> </w:t>
      </w:r>
      <w:r>
        <w:rPr>
          <w:bCs/>
        </w:rPr>
        <w:t xml:space="preserve">Investment return expectations for the next 12 months are likely to be sub 0.2% due to the unlikely event of </w:t>
      </w:r>
      <w:r>
        <w:rPr>
          <w:color w:val="0D0D0D" w:themeColor="text1" w:themeTint="F2"/>
        </w:rPr>
        <w:t>bank rate</w:t>
      </w:r>
      <w:r w:rsidRPr="00AA2CBE">
        <w:rPr>
          <w:color w:val="0D0D0D" w:themeColor="text1" w:themeTint="F2"/>
        </w:rPr>
        <w:t xml:space="preserve"> </w:t>
      </w:r>
      <w:r>
        <w:rPr>
          <w:color w:val="0D0D0D" w:themeColor="text1" w:themeTint="F2"/>
        </w:rPr>
        <w:t>increasing from 0.10% for a considerable period. (Bank of England base rate is the primary driver for investment returns from other institutions such as banks and Local Authorities)</w:t>
      </w:r>
    </w:p>
    <w:p w14:paraId="470F7F8F" w14:textId="77777777" w:rsidR="00421D81" w:rsidRPr="00DC1F29" w:rsidRDefault="00421D81" w:rsidP="00421D81">
      <w:pPr>
        <w:ind w:left="709" w:hanging="709"/>
        <w:jc w:val="both"/>
        <w:rPr>
          <w:rFonts w:eastAsia="Bliss 2 Regular"/>
          <w:color w:val="0D0D0D" w:themeColor="text1" w:themeTint="F2"/>
        </w:rPr>
      </w:pPr>
    </w:p>
    <w:p w14:paraId="389D6791" w14:textId="77777777" w:rsidR="00421D81" w:rsidRPr="00DC1F29" w:rsidRDefault="00421D81" w:rsidP="00421D81">
      <w:pPr>
        <w:ind w:left="709"/>
        <w:jc w:val="both"/>
        <w:rPr>
          <w:rFonts w:eastAsia="Bliss 2 Regular"/>
          <w:color w:val="0D0D0D" w:themeColor="text1" w:themeTint="F2"/>
        </w:rPr>
      </w:pPr>
      <w:r w:rsidRPr="00DC1F29">
        <w:rPr>
          <w:rFonts w:eastAsia="Bliss 2 Regular"/>
          <w:color w:val="0D0D0D" w:themeColor="text1" w:themeTint="F2"/>
        </w:rPr>
        <w:t xml:space="preserve">As for money market funds (MMFs), yields have </w:t>
      </w:r>
      <w:r>
        <w:rPr>
          <w:rFonts w:eastAsia="Bliss 2 Regular"/>
          <w:color w:val="0D0D0D" w:themeColor="text1" w:themeTint="F2"/>
        </w:rPr>
        <w:t>fallen near to zero</w:t>
      </w:r>
      <w:r w:rsidRPr="00DC1F29">
        <w:rPr>
          <w:rFonts w:eastAsia="Bliss 2 Regular"/>
          <w:color w:val="0D0D0D" w:themeColor="text1" w:themeTint="F2"/>
        </w:rPr>
        <w:t xml:space="preserve">. Some managers have resorted to trimming fee levels to ensure that net yields for investors remain in positive territory where possible and practical. Investor cash flow uncertainty, and the need to maintain liquidity in these unprecedented times, has meant there is a surfeit of money swilling around at the very short end of the market. </w:t>
      </w:r>
    </w:p>
    <w:p w14:paraId="099AFE9F" w14:textId="77777777" w:rsidR="00421D81" w:rsidRPr="00DC1F29" w:rsidRDefault="00421D81" w:rsidP="00421D81">
      <w:pPr>
        <w:ind w:left="709" w:hanging="709"/>
        <w:jc w:val="both"/>
        <w:rPr>
          <w:rFonts w:eastAsia="Bliss 2 Regular"/>
          <w:color w:val="0D0D0D" w:themeColor="text1" w:themeTint="F2"/>
        </w:rPr>
      </w:pPr>
    </w:p>
    <w:p w14:paraId="1A26BE2E" w14:textId="77777777" w:rsidR="00421D81" w:rsidRPr="00A42FAF" w:rsidRDefault="00421D81" w:rsidP="00421D81">
      <w:pPr>
        <w:ind w:left="709"/>
        <w:jc w:val="both"/>
        <w:rPr>
          <w:rFonts w:eastAsia="Bliss 2 Regular"/>
          <w:color w:val="0D0D0D" w:themeColor="text1" w:themeTint="F2"/>
        </w:rPr>
      </w:pPr>
      <w:r w:rsidRPr="00DC1F29">
        <w:rPr>
          <w:rFonts w:eastAsia="Bliss 2 Regular"/>
          <w:color w:val="0D0D0D" w:themeColor="text1" w:themeTint="F2"/>
        </w:rPr>
        <w:t>Inter-local authority lending and borrowing rates have also declined due to the surge in the levels of cash seeking a short-term home at a time when many local authorities are probably having difficulties over accurately forecasting when disbursements of funds received will occur or when further large receipts will b</w:t>
      </w:r>
      <w:r>
        <w:rPr>
          <w:rFonts w:eastAsia="Bliss 2 Regular"/>
          <w:color w:val="0D0D0D" w:themeColor="text1" w:themeTint="F2"/>
        </w:rPr>
        <w:t>e received from the Government.</w:t>
      </w:r>
    </w:p>
    <w:p w14:paraId="5B5AA8D3" w14:textId="77777777" w:rsidR="00421D81" w:rsidRDefault="00421D81" w:rsidP="00421D81">
      <w:pPr>
        <w:jc w:val="both"/>
        <w:rPr>
          <w:bCs/>
        </w:rPr>
      </w:pPr>
    </w:p>
    <w:p w14:paraId="400B96BF" w14:textId="77777777" w:rsidR="00421D81" w:rsidRDefault="00421D81" w:rsidP="00421D81">
      <w:pPr>
        <w:rPr>
          <w:b/>
        </w:rPr>
      </w:pPr>
      <w:r w:rsidRPr="009B359B">
        <w:rPr>
          <w:b/>
        </w:rPr>
        <w:t xml:space="preserve">6.0 </w:t>
      </w:r>
      <w:r w:rsidRPr="009B359B">
        <w:rPr>
          <w:b/>
        </w:rPr>
        <w:tab/>
        <w:t>CAPITAL BORROWING REQUIREMENT &amp; STRATEGY</w:t>
      </w:r>
    </w:p>
    <w:p w14:paraId="17A2ED0A" w14:textId="77777777" w:rsidR="00421D81" w:rsidRDefault="00421D81" w:rsidP="00421D81">
      <w:pPr>
        <w:rPr>
          <w:b/>
        </w:rPr>
      </w:pPr>
    </w:p>
    <w:p w14:paraId="606C4F54" w14:textId="77777777" w:rsidR="00421D81" w:rsidRDefault="00421D81" w:rsidP="00421D81">
      <w:pPr>
        <w:ind w:left="720" w:hanging="720"/>
        <w:jc w:val="both"/>
      </w:pPr>
      <w:r w:rsidRPr="008A4C66">
        <w:t>6.1</w:t>
      </w:r>
      <w:r>
        <w:tab/>
      </w:r>
      <w:r w:rsidRPr="00B733D1">
        <w:rPr>
          <w:color w:val="000000"/>
        </w:rPr>
        <w:t xml:space="preserve">The </w:t>
      </w:r>
      <w:r>
        <w:rPr>
          <w:color w:val="000000"/>
        </w:rPr>
        <w:t>Commissioner’s CFO</w:t>
      </w:r>
      <w:r w:rsidRPr="00B733D1">
        <w:rPr>
          <w:color w:val="000000"/>
        </w:rPr>
        <w:t xml:space="preserve"> has undertaken a review of capital investment requirements and likely resource levels</w:t>
      </w:r>
      <w:r>
        <w:rPr>
          <w:color w:val="000000"/>
        </w:rPr>
        <w:t>. Although t</w:t>
      </w:r>
      <w:r w:rsidRPr="00B733D1">
        <w:t xml:space="preserve">here is </w:t>
      </w:r>
      <w:r>
        <w:t>some</w:t>
      </w:r>
      <w:r w:rsidRPr="00B733D1">
        <w:t xml:space="preserve"> uncertainty around specific requirements and future funding levels</w:t>
      </w:r>
      <w:r>
        <w:t>, it is likely that there will be a need to borrow further to fund the Estates Strategy over the life of the Capital Programme.</w:t>
      </w:r>
    </w:p>
    <w:p w14:paraId="362C3A49" w14:textId="77777777" w:rsidR="00421D81" w:rsidRDefault="00421D81" w:rsidP="00421D81">
      <w:pPr>
        <w:ind w:left="720" w:hanging="720"/>
        <w:jc w:val="both"/>
      </w:pPr>
      <w:r>
        <w:tab/>
      </w:r>
    </w:p>
    <w:p w14:paraId="59C4C428" w14:textId="77777777" w:rsidR="00421D81" w:rsidRPr="00D825BE" w:rsidRDefault="00421D81" w:rsidP="00421D81">
      <w:pPr>
        <w:ind w:left="720" w:hanging="720"/>
        <w:jc w:val="both"/>
        <w:rPr>
          <w:highlight w:val="yellow"/>
        </w:rPr>
      </w:pPr>
      <w:r>
        <w:t>6.2</w:t>
      </w:r>
      <w:r>
        <w:tab/>
      </w:r>
      <w:r w:rsidRPr="00C32093">
        <w:t xml:space="preserve">Forecasts suggest that there are potential borrowing options available. </w:t>
      </w:r>
      <w:r>
        <w:t>Short Term</w:t>
      </w:r>
      <w:r w:rsidRPr="00C32093">
        <w:t xml:space="preserve"> borrowing </w:t>
      </w:r>
      <w:r>
        <w:t>may be attractive throughout 2021/22</w:t>
      </w:r>
      <w:r w:rsidRPr="00C32093">
        <w:t xml:space="preserve"> as it is expected to be cheaper than long term fixed borrowing. Under 10 year PWLB rates are forecast to be lower than longer term borrowing which could enable the spread of debt maturities as the focus in recent years has been to concentrate on long dated debt.</w:t>
      </w:r>
    </w:p>
    <w:p w14:paraId="6CA610DD" w14:textId="77777777" w:rsidR="00421D81" w:rsidRPr="0011633A" w:rsidRDefault="00421D81" w:rsidP="00421D81">
      <w:pPr>
        <w:numPr>
          <w:ilvl w:val="12"/>
          <w:numId w:val="0"/>
        </w:numPr>
        <w:jc w:val="both"/>
        <w:rPr>
          <w:b/>
          <w:i/>
        </w:rPr>
      </w:pPr>
    </w:p>
    <w:p w14:paraId="39E1E26D" w14:textId="77777777" w:rsidR="00421D81" w:rsidRPr="0011633A" w:rsidRDefault="00421D81" w:rsidP="00421D81">
      <w:pPr>
        <w:numPr>
          <w:ilvl w:val="12"/>
          <w:numId w:val="0"/>
        </w:numPr>
        <w:ind w:left="720" w:hanging="720"/>
        <w:jc w:val="both"/>
      </w:pPr>
      <w:r>
        <w:t>6.3</w:t>
      </w:r>
      <w:r w:rsidRPr="0011633A">
        <w:tab/>
      </w:r>
      <w:r>
        <w:t>As mentioned previously P</w:t>
      </w:r>
      <w:r w:rsidRPr="0011633A">
        <w:t xml:space="preserve">WLB rates </w:t>
      </w:r>
      <w:r>
        <w:t>dropped to their lowest point in November 2020. Alternative sources of borrowing are available and the Municipal Bonds Agency have issued a bond on behalf of a Local Authority.</w:t>
      </w:r>
    </w:p>
    <w:p w14:paraId="29B8380E" w14:textId="77777777" w:rsidR="00421D81" w:rsidRPr="00AF7A93" w:rsidRDefault="00421D81" w:rsidP="00421D81">
      <w:pPr>
        <w:numPr>
          <w:ilvl w:val="12"/>
          <w:numId w:val="0"/>
        </w:numPr>
        <w:ind w:left="720" w:hanging="720"/>
        <w:jc w:val="both"/>
        <w:rPr>
          <w:highlight w:val="yellow"/>
        </w:rPr>
      </w:pPr>
    </w:p>
    <w:p w14:paraId="1B4B3D5E" w14:textId="77777777" w:rsidR="00421D81" w:rsidRDefault="00421D81" w:rsidP="00421D81">
      <w:pPr>
        <w:ind w:left="720" w:hanging="720"/>
        <w:jc w:val="both"/>
      </w:pPr>
      <w:r>
        <w:t>6.4</w:t>
      </w:r>
      <w:r>
        <w:tab/>
        <w:t>The</w:t>
      </w:r>
      <w:r w:rsidRPr="0011633A">
        <w:t xml:space="preserve"> next financial year is expected to see a continuation of the</w:t>
      </w:r>
      <w:r>
        <w:t xml:space="preserve"> relatively low bank r</w:t>
      </w:r>
      <w:r w:rsidRPr="0011633A">
        <w:t>ate which may present an opportunity to review the Commissioner’s external borrowing strategy. If investments exceed the borrowing requirement over the next year, and cash can be accessed from maturing investments, consideration needs to be given to the potential of internal borrowing.</w:t>
      </w:r>
    </w:p>
    <w:p w14:paraId="307DEF2E" w14:textId="77777777" w:rsidR="00421D81" w:rsidRDefault="00421D81" w:rsidP="00421D81">
      <w:pPr>
        <w:ind w:left="720" w:hanging="720"/>
        <w:jc w:val="both"/>
      </w:pPr>
    </w:p>
    <w:p w14:paraId="6A4D7BBE" w14:textId="77777777" w:rsidR="00421D81" w:rsidRDefault="00421D81" w:rsidP="00421D81">
      <w:pPr>
        <w:ind w:left="720" w:hanging="720"/>
        <w:jc w:val="both"/>
      </w:pPr>
      <w:r>
        <w:t>6.5</w:t>
      </w:r>
      <w:r>
        <w:tab/>
      </w:r>
      <w:r w:rsidRPr="0011633A">
        <w:t xml:space="preserve">As long term borrowing rates are expected to be higher than rates on the loss of investment income, and look likely to be so </w:t>
      </w:r>
      <w:r>
        <w:t>going forward</w:t>
      </w:r>
      <w:r w:rsidRPr="0011633A">
        <w:t>, it may be preferable to avoid some new external borrowing to maximise savings in the short term. A reduction of investments also has the benefit of reducing exposure to interest rate and credit risk.</w:t>
      </w:r>
    </w:p>
    <w:p w14:paraId="39912587" w14:textId="77777777" w:rsidR="00421D81" w:rsidRDefault="00421D81" w:rsidP="00421D81">
      <w:pPr>
        <w:ind w:left="720" w:hanging="720"/>
        <w:jc w:val="both"/>
      </w:pPr>
    </w:p>
    <w:p w14:paraId="10598F67" w14:textId="77777777" w:rsidR="00421D81" w:rsidRDefault="00421D81" w:rsidP="00421D81">
      <w:pPr>
        <w:ind w:left="720" w:hanging="720"/>
        <w:jc w:val="both"/>
      </w:pPr>
      <w:r>
        <w:t>6.6</w:t>
      </w:r>
      <w:r w:rsidRPr="00006B36">
        <w:tab/>
        <w:t xml:space="preserve">The </w:t>
      </w:r>
      <w:r>
        <w:t>Commissioner’s CFO</w:t>
      </w:r>
      <w:r w:rsidRPr="00006B36">
        <w:t xml:space="preserve"> will </w:t>
      </w:r>
      <w:r>
        <w:t xml:space="preserve">continue to cautiously </w:t>
      </w:r>
      <w:r w:rsidRPr="00006B36">
        <w:t>monitor the interest rate market and adopt a pragmatic approach to any changing circumstances</w:t>
      </w:r>
      <w:r>
        <w:t xml:space="preserve"> such as the evolving Estates Strategy or deployment of new technology.</w:t>
      </w:r>
    </w:p>
    <w:p w14:paraId="56DF1059" w14:textId="77777777" w:rsidR="00421D81" w:rsidRDefault="00421D81" w:rsidP="00421D81">
      <w:pPr>
        <w:jc w:val="both"/>
      </w:pPr>
    </w:p>
    <w:p w14:paraId="46830D6F" w14:textId="77777777" w:rsidR="00421D81" w:rsidRDefault="00421D81" w:rsidP="00421D81">
      <w:pPr>
        <w:ind w:left="720" w:hanging="720"/>
        <w:jc w:val="both"/>
      </w:pPr>
    </w:p>
    <w:p w14:paraId="2CA732C4" w14:textId="77777777" w:rsidR="00421D81" w:rsidRDefault="00421D81" w:rsidP="00421D81">
      <w:pPr>
        <w:ind w:left="720" w:hanging="720"/>
        <w:jc w:val="both"/>
        <w:rPr>
          <w:b/>
        </w:rPr>
      </w:pPr>
      <w:r>
        <w:rPr>
          <w:b/>
        </w:rPr>
        <w:t>7.0</w:t>
      </w:r>
      <w:r>
        <w:rPr>
          <w:b/>
        </w:rPr>
        <w:tab/>
        <w:t>DEBT RESCHEDULING AND PREMATURE REPAYMENT OPPORTUNITIES</w:t>
      </w:r>
    </w:p>
    <w:p w14:paraId="25536212" w14:textId="77777777" w:rsidR="00421D81" w:rsidRDefault="00421D81" w:rsidP="00421D81">
      <w:pPr>
        <w:ind w:left="720" w:hanging="720"/>
        <w:jc w:val="both"/>
      </w:pPr>
    </w:p>
    <w:p w14:paraId="0AE6105A" w14:textId="77777777" w:rsidR="00421D81" w:rsidRDefault="00421D81" w:rsidP="00421D81">
      <w:pPr>
        <w:ind w:left="719" w:hanging="719"/>
        <w:jc w:val="both"/>
      </w:pPr>
      <w:r>
        <w:t>7.1</w:t>
      </w:r>
      <w:r>
        <w:tab/>
      </w:r>
      <w:r w:rsidRPr="00C60046">
        <w:tab/>
        <w:t>The introduction of different PWLB rates on 1 November 2007 for new borrowing as</w:t>
      </w:r>
      <w:r>
        <w:t xml:space="preserve"> </w:t>
      </w:r>
      <w:r w:rsidRPr="00C60046">
        <w:t>opposed to early repayment of debt, and the setting of a spread between the two rates (of about 40 – 50 basis points for the longest period loans narrowing down to 25 – 30 basis points for the shortest loans), has meant that PWLB to PWLB debt restructuring is now much less attractive</w:t>
      </w:r>
      <w:r>
        <w:t>.</w:t>
      </w:r>
    </w:p>
    <w:p w14:paraId="370E0EEF" w14:textId="77777777" w:rsidR="00421D81" w:rsidRDefault="00421D81" w:rsidP="00421D81">
      <w:pPr>
        <w:ind w:left="719" w:hanging="719"/>
        <w:jc w:val="both"/>
      </w:pPr>
    </w:p>
    <w:p w14:paraId="315FB02E" w14:textId="77777777" w:rsidR="00421D81" w:rsidRDefault="00421D81" w:rsidP="00421D81">
      <w:pPr>
        <w:ind w:left="719" w:hanging="719"/>
        <w:jc w:val="both"/>
        <w:rPr>
          <w:bCs/>
        </w:rPr>
      </w:pPr>
      <w:r>
        <w:t>7.2</w:t>
      </w:r>
      <w:r>
        <w:tab/>
      </w:r>
      <w:r w:rsidRPr="00546575">
        <w:t xml:space="preserve">Due to short term borrowing rates expected to be considerably cheaper than longer term rates, there </w:t>
      </w:r>
      <w:r>
        <w:t>may be</w:t>
      </w:r>
      <w:r w:rsidRPr="00546575">
        <w:t xml:space="preserve"> opportunities to generate savings by switching from long term debt to short term debt. </w:t>
      </w:r>
      <w:r>
        <w:t>T</w:t>
      </w:r>
      <w:r w:rsidRPr="00546575">
        <w:t>hese savings will need to be considered in the light of their short term nature and the cost of refinancing short term loans</w:t>
      </w:r>
      <w:r>
        <w:t xml:space="preserve"> as</w:t>
      </w:r>
      <w:r w:rsidRPr="00546575">
        <w:t xml:space="preserve"> they mature.</w:t>
      </w:r>
      <w:r w:rsidRPr="00546575">
        <w:rPr>
          <w:bCs/>
        </w:rPr>
        <w:t xml:space="preserve"> Any rescheduling and repayment of debt is likely to cause a rebalancing of </w:t>
      </w:r>
      <w:r>
        <w:rPr>
          <w:bCs/>
        </w:rPr>
        <w:t>the</w:t>
      </w:r>
      <w:r w:rsidRPr="00546575">
        <w:rPr>
          <w:bCs/>
        </w:rPr>
        <w:t xml:space="preserve"> </w:t>
      </w:r>
      <w:r>
        <w:rPr>
          <w:bCs/>
        </w:rPr>
        <w:t>Commissioner</w:t>
      </w:r>
      <w:r w:rsidRPr="00546575">
        <w:rPr>
          <w:bCs/>
        </w:rPr>
        <w:t>’s debt maturities towards a flatte</w:t>
      </w:r>
      <w:r>
        <w:rPr>
          <w:bCs/>
        </w:rPr>
        <w:t>r</w:t>
      </w:r>
      <w:r w:rsidRPr="00546575">
        <w:rPr>
          <w:bCs/>
        </w:rPr>
        <w:t xml:space="preserve"> maturity profile </w:t>
      </w:r>
      <w:r>
        <w:rPr>
          <w:bCs/>
        </w:rPr>
        <w:t>bec</w:t>
      </w:r>
      <w:r w:rsidRPr="00546575">
        <w:rPr>
          <w:bCs/>
        </w:rPr>
        <w:t>a</w:t>
      </w:r>
      <w:r>
        <w:rPr>
          <w:bCs/>
        </w:rPr>
        <w:t>u</w:t>
      </w:r>
      <w:r w:rsidRPr="00546575">
        <w:rPr>
          <w:bCs/>
        </w:rPr>
        <w:t>s</w:t>
      </w:r>
      <w:r>
        <w:rPr>
          <w:bCs/>
        </w:rPr>
        <w:t>e</w:t>
      </w:r>
      <w:r w:rsidRPr="00546575">
        <w:rPr>
          <w:bCs/>
        </w:rPr>
        <w:t xml:space="preserve"> in </w:t>
      </w:r>
      <w:r>
        <w:rPr>
          <w:bCs/>
        </w:rPr>
        <w:t>the past</w:t>
      </w:r>
      <w:r w:rsidRPr="00546575">
        <w:rPr>
          <w:bCs/>
        </w:rPr>
        <w:t xml:space="preserve"> there has been a </w:t>
      </w:r>
      <w:r>
        <w:rPr>
          <w:bCs/>
        </w:rPr>
        <w:t>concentration on</w:t>
      </w:r>
      <w:r w:rsidRPr="00546575">
        <w:rPr>
          <w:bCs/>
        </w:rPr>
        <w:t xml:space="preserve"> longer dated PWLB</w:t>
      </w:r>
      <w:r>
        <w:rPr>
          <w:bCs/>
        </w:rPr>
        <w:t xml:space="preserve"> loans</w:t>
      </w:r>
      <w:r w:rsidRPr="00546575">
        <w:rPr>
          <w:bCs/>
        </w:rPr>
        <w:t>.</w:t>
      </w:r>
    </w:p>
    <w:p w14:paraId="3EF6A7E2" w14:textId="77777777" w:rsidR="00421D81" w:rsidRDefault="00421D81" w:rsidP="00421D81">
      <w:pPr>
        <w:ind w:left="719" w:hanging="719"/>
        <w:jc w:val="both"/>
        <w:rPr>
          <w:bCs/>
        </w:rPr>
      </w:pPr>
    </w:p>
    <w:p w14:paraId="17935468" w14:textId="77777777" w:rsidR="00421D81" w:rsidRDefault="00421D81" w:rsidP="00421D81">
      <w:pPr>
        <w:ind w:left="719" w:hanging="719"/>
        <w:jc w:val="both"/>
        <w:rPr>
          <w:bCs/>
        </w:rPr>
      </w:pPr>
      <w:r>
        <w:rPr>
          <w:bCs/>
        </w:rPr>
        <w:t>7.3</w:t>
      </w:r>
      <w:r>
        <w:rPr>
          <w:bCs/>
        </w:rPr>
        <w:tab/>
        <w:t>T</w:t>
      </w:r>
      <w:r w:rsidRPr="00546575">
        <w:rPr>
          <w:bCs/>
        </w:rPr>
        <w:t>he potential for making savings by r</w:t>
      </w:r>
      <w:r>
        <w:rPr>
          <w:bCs/>
        </w:rPr>
        <w:t>e</w:t>
      </w:r>
      <w:r w:rsidRPr="00546575">
        <w:rPr>
          <w:bCs/>
        </w:rPr>
        <w:t>d</w:t>
      </w:r>
      <w:r>
        <w:rPr>
          <w:bCs/>
        </w:rPr>
        <w:t>ucing i</w:t>
      </w:r>
      <w:r w:rsidRPr="00546575">
        <w:rPr>
          <w:bCs/>
        </w:rPr>
        <w:t xml:space="preserve">nvestment balances by repaying debt prematurely </w:t>
      </w:r>
      <w:r>
        <w:rPr>
          <w:bCs/>
        </w:rPr>
        <w:t>will</w:t>
      </w:r>
      <w:r w:rsidRPr="00546575">
        <w:rPr>
          <w:bCs/>
        </w:rPr>
        <w:t xml:space="preserve"> </w:t>
      </w:r>
      <w:r>
        <w:rPr>
          <w:bCs/>
        </w:rPr>
        <w:t xml:space="preserve">be considered </w:t>
      </w:r>
      <w:r w:rsidRPr="00546575">
        <w:rPr>
          <w:bCs/>
        </w:rPr>
        <w:t xml:space="preserve">as short term rates on investments </w:t>
      </w:r>
      <w:r>
        <w:rPr>
          <w:bCs/>
        </w:rPr>
        <w:t>will</w:t>
      </w:r>
      <w:r w:rsidRPr="00546575">
        <w:rPr>
          <w:bCs/>
        </w:rPr>
        <w:t xml:space="preserve"> be lower than rates paid on currently held debt.  However, this will need careful consideration in the light of premiums that may be </w:t>
      </w:r>
      <w:r>
        <w:rPr>
          <w:bCs/>
        </w:rPr>
        <w:t>due on early debt repayment. It is therefore unlikely that this will be economically attractive.</w:t>
      </w:r>
    </w:p>
    <w:p w14:paraId="0A19E251" w14:textId="77777777" w:rsidR="00421D81" w:rsidRDefault="00421D81" w:rsidP="00421D81">
      <w:pPr>
        <w:jc w:val="both"/>
        <w:rPr>
          <w:bCs/>
        </w:rPr>
      </w:pPr>
    </w:p>
    <w:p w14:paraId="1E0BEA4F" w14:textId="77777777" w:rsidR="00421D81" w:rsidRDefault="00421D81" w:rsidP="00421D81">
      <w:pPr>
        <w:jc w:val="both"/>
        <w:rPr>
          <w:bCs/>
        </w:rPr>
      </w:pPr>
    </w:p>
    <w:p w14:paraId="4A28AAF8" w14:textId="77777777" w:rsidR="00421D81" w:rsidRDefault="00421D81" w:rsidP="00421D81">
      <w:pPr>
        <w:ind w:left="720" w:hanging="720"/>
        <w:jc w:val="both"/>
        <w:rPr>
          <w:b/>
        </w:rPr>
      </w:pPr>
      <w:r>
        <w:rPr>
          <w:b/>
        </w:rPr>
        <w:t>8.0</w:t>
      </w:r>
      <w:r>
        <w:rPr>
          <w:b/>
        </w:rPr>
        <w:tab/>
        <w:t>MINIMUM REVENUE PROVISION STRATEGY</w:t>
      </w:r>
    </w:p>
    <w:p w14:paraId="1533D6DF" w14:textId="77777777" w:rsidR="00421D81" w:rsidRDefault="00421D81" w:rsidP="00421D81">
      <w:pPr>
        <w:ind w:left="720" w:hanging="720"/>
        <w:jc w:val="both"/>
        <w:rPr>
          <w:b/>
        </w:rPr>
      </w:pPr>
    </w:p>
    <w:p w14:paraId="00C6D646" w14:textId="77777777" w:rsidR="00421D81" w:rsidRDefault="00421D81" w:rsidP="00421D81">
      <w:pPr>
        <w:ind w:left="720" w:hanging="720"/>
        <w:jc w:val="both"/>
        <w:rPr>
          <w:color w:val="000000"/>
        </w:rPr>
      </w:pPr>
      <w:r>
        <w:t>8.1</w:t>
      </w:r>
      <w:r>
        <w:tab/>
      </w:r>
      <w:r w:rsidRPr="00722708">
        <w:rPr>
          <w:color w:val="000000"/>
        </w:rPr>
        <w:t xml:space="preserve">Capital expenditure is expenditure on assets which have a life expectancy of more than one year e.g. buildings, vehicles, </w:t>
      </w:r>
      <w:r>
        <w:rPr>
          <w:color w:val="000000"/>
        </w:rPr>
        <w:t>and equipment</w:t>
      </w:r>
      <w:r w:rsidRPr="00722708">
        <w:rPr>
          <w:color w:val="000000"/>
        </w:rPr>
        <w:t xml:space="preserve">. </w:t>
      </w:r>
      <w:r>
        <w:rPr>
          <w:color w:val="000000"/>
        </w:rPr>
        <w:t xml:space="preserve">Occasionally the Commissioner has to borrow to fund this expenditure. The loans taken out for this purpose are fully repayable at a future point in time (they are paid off at maturity and not in instalments). The concept of Minimum Revenue Provision was introduced to prescribe a minimum amount which must be charged to the revenue account each year in order to make provision to meet the cost of that borrowing.  </w:t>
      </w:r>
    </w:p>
    <w:p w14:paraId="6716E3D0" w14:textId="77777777" w:rsidR="00421D81" w:rsidRDefault="00421D81" w:rsidP="00421D81">
      <w:pPr>
        <w:ind w:left="720" w:hanging="720"/>
        <w:jc w:val="both"/>
        <w:rPr>
          <w:color w:val="000000"/>
        </w:rPr>
      </w:pPr>
    </w:p>
    <w:p w14:paraId="742E9F17" w14:textId="77777777" w:rsidR="00421D81" w:rsidRDefault="00421D81" w:rsidP="00421D81">
      <w:pPr>
        <w:ind w:left="720" w:hanging="720"/>
        <w:jc w:val="both"/>
      </w:pPr>
      <w:r>
        <w:rPr>
          <w:color w:val="000000"/>
        </w:rPr>
        <w:lastRenderedPageBreak/>
        <w:t>8.2</w:t>
      </w:r>
      <w:r>
        <w:rPr>
          <w:color w:val="000000"/>
        </w:rPr>
        <w:tab/>
      </w:r>
      <w:r w:rsidRPr="00722708">
        <w:t xml:space="preserve">The Local Authorities (Capital Finance and Accounting) (England) (Amendment) Regulations 2008 </w:t>
      </w:r>
      <w:r>
        <w:t xml:space="preserve">which came into </w:t>
      </w:r>
      <w:r w:rsidRPr="00722708">
        <w:t>force on 31 March 2008</w:t>
      </w:r>
      <w:r>
        <w:t xml:space="preserve"> </w:t>
      </w:r>
      <w:r w:rsidRPr="00722708">
        <w:t xml:space="preserve">states that an annual MRP statement needs to be produced </w:t>
      </w:r>
      <w:r>
        <w:t>which</w:t>
      </w:r>
      <w:r w:rsidRPr="00722708">
        <w:t xml:space="preserve"> details the methodology for the charge to revenue for debt redemption.  The Regulations require that </w:t>
      </w:r>
      <w:r>
        <w:t xml:space="preserve">the Commissioner </w:t>
      </w:r>
      <w:r w:rsidRPr="00722708">
        <w:t>“shall determine for the current financial year an amount of minimum revenue provision which it considers to be prudent”.</w:t>
      </w:r>
    </w:p>
    <w:p w14:paraId="3B9A3CAD" w14:textId="77777777" w:rsidR="00421D81" w:rsidRDefault="00421D81" w:rsidP="00421D81">
      <w:pPr>
        <w:ind w:left="720" w:hanging="720"/>
        <w:jc w:val="both"/>
      </w:pPr>
    </w:p>
    <w:p w14:paraId="2716947D" w14:textId="77777777" w:rsidR="00421D81" w:rsidRDefault="00421D81" w:rsidP="00421D81">
      <w:pPr>
        <w:ind w:left="720" w:hanging="720"/>
        <w:jc w:val="both"/>
      </w:pPr>
      <w:r>
        <w:t>8.3</w:t>
      </w:r>
      <w:r>
        <w:tab/>
      </w:r>
      <w:r w:rsidRPr="00722708">
        <w:t>Methods of making prudent provision for MRP include four options</w:t>
      </w:r>
      <w:r>
        <w:t xml:space="preserve">. </w:t>
      </w:r>
      <w:r w:rsidRPr="00722708">
        <w:t xml:space="preserve">Options 1 and 2 should only be used in relation to Capital expenditure incurred before 1 April 2008 and Capital expenditure incurred on or after that date which the </w:t>
      </w:r>
      <w:r>
        <w:t>Commissioner</w:t>
      </w:r>
      <w:r w:rsidRPr="00722708">
        <w:t xml:space="preserve"> is satisfied forms part of Supported Capital Expenditure. For all unsupported borrowing </w:t>
      </w:r>
      <w:r>
        <w:t>covered by</w:t>
      </w:r>
      <w:r w:rsidRPr="00722708">
        <w:t xml:space="preserve"> the Prudential Code on or after 1 April 2008, Options 3 or 4 must be used.</w:t>
      </w:r>
    </w:p>
    <w:p w14:paraId="284B3882" w14:textId="77777777" w:rsidR="00421D81" w:rsidRDefault="00421D81" w:rsidP="00421D81">
      <w:pPr>
        <w:ind w:left="720" w:hanging="720"/>
        <w:jc w:val="both"/>
      </w:pPr>
    </w:p>
    <w:p w14:paraId="68C3966F" w14:textId="77777777" w:rsidR="00421D81" w:rsidRDefault="00421D81" w:rsidP="00421D81">
      <w:pPr>
        <w:jc w:val="both"/>
      </w:pPr>
      <w:r>
        <w:t>8.4</w:t>
      </w:r>
      <w:r>
        <w:tab/>
        <w:t>The MRP options are:</w:t>
      </w:r>
    </w:p>
    <w:p w14:paraId="326F1DE8" w14:textId="77777777" w:rsidR="00421D81" w:rsidRPr="001562D3" w:rsidRDefault="00421D81" w:rsidP="00421D81">
      <w:pPr>
        <w:numPr>
          <w:ilvl w:val="0"/>
          <w:numId w:val="34"/>
        </w:numPr>
        <w:jc w:val="both"/>
      </w:pPr>
      <w:r w:rsidRPr="009B651D">
        <w:rPr>
          <w:b/>
        </w:rPr>
        <w:t>Option 1 – Regulatory Method</w:t>
      </w:r>
      <w:r>
        <w:t xml:space="preserve">. </w:t>
      </w:r>
      <w:r w:rsidRPr="00722708">
        <w:t>MRP is equal to the amount determined in accordance with the former sections 28 and 29 of the 2003 Regulations as if they had not been revoked.</w:t>
      </w:r>
    </w:p>
    <w:p w14:paraId="6BDB113D" w14:textId="77777777" w:rsidR="00421D81" w:rsidRPr="002609A6" w:rsidRDefault="00421D81" w:rsidP="00421D81">
      <w:pPr>
        <w:ind w:left="720"/>
        <w:jc w:val="both"/>
      </w:pPr>
    </w:p>
    <w:p w14:paraId="4E3147B2" w14:textId="77777777" w:rsidR="00421D81" w:rsidRDefault="00421D81" w:rsidP="00421D81">
      <w:pPr>
        <w:numPr>
          <w:ilvl w:val="0"/>
          <w:numId w:val="34"/>
        </w:numPr>
        <w:jc w:val="both"/>
      </w:pPr>
      <w:r w:rsidRPr="009B651D">
        <w:rPr>
          <w:b/>
        </w:rPr>
        <w:t>Option 2 – Capital Financing Requirement Method</w:t>
      </w:r>
      <w:r>
        <w:t xml:space="preserve">. MRP is equal to 4% of the Capital Financing Requirement at </w:t>
      </w:r>
      <w:r w:rsidRPr="00722708">
        <w:t>the end of the previous year</w:t>
      </w:r>
      <w:r>
        <w:t>.</w:t>
      </w:r>
    </w:p>
    <w:p w14:paraId="53985F4A" w14:textId="77777777" w:rsidR="00421D81" w:rsidRDefault="00421D81" w:rsidP="00421D81">
      <w:pPr>
        <w:jc w:val="both"/>
      </w:pPr>
    </w:p>
    <w:p w14:paraId="178C7BBE" w14:textId="77777777" w:rsidR="00421D81" w:rsidRPr="002609A6" w:rsidRDefault="00421D81" w:rsidP="00421D81">
      <w:pPr>
        <w:numPr>
          <w:ilvl w:val="0"/>
          <w:numId w:val="34"/>
        </w:numPr>
        <w:jc w:val="both"/>
      </w:pPr>
      <w:r w:rsidRPr="009B651D">
        <w:rPr>
          <w:b/>
        </w:rPr>
        <w:t>Option 3 – Asset Life Method</w:t>
      </w:r>
      <w:r>
        <w:t xml:space="preserve">. </w:t>
      </w:r>
      <w:r w:rsidRPr="00722708">
        <w:t>Revenue provision is spread over the determined useful life</w:t>
      </w:r>
      <w:r>
        <w:t xml:space="preserve"> </w:t>
      </w:r>
      <w:r w:rsidRPr="00722708">
        <w:t>of the Asset either in equal insta</w:t>
      </w:r>
      <w:r>
        <w:t>l</w:t>
      </w:r>
      <w:r w:rsidRPr="00722708">
        <w:t>ments or using an annuity method.  The first charge can be delayed until the asset is operational.</w:t>
      </w:r>
    </w:p>
    <w:p w14:paraId="0373E40C" w14:textId="77777777" w:rsidR="00421D81" w:rsidRDefault="00421D81" w:rsidP="00421D81">
      <w:pPr>
        <w:jc w:val="both"/>
      </w:pPr>
    </w:p>
    <w:p w14:paraId="1000406F" w14:textId="77777777" w:rsidR="00421D81" w:rsidRPr="00722708" w:rsidRDefault="00421D81" w:rsidP="00421D81">
      <w:pPr>
        <w:numPr>
          <w:ilvl w:val="0"/>
          <w:numId w:val="34"/>
        </w:numPr>
        <w:jc w:val="both"/>
      </w:pPr>
      <w:r w:rsidRPr="009B651D">
        <w:rPr>
          <w:b/>
        </w:rPr>
        <w:t>Option 4 – Depreciation Method</w:t>
      </w:r>
      <w:r>
        <w:t xml:space="preserve">. </w:t>
      </w:r>
      <w:r w:rsidRPr="00722708">
        <w:t>MRP is equal to the provision required in accordance with depreciation accounting in respect of the asset.</w:t>
      </w:r>
    </w:p>
    <w:p w14:paraId="74B48BE8" w14:textId="77777777" w:rsidR="00421D81" w:rsidRPr="00722708" w:rsidRDefault="00421D81" w:rsidP="00421D81">
      <w:pPr>
        <w:jc w:val="both"/>
      </w:pPr>
    </w:p>
    <w:p w14:paraId="4D683C37" w14:textId="77777777" w:rsidR="00421D81" w:rsidRDefault="00421D81" w:rsidP="00421D81">
      <w:pPr>
        <w:ind w:left="720" w:hanging="720"/>
        <w:jc w:val="both"/>
        <w:rPr>
          <w:bCs/>
        </w:rPr>
      </w:pPr>
      <w:r>
        <w:t>8.5</w:t>
      </w:r>
      <w:r>
        <w:tab/>
        <w:t>I</w:t>
      </w:r>
      <w:r w:rsidRPr="00722708">
        <w:t xml:space="preserve">t </w:t>
      </w:r>
      <w:r w:rsidRPr="00E67038">
        <w:t>is recommended that for 20</w:t>
      </w:r>
      <w:r>
        <w:t>21/22</w:t>
      </w:r>
      <w:r w:rsidRPr="00E67038">
        <w:t>, Option 2 will continue to be used for Capital expenditure incurred before 1 April 2008.</w:t>
      </w:r>
      <w:r>
        <w:t xml:space="preserve"> </w:t>
      </w:r>
      <w:r w:rsidRPr="00E67038">
        <w:t>For all subsequent Capital expenditure financed by Borrowing, the equal instalment method of Option 3 will be used.</w:t>
      </w:r>
      <w:r w:rsidRPr="00722708">
        <w:t xml:space="preserve"> In the future it will be necessary to choose which assets are financed by borrowing carefully since the useful lives of the assets could </w:t>
      </w:r>
      <w:r>
        <w:t xml:space="preserve">increase </w:t>
      </w:r>
      <w:r w:rsidRPr="00722708">
        <w:t xml:space="preserve">or </w:t>
      </w:r>
      <w:r>
        <w:t>decrease</w:t>
      </w:r>
      <w:r w:rsidRPr="00722708">
        <w:t xml:space="preserve"> MRP charges.</w:t>
      </w:r>
    </w:p>
    <w:p w14:paraId="32DAEA6A" w14:textId="77777777" w:rsidR="00421D81" w:rsidRDefault="00421D81" w:rsidP="00421D81">
      <w:pPr>
        <w:jc w:val="right"/>
        <w:rPr>
          <w:b/>
        </w:rPr>
      </w:pPr>
    </w:p>
    <w:p w14:paraId="135FB595" w14:textId="77777777" w:rsidR="00421D81" w:rsidRDefault="00421D81" w:rsidP="00421D81">
      <w:pPr>
        <w:jc w:val="right"/>
        <w:rPr>
          <w:b/>
        </w:rPr>
      </w:pPr>
    </w:p>
    <w:p w14:paraId="59C5DD22" w14:textId="77777777" w:rsidR="00421D81" w:rsidRDefault="00421D81" w:rsidP="00421D81">
      <w:pPr>
        <w:rPr>
          <w:b/>
        </w:rPr>
      </w:pPr>
    </w:p>
    <w:p w14:paraId="16C1508C" w14:textId="77777777" w:rsidR="00421D81" w:rsidRDefault="00421D81" w:rsidP="00421D81">
      <w:pPr>
        <w:jc w:val="right"/>
        <w:rPr>
          <w:b/>
        </w:rPr>
      </w:pPr>
    </w:p>
    <w:p w14:paraId="113BD39E" w14:textId="77777777" w:rsidR="00421D81" w:rsidRDefault="00421D81" w:rsidP="00421D81">
      <w:pPr>
        <w:jc w:val="right"/>
        <w:rPr>
          <w:b/>
        </w:rPr>
      </w:pPr>
    </w:p>
    <w:p w14:paraId="3F321630" w14:textId="77777777" w:rsidR="00421D81" w:rsidRDefault="00421D81" w:rsidP="00421D81">
      <w:pPr>
        <w:jc w:val="right"/>
        <w:rPr>
          <w:b/>
        </w:rPr>
      </w:pPr>
    </w:p>
    <w:p w14:paraId="7F89F558" w14:textId="77777777" w:rsidR="00421D81" w:rsidRDefault="00421D81" w:rsidP="00421D81">
      <w:pPr>
        <w:jc w:val="right"/>
        <w:rPr>
          <w:b/>
        </w:rPr>
      </w:pPr>
    </w:p>
    <w:p w14:paraId="6A961CDD" w14:textId="77777777" w:rsidR="00421D81" w:rsidRDefault="00421D81" w:rsidP="00421D81">
      <w:pPr>
        <w:jc w:val="right"/>
        <w:rPr>
          <w:b/>
        </w:rPr>
      </w:pPr>
    </w:p>
    <w:p w14:paraId="1BDE39B5" w14:textId="77777777" w:rsidR="00421D81" w:rsidRDefault="00421D81" w:rsidP="00421D81">
      <w:pPr>
        <w:jc w:val="right"/>
        <w:rPr>
          <w:b/>
        </w:rPr>
      </w:pPr>
    </w:p>
    <w:p w14:paraId="37588C0D" w14:textId="77777777" w:rsidR="00421D81" w:rsidRDefault="00421D81" w:rsidP="00421D81">
      <w:pPr>
        <w:jc w:val="right"/>
        <w:rPr>
          <w:b/>
        </w:rPr>
      </w:pPr>
    </w:p>
    <w:p w14:paraId="5B01AA82" w14:textId="77777777" w:rsidR="00421D81" w:rsidRDefault="00421D81" w:rsidP="00421D81">
      <w:pPr>
        <w:jc w:val="right"/>
        <w:rPr>
          <w:b/>
        </w:rPr>
      </w:pPr>
    </w:p>
    <w:p w14:paraId="69F72A9F" w14:textId="77777777" w:rsidR="00421D81" w:rsidRDefault="00421D81" w:rsidP="00421D81">
      <w:pPr>
        <w:jc w:val="right"/>
        <w:rPr>
          <w:b/>
        </w:rPr>
      </w:pPr>
    </w:p>
    <w:p w14:paraId="4A2AF718" w14:textId="77777777" w:rsidR="00421D81" w:rsidRDefault="00421D81" w:rsidP="00421D81">
      <w:pPr>
        <w:jc w:val="right"/>
        <w:rPr>
          <w:b/>
        </w:rPr>
      </w:pPr>
    </w:p>
    <w:p w14:paraId="6D562BAF" w14:textId="77777777" w:rsidR="00421D81" w:rsidRDefault="00421D81" w:rsidP="00421D81">
      <w:pPr>
        <w:jc w:val="right"/>
        <w:rPr>
          <w:b/>
        </w:rPr>
      </w:pPr>
    </w:p>
    <w:p w14:paraId="1DD6BBDB" w14:textId="77777777" w:rsidR="00421D81" w:rsidRDefault="00421D81" w:rsidP="00421D81">
      <w:pPr>
        <w:jc w:val="right"/>
        <w:rPr>
          <w:b/>
        </w:rPr>
      </w:pPr>
    </w:p>
    <w:p w14:paraId="51F18DF5" w14:textId="77777777" w:rsidR="00421D81" w:rsidRDefault="00421D81" w:rsidP="00421D81">
      <w:pPr>
        <w:jc w:val="right"/>
        <w:rPr>
          <w:b/>
        </w:rPr>
      </w:pPr>
    </w:p>
    <w:p w14:paraId="3ADFE232" w14:textId="77777777" w:rsidR="00421D81" w:rsidRDefault="00421D81" w:rsidP="00421D81">
      <w:pPr>
        <w:jc w:val="right"/>
        <w:rPr>
          <w:b/>
        </w:rPr>
      </w:pPr>
    </w:p>
    <w:p w14:paraId="39F56B1C" w14:textId="77777777" w:rsidR="00421D81" w:rsidRDefault="00421D81" w:rsidP="00421D81">
      <w:pPr>
        <w:jc w:val="right"/>
        <w:rPr>
          <w:b/>
        </w:rPr>
      </w:pPr>
    </w:p>
    <w:p w14:paraId="171AEDF0" w14:textId="77777777" w:rsidR="00421D81" w:rsidRDefault="00421D81" w:rsidP="00421D81">
      <w:pPr>
        <w:jc w:val="right"/>
        <w:rPr>
          <w:b/>
        </w:rPr>
      </w:pPr>
    </w:p>
    <w:p w14:paraId="7F26BEB7" w14:textId="77777777" w:rsidR="00421D81" w:rsidRDefault="00421D81" w:rsidP="00421D81">
      <w:pPr>
        <w:jc w:val="right"/>
        <w:rPr>
          <w:b/>
        </w:rPr>
      </w:pPr>
    </w:p>
    <w:p w14:paraId="0C6F6AF8" w14:textId="77777777" w:rsidR="00421D81" w:rsidRDefault="00421D81" w:rsidP="00421D81">
      <w:pPr>
        <w:rPr>
          <w:b/>
        </w:rPr>
      </w:pPr>
    </w:p>
    <w:p w14:paraId="29676291" w14:textId="77777777" w:rsidR="00421D81" w:rsidRPr="001D3578" w:rsidRDefault="00421D81" w:rsidP="00421D81">
      <w:pPr>
        <w:pStyle w:val="Heading3"/>
        <w:jc w:val="right"/>
        <w:rPr>
          <w:rFonts w:ascii="Arial" w:hAnsi="Arial" w:cs="Arial"/>
          <w:b/>
          <w:sz w:val="22"/>
          <w:szCs w:val="22"/>
        </w:rPr>
      </w:pPr>
      <w:r w:rsidRPr="001D3578">
        <w:rPr>
          <w:rFonts w:ascii="Arial" w:hAnsi="Arial" w:cs="Arial"/>
          <w:b/>
          <w:sz w:val="22"/>
          <w:szCs w:val="22"/>
        </w:rPr>
        <w:lastRenderedPageBreak/>
        <w:t>APPENDIX C</w:t>
      </w:r>
    </w:p>
    <w:p w14:paraId="7E3D3089" w14:textId="77777777" w:rsidR="00421D81" w:rsidRPr="00510190" w:rsidRDefault="00421D81" w:rsidP="00421D81">
      <w:pPr>
        <w:ind w:left="720"/>
        <w:rPr>
          <w:b/>
        </w:rPr>
      </w:pPr>
    </w:p>
    <w:p w14:paraId="0C7BEC23" w14:textId="77777777" w:rsidR="00421D81" w:rsidRDefault="00421D81" w:rsidP="00421D81">
      <w:pPr>
        <w:jc w:val="center"/>
        <w:rPr>
          <w:b/>
          <w:u w:val="single"/>
        </w:rPr>
      </w:pPr>
      <w:r>
        <w:rPr>
          <w:b/>
          <w:u w:val="single"/>
        </w:rPr>
        <w:t>EXTERNAL INVESTMENTS - APPROVED COUNTERPARTY LIST 2021/22</w:t>
      </w:r>
    </w:p>
    <w:p w14:paraId="091EB1A4" w14:textId="77777777" w:rsidR="00421D81" w:rsidRDefault="00421D81" w:rsidP="00421D81"/>
    <w:tbl>
      <w:tblPr>
        <w:tblW w:w="10107" w:type="dxa"/>
        <w:tblInd w:w="-10" w:type="dxa"/>
        <w:tblLook w:val="04A0" w:firstRow="1" w:lastRow="0" w:firstColumn="1" w:lastColumn="0" w:noHBand="0" w:noVBand="1"/>
      </w:tblPr>
      <w:tblGrid>
        <w:gridCol w:w="280"/>
        <w:gridCol w:w="3828"/>
        <w:gridCol w:w="785"/>
        <w:gridCol w:w="602"/>
        <w:gridCol w:w="712"/>
        <w:gridCol w:w="717"/>
        <w:gridCol w:w="1016"/>
        <w:gridCol w:w="1175"/>
        <w:gridCol w:w="992"/>
      </w:tblGrid>
      <w:tr w:rsidR="00421D81" w14:paraId="29DB7215" w14:textId="77777777" w:rsidTr="00F51BBE">
        <w:trPr>
          <w:trHeight w:val="315"/>
        </w:trPr>
        <w:tc>
          <w:tcPr>
            <w:tcW w:w="4108" w:type="dxa"/>
            <w:gridSpan w:val="2"/>
            <w:tcBorders>
              <w:top w:val="single" w:sz="8" w:space="0" w:color="auto"/>
              <w:left w:val="single" w:sz="8" w:space="0" w:color="auto"/>
              <w:bottom w:val="nil"/>
              <w:right w:val="nil"/>
            </w:tcBorders>
            <w:shd w:val="clear" w:color="auto" w:fill="auto"/>
            <w:noWrap/>
            <w:vAlign w:val="bottom"/>
            <w:hideMark/>
          </w:tcPr>
          <w:p w14:paraId="79919985" w14:textId="77777777" w:rsidR="00421D81" w:rsidRPr="008153DB" w:rsidRDefault="00421D81" w:rsidP="00F51BBE">
            <w:pPr>
              <w:rPr>
                <w:b/>
                <w:bCs/>
                <w:sz w:val="24"/>
                <w:szCs w:val="24"/>
              </w:rPr>
            </w:pPr>
            <w:r w:rsidRPr="008153DB">
              <w:rPr>
                <w:b/>
                <w:bCs/>
              </w:rPr>
              <w:t>BRITISH BANKS &amp; SUBSIDIARIES</w:t>
            </w:r>
          </w:p>
        </w:tc>
        <w:tc>
          <w:tcPr>
            <w:tcW w:w="2816" w:type="dxa"/>
            <w:gridSpan w:val="4"/>
            <w:tcBorders>
              <w:top w:val="single" w:sz="8" w:space="0" w:color="auto"/>
              <w:left w:val="single" w:sz="8" w:space="0" w:color="auto"/>
              <w:bottom w:val="nil"/>
              <w:right w:val="single" w:sz="8" w:space="0" w:color="000000"/>
            </w:tcBorders>
            <w:shd w:val="clear" w:color="auto" w:fill="auto"/>
            <w:noWrap/>
            <w:vAlign w:val="bottom"/>
            <w:hideMark/>
          </w:tcPr>
          <w:p w14:paraId="61BB8551" w14:textId="77777777" w:rsidR="00421D81" w:rsidRPr="008153DB" w:rsidRDefault="00421D81" w:rsidP="00F51BBE">
            <w:pPr>
              <w:jc w:val="center"/>
              <w:rPr>
                <w:b/>
                <w:bCs/>
                <w:sz w:val="16"/>
                <w:szCs w:val="16"/>
              </w:rPr>
            </w:pPr>
            <w:r>
              <w:rPr>
                <w:b/>
                <w:bCs/>
                <w:sz w:val="16"/>
                <w:szCs w:val="16"/>
              </w:rPr>
              <w:t>FITCH</w:t>
            </w:r>
            <w:r w:rsidRPr="008153DB">
              <w:rPr>
                <w:b/>
                <w:bCs/>
                <w:sz w:val="16"/>
                <w:szCs w:val="16"/>
              </w:rPr>
              <w:t xml:space="preserve"> RATING</w:t>
            </w:r>
          </w:p>
        </w:tc>
        <w:tc>
          <w:tcPr>
            <w:tcW w:w="1016" w:type="dxa"/>
            <w:tcBorders>
              <w:top w:val="single" w:sz="8" w:space="0" w:color="auto"/>
              <w:left w:val="nil"/>
              <w:bottom w:val="nil"/>
              <w:right w:val="nil"/>
            </w:tcBorders>
            <w:shd w:val="clear" w:color="auto" w:fill="auto"/>
            <w:noWrap/>
            <w:vAlign w:val="bottom"/>
            <w:hideMark/>
          </w:tcPr>
          <w:p w14:paraId="71F653F5" w14:textId="77777777" w:rsidR="00421D81" w:rsidRPr="008153DB" w:rsidRDefault="00421D81" w:rsidP="00F51BBE">
            <w:pPr>
              <w:jc w:val="center"/>
              <w:rPr>
                <w:b/>
                <w:bCs/>
                <w:sz w:val="16"/>
                <w:szCs w:val="16"/>
              </w:rPr>
            </w:pPr>
            <w:r w:rsidRPr="008153DB">
              <w:rPr>
                <w:b/>
                <w:bCs/>
                <w:sz w:val="16"/>
                <w:szCs w:val="16"/>
              </w:rPr>
              <w:t>LIMIT</w:t>
            </w:r>
          </w:p>
        </w:tc>
        <w:tc>
          <w:tcPr>
            <w:tcW w:w="1175" w:type="dxa"/>
            <w:tcBorders>
              <w:top w:val="single" w:sz="8" w:space="0" w:color="auto"/>
              <w:left w:val="nil"/>
              <w:bottom w:val="nil"/>
              <w:right w:val="single" w:sz="8" w:space="0" w:color="auto"/>
            </w:tcBorders>
            <w:shd w:val="clear" w:color="auto" w:fill="auto"/>
            <w:noWrap/>
            <w:vAlign w:val="bottom"/>
            <w:hideMark/>
          </w:tcPr>
          <w:p w14:paraId="11FFCE8D" w14:textId="77777777" w:rsidR="00421D81" w:rsidRPr="008153DB" w:rsidRDefault="00421D81" w:rsidP="00F51BBE">
            <w:pPr>
              <w:jc w:val="center"/>
              <w:rPr>
                <w:b/>
                <w:bCs/>
                <w:sz w:val="16"/>
                <w:szCs w:val="16"/>
              </w:rPr>
            </w:pPr>
            <w:r w:rsidRPr="008153DB">
              <w:rPr>
                <w:b/>
                <w:bCs/>
                <w:sz w:val="16"/>
                <w:szCs w:val="16"/>
              </w:rPr>
              <w:t>GROUP</w:t>
            </w:r>
          </w:p>
        </w:tc>
        <w:tc>
          <w:tcPr>
            <w:tcW w:w="992" w:type="dxa"/>
            <w:tcBorders>
              <w:top w:val="single" w:sz="8" w:space="0" w:color="auto"/>
              <w:left w:val="nil"/>
              <w:bottom w:val="nil"/>
              <w:right w:val="single" w:sz="8" w:space="0" w:color="auto"/>
            </w:tcBorders>
            <w:shd w:val="clear" w:color="auto" w:fill="auto"/>
            <w:noWrap/>
            <w:vAlign w:val="bottom"/>
            <w:hideMark/>
          </w:tcPr>
          <w:p w14:paraId="1DA3A41B" w14:textId="77777777" w:rsidR="00421D81" w:rsidRPr="008153DB" w:rsidRDefault="00421D81" w:rsidP="00F51BBE">
            <w:r w:rsidRPr="008153DB">
              <w:t> </w:t>
            </w:r>
          </w:p>
        </w:tc>
      </w:tr>
      <w:tr w:rsidR="00421D81" w14:paraId="4B267084" w14:textId="77777777" w:rsidTr="00F51BBE">
        <w:trPr>
          <w:trHeight w:val="270"/>
        </w:trPr>
        <w:tc>
          <w:tcPr>
            <w:tcW w:w="280" w:type="dxa"/>
            <w:tcBorders>
              <w:top w:val="nil"/>
              <w:left w:val="single" w:sz="8" w:space="0" w:color="auto"/>
              <w:bottom w:val="single" w:sz="8" w:space="0" w:color="auto"/>
              <w:right w:val="nil"/>
            </w:tcBorders>
            <w:shd w:val="clear" w:color="auto" w:fill="auto"/>
            <w:noWrap/>
            <w:vAlign w:val="bottom"/>
            <w:hideMark/>
          </w:tcPr>
          <w:p w14:paraId="62B45409" w14:textId="77777777" w:rsidR="00421D81" w:rsidRDefault="00421D81" w:rsidP="00F51BBE">
            <w:r>
              <w:t> </w:t>
            </w:r>
          </w:p>
        </w:tc>
        <w:tc>
          <w:tcPr>
            <w:tcW w:w="3828" w:type="dxa"/>
            <w:tcBorders>
              <w:top w:val="nil"/>
              <w:left w:val="nil"/>
              <w:bottom w:val="nil"/>
              <w:right w:val="nil"/>
            </w:tcBorders>
            <w:shd w:val="clear" w:color="auto" w:fill="auto"/>
            <w:noWrap/>
            <w:vAlign w:val="bottom"/>
            <w:hideMark/>
          </w:tcPr>
          <w:p w14:paraId="3B08D741" w14:textId="77777777" w:rsidR="00421D81" w:rsidRPr="008153DB" w:rsidRDefault="00421D81" w:rsidP="00F51BBE"/>
        </w:tc>
        <w:tc>
          <w:tcPr>
            <w:tcW w:w="785" w:type="dxa"/>
            <w:tcBorders>
              <w:top w:val="nil"/>
              <w:left w:val="single" w:sz="8" w:space="0" w:color="auto"/>
              <w:bottom w:val="single" w:sz="8" w:space="0" w:color="auto"/>
              <w:right w:val="nil"/>
            </w:tcBorders>
            <w:shd w:val="clear" w:color="auto" w:fill="auto"/>
            <w:noWrap/>
            <w:vAlign w:val="bottom"/>
            <w:hideMark/>
          </w:tcPr>
          <w:p w14:paraId="5D36A75D" w14:textId="77777777" w:rsidR="00421D81" w:rsidRPr="008153DB" w:rsidRDefault="00421D81" w:rsidP="00F51BBE">
            <w:pPr>
              <w:jc w:val="right"/>
              <w:rPr>
                <w:b/>
                <w:bCs/>
              </w:rPr>
            </w:pPr>
            <w:r w:rsidRPr="008153DB">
              <w:rPr>
                <w:b/>
                <w:bCs/>
              </w:rPr>
              <w:t>L/T</w:t>
            </w:r>
          </w:p>
        </w:tc>
        <w:tc>
          <w:tcPr>
            <w:tcW w:w="602" w:type="dxa"/>
            <w:tcBorders>
              <w:top w:val="nil"/>
              <w:left w:val="nil"/>
              <w:bottom w:val="single" w:sz="8" w:space="0" w:color="auto"/>
              <w:right w:val="nil"/>
            </w:tcBorders>
            <w:shd w:val="clear" w:color="auto" w:fill="auto"/>
            <w:noWrap/>
            <w:vAlign w:val="bottom"/>
            <w:hideMark/>
          </w:tcPr>
          <w:p w14:paraId="14BF70F5" w14:textId="77777777" w:rsidR="00421D81" w:rsidRPr="008153DB" w:rsidRDefault="00421D81" w:rsidP="00F51BBE">
            <w:pPr>
              <w:jc w:val="right"/>
              <w:rPr>
                <w:b/>
                <w:bCs/>
              </w:rPr>
            </w:pPr>
            <w:r w:rsidRPr="008153DB">
              <w:rPr>
                <w:b/>
                <w:bCs/>
              </w:rPr>
              <w:t>S/T</w:t>
            </w:r>
          </w:p>
        </w:tc>
        <w:tc>
          <w:tcPr>
            <w:tcW w:w="712" w:type="dxa"/>
            <w:tcBorders>
              <w:top w:val="nil"/>
              <w:left w:val="nil"/>
              <w:bottom w:val="single" w:sz="8" w:space="0" w:color="auto"/>
              <w:right w:val="nil"/>
            </w:tcBorders>
            <w:shd w:val="clear" w:color="auto" w:fill="auto"/>
            <w:noWrap/>
            <w:vAlign w:val="bottom"/>
            <w:hideMark/>
          </w:tcPr>
          <w:p w14:paraId="0F5D1623" w14:textId="77777777" w:rsidR="00421D81" w:rsidRPr="008153DB" w:rsidRDefault="00421D81" w:rsidP="00F51BBE">
            <w:pPr>
              <w:jc w:val="center"/>
              <w:rPr>
                <w:b/>
                <w:bCs/>
                <w:sz w:val="18"/>
                <w:szCs w:val="18"/>
              </w:rPr>
            </w:pPr>
            <w:r w:rsidRPr="008153DB">
              <w:rPr>
                <w:b/>
                <w:bCs/>
                <w:sz w:val="18"/>
                <w:szCs w:val="18"/>
              </w:rPr>
              <w:t>Viab</w:t>
            </w:r>
          </w:p>
        </w:tc>
        <w:tc>
          <w:tcPr>
            <w:tcW w:w="717" w:type="dxa"/>
            <w:tcBorders>
              <w:top w:val="nil"/>
              <w:left w:val="nil"/>
              <w:bottom w:val="single" w:sz="8" w:space="0" w:color="auto"/>
              <w:right w:val="single" w:sz="8" w:space="0" w:color="auto"/>
            </w:tcBorders>
            <w:shd w:val="clear" w:color="auto" w:fill="auto"/>
            <w:noWrap/>
            <w:vAlign w:val="bottom"/>
            <w:hideMark/>
          </w:tcPr>
          <w:p w14:paraId="0126F9DC" w14:textId="77777777" w:rsidR="00421D81" w:rsidRPr="008153DB" w:rsidRDefault="00421D81" w:rsidP="00F51BBE">
            <w:pPr>
              <w:jc w:val="right"/>
              <w:rPr>
                <w:b/>
                <w:bCs/>
              </w:rPr>
            </w:pPr>
            <w:r w:rsidRPr="008153DB">
              <w:rPr>
                <w:b/>
                <w:bCs/>
              </w:rPr>
              <w:t>Sup</w:t>
            </w:r>
          </w:p>
        </w:tc>
        <w:tc>
          <w:tcPr>
            <w:tcW w:w="1016" w:type="dxa"/>
            <w:tcBorders>
              <w:top w:val="nil"/>
              <w:left w:val="nil"/>
              <w:bottom w:val="single" w:sz="8" w:space="0" w:color="auto"/>
              <w:right w:val="nil"/>
            </w:tcBorders>
            <w:shd w:val="clear" w:color="auto" w:fill="auto"/>
            <w:noWrap/>
            <w:vAlign w:val="bottom"/>
            <w:hideMark/>
          </w:tcPr>
          <w:p w14:paraId="4F4C28CA" w14:textId="77777777" w:rsidR="00421D81" w:rsidRPr="008153DB" w:rsidRDefault="00421D81" w:rsidP="00F51BBE">
            <w:pPr>
              <w:jc w:val="center"/>
              <w:rPr>
                <w:b/>
                <w:bCs/>
              </w:rPr>
            </w:pPr>
            <w:r>
              <w:rPr>
                <w:b/>
                <w:bCs/>
              </w:rPr>
              <w:t>£m</w:t>
            </w:r>
          </w:p>
        </w:tc>
        <w:tc>
          <w:tcPr>
            <w:tcW w:w="1175" w:type="dxa"/>
            <w:tcBorders>
              <w:top w:val="nil"/>
              <w:left w:val="nil"/>
              <w:bottom w:val="single" w:sz="8" w:space="0" w:color="auto"/>
              <w:right w:val="single" w:sz="8" w:space="0" w:color="auto"/>
            </w:tcBorders>
            <w:shd w:val="clear" w:color="auto" w:fill="auto"/>
            <w:noWrap/>
            <w:vAlign w:val="bottom"/>
            <w:hideMark/>
          </w:tcPr>
          <w:p w14:paraId="37C5AC3E" w14:textId="77777777" w:rsidR="00421D81" w:rsidRPr="008153DB" w:rsidRDefault="00421D81" w:rsidP="00F51BBE">
            <w:pPr>
              <w:jc w:val="center"/>
              <w:rPr>
                <w:b/>
                <w:bCs/>
                <w:sz w:val="16"/>
                <w:szCs w:val="16"/>
              </w:rPr>
            </w:pPr>
            <w:r w:rsidRPr="008153DB">
              <w:rPr>
                <w:b/>
                <w:bCs/>
                <w:sz w:val="16"/>
                <w:szCs w:val="16"/>
              </w:rPr>
              <w:t>LIMIT</w:t>
            </w:r>
          </w:p>
        </w:tc>
        <w:tc>
          <w:tcPr>
            <w:tcW w:w="992" w:type="dxa"/>
            <w:tcBorders>
              <w:top w:val="nil"/>
              <w:left w:val="nil"/>
              <w:bottom w:val="single" w:sz="8" w:space="0" w:color="auto"/>
              <w:right w:val="single" w:sz="8" w:space="0" w:color="auto"/>
            </w:tcBorders>
            <w:shd w:val="clear" w:color="auto" w:fill="auto"/>
            <w:noWrap/>
            <w:vAlign w:val="bottom"/>
            <w:hideMark/>
          </w:tcPr>
          <w:p w14:paraId="356DAA2E" w14:textId="77777777" w:rsidR="00421D81" w:rsidRPr="008153DB" w:rsidRDefault="00421D81" w:rsidP="00F51BBE">
            <w:pPr>
              <w:jc w:val="center"/>
              <w:rPr>
                <w:b/>
                <w:bCs/>
                <w:sz w:val="16"/>
                <w:szCs w:val="16"/>
              </w:rPr>
            </w:pPr>
            <w:r w:rsidRPr="008153DB">
              <w:rPr>
                <w:b/>
                <w:bCs/>
                <w:sz w:val="16"/>
                <w:szCs w:val="16"/>
              </w:rPr>
              <w:t>PERIOD</w:t>
            </w:r>
          </w:p>
        </w:tc>
      </w:tr>
      <w:tr w:rsidR="00421D81" w14:paraId="153F8B5C" w14:textId="77777777" w:rsidTr="00F51BBE">
        <w:trPr>
          <w:trHeight w:val="255"/>
        </w:trPr>
        <w:tc>
          <w:tcPr>
            <w:tcW w:w="280" w:type="dxa"/>
            <w:tcBorders>
              <w:top w:val="nil"/>
              <w:left w:val="single" w:sz="8" w:space="0" w:color="auto"/>
              <w:bottom w:val="nil"/>
              <w:right w:val="nil"/>
            </w:tcBorders>
            <w:shd w:val="clear" w:color="auto" w:fill="auto"/>
            <w:noWrap/>
            <w:vAlign w:val="bottom"/>
            <w:hideMark/>
          </w:tcPr>
          <w:p w14:paraId="1CB74E93" w14:textId="77777777" w:rsidR="00421D81" w:rsidRDefault="00421D81" w:rsidP="00F51BBE">
            <w:r>
              <w:t> </w:t>
            </w:r>
          </w:p>
        </w:tc>
        <w:tc>
          <w:tcPr>
            <w:tcW w:w="3828" w:type="dxa"/>
            <w:tcBorders>
              <w:top w:val="single" w:sz="8" w:space="0" w:color="auto"/>
              <w:left w:val="nil"/>
              <w:bottom w:val="nil"/>
              <w:right w:val="single" w:sz="8" w:space="0" w:color="auto"/>
            </w:tcBorders>
            <w:shd w:val="clear" w:color="auto" w:fill="auto"/>
            <w:noWrap/>
            <w:vAlign w:val="bottom"/>
            <w:hideMark/>
          </w:tcPr>
          <w:p w14:paraId="3F4E0FFB" w14:textId="77777777" w:rsidR="00421D81" w:rsidRPr="008153DB" w:rsidRDefault="00421D81" w:rsidP="00F51BBE">
            <w:pPr>
              <w:rPr>
                <w:b/>
                <w:bCs/>
              </w:rPr>
            </w:pPr>
            <w:r w:rsidRPr="008153DB">
              <w:rPr>
                <w:b/>
                <w:bCs/>
              </w:rPr>
              <w:t> </w:t>
            </w:r>
          </w:p>
        </w:tc>
        <w:tc>
          <w:tcPr>
            <w:tcW w:w="785" w:type="dxa"/>
            <w:tcBorders>
              <w:top w:val="nil"/>
              <w:left w:val="nil"/>
              <w:bottom w:val="nil"/>
              <w:right w:val="nil"/>
            </w:tcBorders>
            <w:shd w:val="clear" w:color="auto" w:fill="auto"/>
            <w:noWrap/>
            <w:vAlign w:val="bottom"/>
            <w:hideMark/>
          </w:tcPr>
          <w:p w14:paraId="30C7DAF7" w14:textId="77777777" w:rsidR="00421D81" w:rsidRPr="008153DB" w:rsidRDefault="00421D81" w:rsidP="00F51BBE">
            <w:r w:rsidRPr="008153DB">
              <w:t> </w:t>
            </w:r>
          </w:p>
        </w:tc>
        <w:tc>
          <w:tcPr>
            <w:tcW w:w="602" w:type="dxa"/>
            <w:tcBorders>
              <w:top w:val="nil"/>
              <w:left w:val="nil"/>
              <w:bottom w:val="nil"/>
              <w:right w:val="nil"/>
            </w:tcBorders>
            <w:shd w:val="clear" w:color="auto" w:fill="auto"/>
            <w:noWrap/>
            <w:vAlign w:val="bottom"/>
            <w:hideMark/>
          </w:tcPr>
          <w:p w14:paraId="7E27F3D8" w14:textId="77777777" w:rsidR="00421D81" w:rsidRPr="008153DB" w:rsidRDefault="00421D81" w:rsidP="00F51BBE">
            <w:r w:rsidRPr="008153DB">
              <w:t> </w:t>
            </w:r>
          </w:p>
        </w:tc>
        <w:tc>
          <w:tcPr>
            <w:tcW w:w="712" w:type="dxa"/>
            <w:tcBorders>
              <w:top w:val="nil"/>
              <w:left w:val="nil"/>
              <w:bottom w:val="nil"/>
              <w:right w:val="nil"/>
            </w:tcBorders>
            <w:shd w:val="clear" w:color="auto" w:fill="auto"/>
            <w:noWrap/>
            <w:vAlign w:val="bottom"/>
            <w:hideMark/>
          </w:tcPr>
          <w:p w14:paraId="5DC2958F" w14:textId="77777777" w:rsidR="00421D81" w:rsidRPr="008153DB" w:rsidRDefault="00421D81" w:rsidP="00F51BBE">
            <w:r w:rsidRPr="008153DB">
              <w:t> </w:t>
            </w:r>
          </w:p>
        </w:tc>
        <w:tc>
          <w:tcPr>
            <w:tcW w:w="717" w:type="dxa"/>
            <w:tcBorders>
              <w:top w:val="nil"/>
              <w:left w:val="nil"/>
              <w:bottom w:val="nil"/>
              <w:right w:val="single" w:sz="8" w:space="0" w:color="auto"/>
            </w:tcBorders>
            <w:shd w:val="clear" w:color="auto" w:fill="auto"/>
            <w:noWrap/>
            <w:vAlign w:val="bottom"/>
            <w:hideMark/>
          </w:tcPr>
          <w:p w14:paraId="0CF084F7" w14:textId="77777777" w:rsidR="00421D81" w:rsidRPr="008153DB" w:rsidRDefault="00421D81" w:rsidP="00F51BBE">
            <w:r w:rsidRPr="008153DB">
              <w:t> </w:t>
            </w:r>
          </w:p>
        </w:tc>
        <w:tc>
          <w:tcPr>
            <w:tcW w:w="1016" w:type="dxa"/>
            <w:tcBorders>
              <w:top w:val="nil"/>
              <w:left w:val="nil"/>
              <w:bottom w:val="nil"/>
              <w:right w:val="nil"/>
            </w:tcBorders>
            <w:shd w:val="clear" w:color="auto" w:fill="auto"/>
            <w:noWrap/>
            <w:vAlign w:val="bottom"/>
            <w:hideMark/>
          </w:tcPr>
          <w:p w14:paraId="0229AE6F" w14:textId="77777777" w:rsidR="00421D81" w:rsidRPr="008153DB" w:rsidRDefault="00421D81" w:rsidP="00F51BBE">
            <w:pPr>
              <w:jc w:val="center"/>
            </w:pPr>
          </w:p>
        </w:tc>
        <w:tc>
          <w:tcPr>
            <w:tcW w:w="1175" w:type="dxa"/>
            <w:tcBorders>
              <w:top w:val="nil"/>
              <w:left w:val="nil"/>
              <w:bottom w:val="nil"/>
              <w:right w:val="single" w:sz="8" w:space="0" w:color="auto"/>
            </w:tcBorders>
            <w:shd w:val="clear" w:color="auto" w:fill="auto"/>
            <w:noWrap/>
            <w:vAlign w:val="bottom"/>
            <w:hideMark/>
          </w:tcPr>
          <w:p w14:paraId="14157C5E" w14:textId="77777777" w:rsidR="00421D81" w:rsidRPr="008153DB" w:rsidRDefault="00421D81" w:rsidP="00F51BBE">
            <w:pPr>
              <w:jc w:val="center"/>
            </w:pPr>
          </w:p>
        </w:tc>
        <w:tc>
          <w:tcPr>
            <w:tcW w:w="992" w:type="dxa"/>
            <w:tcBorders>
              <w:top w:val="nil"/>
              <w:left w:val="nil"/>
              <w:bottom w:val="nil"/>
              <w:right w:val="single" w:sz="8" w:space="0" w:color="auto"/>
            </w:tcBorders>
            <w:shd w:val="clear" w:color="auto" w:fill="auto"/>
            <w:noWrap/>
            <w:vAlign w:val="bottom"/>
            <w:hideMark/>
          </w:tcPr>
          <w:p w14:paraId="1750E3CA" w14:textId="77777777" w:rsidR="00421D81" w:rsidRPr="008153DB" w:rsidRDefault="00421D81" w:rsidP="00F51BBE">
            <w:r w:rsidRPr="008153DB">
              <w:t> </w:t>
            </w:r>
          </w:p>
        </w:tc>
      </w:tr>
      <w:tr w:rsidR="00421D81" w14:paraId="2C185911" w14:textId="77777777" w:rsidTr="00F51BBE">
        <w:trPr>
          <w:trHeight w:val="255"/>
        </w:trPr>
        <w:tc>
          <w:tcPr>
            <w:tcW w:w="280" w:type="dxa"/>
            <w:tcBorders>
              <w:top w:val="nil"/>
              <w:left w:val="single" w:sz="8" w:space="0" w:color="auto"/>
              <w:bottom w:val="nil"/>
              <w:right w:val="nil"/>
            </w:tcBorders>
            <w:shd w:val="clear" w:color="auto" w:fill="auto"/>
            <w:noWrap/>
            <w:vAlign w:val="bottom"/>
            <w:hideMark/>
          </w:tcPr>
          <w:p w14:paraId="41D20D22" w14:textId="77777777" w:rsidR="00421D81" w:rsidRDefault="00421D81" w:rsidP="00F51BBE">
            <w:r>
              <w:t> </w:t>
            </w:r>
          </w:p>
        </w:tc>
        <w:tc>
          <w:tcPr>
            <w:tcW w:w="3828" w:type="dxa"/>
            <w:tcBorders>
              <w:top w:val="nil"/>
              <w:left w:val="nil"/>
              <w:bottom w:val="nil"/>
              <w:right w:val="single" w:sz="8" w:space="0" w:color="auto"/>
            </w:tcBorders>
            <w:shd w:val="clear" w:color="auto" w:fill="auto"/>
            <w:noWrap/>
            <w:vAlign w:val="bottom"/>
            <w:hideMark/>
          </w:tcPr>
          <w:p w14:paraId="324E9A7C" w14:textId="77777777" w:rsidR="00421D81" w:rsidRPr="008153DB" w:rsidRDefault="00421D81" w:rsidP="00F51BBE">
            <w:pPr>
              <w:rPr>
                <w:b/>
                <w:bCs/>
              </w:rPr>
            </w:pPr>
            <w:r w:rsidRPr="008153DB">
              <w:rPr>
                <w:b/>
                <w:bCs/>
              </w:rPr>
              <w:t> Lloyds Banking Group</w:t>
            </w:r>
          </w:p>
        </w:tc>
        <w:tc>
          <w:tcPr>
            <w:tcW w:w="785" w:type="dxa"/>
            <w:tcBorders>
              <w:top w:val="nil"/>
              <w:left w:val="nil"/>
              <w:bottom w:val="nil"/>
              <w:right w:val="nil"/>
            </w:tcBorders>
            <w:shd w:val="clear" w:color="auto" w:fill="auto"/>
            <w:noWrap/>
            <w:vAlign w:val="bottom"/>
            <w:hideMark/>
          </w:tcPr>
          <w:p w14:paraId="0C894551" w14:textId="77777777" w:rsidR="00421D81" w:rsidRPr="008153DB" w:rsidRDefault="00421D81" w:rsidP="00F51BBE"/>
        </w:tc>
        <w:tc>
          <w:tcPr>
            <w:tcW w:w="602" w:type="dxa"/>
            <w:tcBorders>
              <w:top w:val="nil"/>
              <w:left w:val="nil"/>
              <w:bottom w:val="nil"/>
              <w:right w:val="nil"/>
            </w:tcBorders>
            <w:shd w:val="clear" w:color="auto" w:fill="auto"/>
            <w:noWrap/>
            <w:vAlign w:val="bottom"/>
            <w:hideMark/>
          </w:tcPr>
          <w:p w14:paraId="0934E5BB" w14:textId="77777777" w:rsidR="00421D81" w:rsidRPr="008153DB" w:rsidRDefault="00421D81" w:rsidP="00F51BBE"/>
        </w:tc>
        <w:tc>
          <w:tcPr>
            <w:tcW w:w="712" w:type="dxa"/>
            <w:tcBorders>
              <w:top w:val="nil"/>
              <w:left w:val="nil"/>
              <w:bottom w:val="nil"/>
              <w:right w:val="nil"/>
            </w:tcBorders>
            <w:shd w:val="clear" w:color="auto" w:fill="auto"/>
            <w:noWrap/>
            <w:vAlign w:val="bottom"/>
            <w:hideMark/>
          </w:tcPr>
          <w:p w14:paraId="4D5DFE57" w14:textId="77777777" w:rsidR="00421D81" w:rsidRPr="008153DB" w:rsidRDefault="00421D81" w:rsidP="00F51BBE"/>
        </w:tc>
        <w:tc>
          <w:tcPr>
            <w:tcW w:w="717" w:type="dxa"/>
            <w:tcBorders>
              <w:top w:val="nil"/>
              <w:left w:val="nil"/>
              <w:bottom w:val="nil"/>
              <w:right w:val="single" w:sz="8" w:space="0" w:color="auto"/>
            </w:tcBorders>
            <w:shd w:val="clear" w:color="auto" w:fill="auto"/>
            <w:noWrap/>
            <w:vAlign w:val="bottom"/>
            <w:hideMark/>
          </w:tcPr>
          <w:p w14:paraId="29F32D6B" w14:textId="77777777" w:rsidR="00421D81" w:rsidRPr="008153DB" w:rsidRDefault="00421D81" w:rsidP="00F51BBE">
            <w:r w:rsidRPr="008153DB">
              <w:t> </w:t>
            </w:r>
          </w:p>
        </w:tc>
        <w:tc>
          <w:tcPr>
            <w:tcW w:w="1016" w:type="dxa"/>
            <w:tcBorders>
              <w:top w:val="nil"/>
              <w:left w:val="nil"/>
              <w:bottom w:val="nil"/>
              <w:right w:val="nil"/>
            </w:tcBorders>
            <w:shd w:val="clear" w:color="auto" w:fill="auto"/>
            <w:noWrap/>
            <w:vAlign w:val="bottom"/>
            <w:hideMark/>
          </w:tcPr>
          <w:p w14:paraId="7122253B" w14:textId="77777777" w:rsidR="00421D81" w:rsidRPr="008153DB" w:rsidRDefault="00421D81" w:rsidP="00F51BBE">
            <w:pPr>
              <w:jc w:val="center"/>
            </w:pPr>
          </w:p>
        </w:tc>
        <w:tc>
          <w:tcPr>
            <w:tcW w:w="1175" w:type="dxa"/>
            <w:tcBorders>
              <w:top w:val="nil"/>
              <w:left w:val="nil"/>
              <w:bottom w:val="nil"/>
              <w:right w:val="single" w:sz="8" w:space="0" w:color="auto"/>
            </w:tcBorders>
            <w:shd w:val="clear" w:color="auto" w:fill="auto"/>
            <w:noWrap/>
            <w:vAlign w:val="bottom"/>
            <w:hideMark/>
          </w:tcPr>
          <w:p w14:paraId="45FB2D96" w14:textId="77777777" w:rsidR="00421D81" w:rsidRPr="008153DB" w:rsidRDefault="00421D81" w:rsidP="00F51BBE">
            <w:pPr>
              <w:jc w:val="center"/>
            </w:pPr>
            <w:r>
              <w:t>30</w:t>
            </w:r>
          </w:p>
        </w:tc>
        <w:tc>
          <w:tcPr>
            <w:tcW w:w="992" w:type="dxa"/>
            <w:tcBorders>
              <w:top w:val="nil"/>
              <w:left w:val="nil"/>
              <w:bottom w:val="nil"/>
              <w:right w:val="single" w:sz="8" w:space="0" w:color="auto"/>
            </w:tcBorders>
            <w:shd w:val="clear" w:color="auto" w:fill="auto"/>
            <w:noWrap/>
            <w:vAlign w:val="bottom"/>
            <w:hideMark/>
          </w:tcPr>
          <w:p w14:paraId="5010B5B9" w14:textId="77777777" w:rsidR="00421D81" w:rsidRPr="008153DB" w:rsidRDefault="00421D81" w:rsidP="00F51BBE">
            <w:pPr>
              <w:rPr>
                <w:sz w:val="20"/>
                <w:szCs w:val="20"/>
              </w:rPr>
            </w:pPr>
            <w:r>
              <w:rPr>
                <w:sz w:val="20"/>
                <w:szCs w:val="20"/>
              </w:rPr>
              <w:t>6mth</w:t>
            </w:r>
          </w:p>
        </w:tc>
      </w:tr>
      <w:tr w:rsidR="00421D81" w14:paraId="47F5732B" w14:textId="77777777" w:rsidTr="00F51BBE">
        <w:trPr>
          <w:trHeight w:val="255"/>
        </w:trPr>
        <w:tc>
          <w:tcPr>
            <w:tcW w:w="280" w:type="dxa"/>
            <w:tcBorders>
              <w:top w:val="nil"/>
              <w:left w:val="single" w:sz="8" w:space="0" w:color="auto"/>
              <w:bottom w:val="nil"/>
              <w:right w:val="nil"/>
            </w:tcBorders>
            <w:shd w:val="clear" w:color="auto" w:fill="auto"/>
            <w:noWrap/>
            <w:vAlign w:val="bottom"/>
            <w:hideMark/>
          </w:tcPr>
          <w:p w14:paraId="3D1DB95E" w14:textId="77777777" w:rsidR="00421D81" w:rsidRDefault="00421D81" w:rsidP="00F51BBE">
            <w:r>
              <w:t> </w:t>
            </w:r>
          </w:p>
        </w:tc>
        <w:tc>
          <w:tcPr>
            <w:tcW w:w="3828" w:type="dxa"/>
            <w:tcBorders>
              <w:top w:val="nil"/>
              <w:left w:val="nil"/>
              <w:bottom w:val="nil"/>
              <w:right w:val="single" w:sz="8" w:space="0" w:color="auto"/>
            </w:tcBorders>
            <w:shd w:val="clear" w:color="auto" w:fill="auto"/>
            <w:noWrap/>
            <w:vAlign w:val="bottom"/>
            <w:hideMark/>
          </w:tcPr>
          <w:p w14:paraId="385D1CF9" w14:textId="77777777" w:rsidR="00421D81" w:rsidRPr="008153DB" w:rsidRDefault="00421D81" w:rsidP="00F51BBE">
            <w:pPr>
              <w:ind w:left="284"/>
            </w:pPr>
            <w:r w:rsidRPr="008153DB">
              <w:t xml:space="preserve">Lloyds Bank </w:t>
            </w:r>
          </w:p>
        </w:tc>
        <w:tc>
          <w:tcPr>
            <w:tcW w:w="785" w:type="dxa"/>
            <w:tcBorders>
              <w:top w:val="nil"/>
              <w:left w:val="nil"/>
              <w:bottom w:val="nil"/>
              <w:right w:val="nil"/>
            </w:tcBorders>
            <w:shd w:val="clear" w:color="auto" w:fill="auto"/>
            <w:noWrap/>
            <w:vAlign w:val="bottom"/>
            <w:hideMark/>
          </w:tcPr>
          <w:p w14:paraId="672D3D6B" w14:textId="77777777" w:rsidR="00421D81" w:rsidRPr="008153DB" w:rsidRDefault="00421D81" w:rsidP="00F51BBE">
            <w:r w:rsidRPr="008153DB">
              <w:t>A</w:t>
            </w:r>
            <w:r>
              <w:t>+</w:t>
            </w:r>
          </w:p>
        </w:tc>
        <w:tc>
          <w:tcPr>
            <w:tcW w:w="602" w:type="dxa"/>
            <w:tcBorders>
              <w:top w:val="nil"/>
              <w:left w:val="nil"/>
              <w:bottom w:val="nil"/>
              <w:right w:val="nil"/>
            </w:tcBorders>
            <w:shd w:val="clear" w:color="auto" w:fill="auto"/>
            <w:noWrap/>
            <w:vAlign w:val="bottom"/>
            <w:hideMark/>
          </w:tcPr>
          <w:p w14:paraId="4D9A1E38" w14:textId="77777777" w:rsidR="00421D81" w:rsidRPr="008153DB" w:rsidRDefault="00421D81" w:rsidP="00F51BBE">
            <w:r w:rsidRPr="008153DB">
              <w:t>F1</w:t>
            </w:r>
          </w:p>
        </w:tc>
        <w:tc>
          <w:tcPr>
            <w:tcW w:w="712" w:type="dxa"/>
            <w:tcBorders>
              <w:top w:val="nil"/>
              <w:left w:val="nil"/>
              <w:bottom w:val="nil"/>
              <w:right w:val="nil"/>
            </w:tcBorders>
            <w:shd w:val="clear" w:color="auto" w:fill="auto"/>
            <w:noWrap/>
            <w:vAlign w:val="bottom"/>
            <w:hideMark/>
          </w:tcPr>
          <w:p w14:paraId="2C8616D9" w14:textId="77777777" w:rsidR="00421D81" w:rsidRPr="008153DB" w:rsidRDefault="00421D81" w:rsidP="00F51BBE">
            <w:r>
              <w:t>a</w:t>
            </w:r>
          </w:p>
        </w:tc>
        <w:tc>
          <w:tcPr>
            <w:tcW w:w="717" w:type="dxa"/>
            <w:tcBorders>
              <w:top w:val="nil"/>
              <w:left w:val="nil"/>
              <w:bottom w:val="nil"/>
              <w:right w:val="single" w:sz="8" w:space="0" w:color="auto"/>
            </w:tcBorders>
            <w:shd w:val="clear" w:color="auto" w:fill="auto"/>
            <w:noWrap/>
            <w:vAlign w:val="bottom"/>
            <w:hideMark/>
          </w:tcPr>
          <w:p w14:paraId="2F2747C4" w14:textId="77777777" w:rsidR="00421D81" w:rsidRPr="008153DB" w:rsidRDefault="00421D81" w:rsidP="00F51BBE">
            <w:pPr>
              <w:jc w:val="right"/>
            </w:pPr>
            <w:r>
              <w:t>5</w:t>
            </w:r>
          </w:p>
        </w:tc>
        <w:tc>
          <w:tcPr>
            <w:tcW w:w="1016" w:type="dxa"/>
            <w:tcBorders>
              <w:top w:val="nil"/>
              <w:left w:val="nil"/>
              <w:bottom w:val="nil"/>
              <w:right w:val="nil"/>
            </w:tcBorders>
            <w:shd w:val="clear" w:color="auto" w:fill="auto"/>
            <w:noWrap/>
            <w:vAlign w:val="bottom"/>
            <w:hideMark/>
          </w:tcPr>
          <w:p w14:paraId="10F9083E" w14:textId="77777777" w:rsidR="00421D81" w:rsidRPr="008153DB" w:rsidRDefault="00421D81" w:rsidP="00F51BBE">
            <w:pPr>
              <w:jc w:val="center"/>
            </w:pPr>
            <w:r>
              <w:t>30</w:t>
            </w:r>
          </w:p>
        </w:tc>
        <w:tc>
          <w:tcPr>
            <w:tcW w:w="1175" w:type="dxa"/>
            <w:tcBorders>
              <w:top w:val="nil"/>
              <w:left w:val="nil"/>
              <w:bottom w:val="nil"/>
              <w:right w:val="single" w:sz="8" w:space="0" w:color="auto"/>
            </w:tcBorders>
            <w:shd w:val="clear" w:color="auto" w:fill="auto"/>
            <w:noWrap/>
            <w:vAlign w:val="bottom"/>
            <w:hideMark/>
          </w:tcPr>
          <w:p w14:paraId="3CBDE46D" w14:textId="77777777" w:rsidR="00421D81" w:rsidRPr="008153DB" w:rsidRDefault="00421D81" w:rsidP="00F51BBE">
            <w:pPr>
              <w:jc w:val="center"/>
            </w:pPr>
          </w:p>
        </w:tc>
        <w:tc>
          <w:tcPr>
            <w:tcW w:w="992" w:type="dxa"/>
            <w:tcBorders>
              <w:top w:val="nil"/>
              <w:left w:val="nil"/>
              <w:bottom w:val="nil"/>
              <w:right w:val="single" w:sz="8" w:space="0" w:color="auto"/>
            </w:tcBorders>
            <w:shd w:val="clear" w:color="auto" w:fill="auto"/>
            <w:noWrap/>
            <w:vAlign w:val="bottom"/>
            <w:hideMark/>
          </w:tcPr>
          <w:p w14:paraId="5BF10263" w14:textId="77777777" w:rsidR="00421D81" w:rsidRPr="008153DB" w:rsidRDefault="00421D81" w:rsidP="00F51BBE">
            <w:pPr>
              <w:rPr>
                <w:sz w:val="20"/>
                <w:szCs w:val="20"/>
              </w:rPr>
            </w:pPr>
            <w:r>
              <w:rPr>
                <w:sz w:val="20"/>
                <w:szCs w:val="20"/>
              </w:rPr>
              <w:t>6mth</w:t>
            </w:r>
          </w:p>
        </w:tc>
      </w:tr>
      <w:tr w:rsidR="00421D81" w14:paraId="0C1CB01A" w14:textId="77777777" w:rsidTr="00F51BBE">
        <w:trPr>
          <w:trHeight w:val="255"/>
        </w:trPr>
        <w:tc>
          <w:tcPr>
            <w:tcW w:w="280" w:type="dxa"/>
            <w:tcBorders>
              <w:top w:val="nil"/>
              <w:left w:val="single" w:sz="8" w:space="0" w:color="auto"/>
              <w:bottom w:val="nil"/>
              <w:right w:val="nil"/>
            </w:tcBorders>
            <w:shd w:val="clear" w:color="auto" w:fill="auto"/>
            <w:noWrap/>
            <w:vAlign w:val="bottom"/>
            <w:hideMark/>
          </w:tcPr>
          <w:p w14:paraId="2E502558" w14:textId="77777777" w:rsidR="00421D81" w:rsidRDefault="00421D81" w:rsidP="00F51BBE">
            <w:pPr>
              <w:rPr>
                <w:b/>
                <w:bCs/>
              </w:rPr>
            </w:pPr>
            <w:r>
              <w:rPr>
                <w:b/>
                <w:bCs/>
              </w:rPr>
              <w:t> </w:t>
            </w:r>
          </w:p>
        </w:tc>
        <w:tc>
          <w:tcPr>
            <w:tcW w:w="3828" w:type="dxa"/>
            <w:tcBorders>
              <w:top w:val="nil"/>
              <w:left w:val="nil"/>
              <w:bottom w:val="nil"/>
              <w:right w:val="single" w:sz="8" w:space="0" w:color="auto"/>
            </w:tcBorders>
            <w:shd w:val="clear" w:color="auto" w:fill="auto"/>
            <w:noWrap/>
            <w:vAlign w:val="bottom"/>
            <w:hideMark/>
          </w:tcPr>
          <w:p w14:paraId="53B569F3" w14:textId="77777777" w:rsidR="00421D81" w:rsidRPr="008153DB" w:rsidRDefault="00421D81" w:rsidP="00F51BBE">
            <w:pPr>
              <w:ind w:left="284"/>
            </w:pPr>
            <w:r w:rsidRPr="008153DB">
              <w:t>Bank of Scotland</w:t>
            </w:r>
          </w:p>
        </w:tc>
        <w:tc>
          <w:tcPr>
            <w:tcW w:w="785" w:type="dxa"/>
            <w:tcBorders>
              <w:top w:val="nil"/>
              <w:left w:val="nil"/>
              <w:bottom w:val="nil"/>
              <w:right w:val="nil"/>
            </w:tcBorders>
            <w:shd w:val="clear" w:color="auto" w:fill="auto"/>
            <w:noWrap/>
            <w:vAlign w:val="bottom"/>
            <w:hideMark/>
          </w:tcPr>
          <w:p w14:paraId="71AE65F7" w14:textId="77777777" w:rsidR="00421D81" w:rsidRPr="008153DB" w:rsidRDefault="00421D81" w:rsidP="00F51BBE">
            <w:r w:rsidRPr="008153DB">
              <w:t>A</w:t>
            </w:r>
            <w:r>
              <w:t>+</w:t>
            </w:r>
          </w:p>
        </w:tc>
        <w:tc>
          <w:tcPr>
            <w:tcW w:w="602" w:type="dxa"/>
            <w:tcBorders>
              <w:top w:val="nil"/>
              <w:left w:val="nil"/>
              <w:bottom w:val="nil"/>
              <w:right w:val="nil"/>
            </w:tcBorders>
            <w:shd w:val="clear" w:color="auto" w:fill="auto"/>
            <w:noWrap/>
            <w:vAlign w:val="bottom"/>
            <w:hideMark/>
          </w:tcPr>
          <w:p w14:paraId="4A8ABB00" w14:textId="77777777" w:rsidR="00421D81" w:rsidRPr="008153DB" w:rsidRDefault="00421D81" w:rsidP="00F51BBE">
            <w:r w:rsidRPr="008153DB">
              <w:t>F1</w:t>
            </w:r>
          </w:p>
        </w:tc>
        <w:tc>
          <w:tcPr>
            <w:tcW w:w="712" w:type="dxa"/>
            <w:tcBorders>
              <w:top w:val="nil"/>
              <w:left w:val="nil"/>
              <w:bottom w:val="nil"/>
              <w:right w:val="nil"/>
            </w:tcBorders>
            <w:shd w:val="clear" w:color="auto" w:fill="auto"/>
            <w:noWrap/>
            <w:vAlign w:val="bottom"/>
            <w:hideMark/>
          </w:tcPr>
          <w:p w14:paraId="4734DC05" w14:textId="77777777" w:rsidR="00421D81" w:rsidRPr="008153DB" w:rsidRDefault="00421D81" w:rsidP="00F51BBE">
            <w:r>
              <w:t>a</w:t>
            </w:r>
          </w:p>
        </w:tc>
        <w:tc>
          <w:tcPr>
            <w:tcW w:w="717" w:type="dxa"/>
            <w:tcBorders>
              <w:top w:val="nil"/>
              <w:left w:val="nil"/>
              <w:bottom w:val="nil"/>
              <w:right w:val="single" w:sz="8" w:space="0" w:color="auto"/>
            </w:tcBorders>
            <w:shd w:val="clear" w:color="auto" w:fill="auto"/>
            <w:noWrap/>
            <w:vAlign w:val="bottom"/>
            <w:hideMark/>
          </w:tcPr>
          <w:p w14:paraId="51E990AB" w14:textId="77777777" w:rsidR="00421D81" w:rsidRPr="008153DB" w:rsidRDefault="00421D81" w:rsidP="00F51BBE">
            <w:pPr>
              <w:jc w:val="right"/>
            </w:pPr>
            <w:r>
              <w:t>5</w:t>
            </w:r>
          </w:p>
        </w:tc>
        <w:tc>
          <w:tcPr>
            <w:tcW w:w="1016" w:type="dxa"/>
            <w:tcBorders>
              <w:top w:val="nil"/>
              <w:left w:val="nil"/>
              <w:bottom w:val="nil"/>
              <w:right w:val="nil"/>
            </w:tcBorders>
            <w:shd w:val="clear" w:color="auto" w:fill="auto"/>
            <w:noWrap/>
            <w:vAlign w:val="bottom"/>
            <w:hideMark/>
          </w:tcPr>
          <w:p w14:paraId="085FDCB2" w14:textId="77777777" w:rsidR="00421D81" w:rsidRPr="008153DB" w:rsidRDefault="00421D81" w:rsidP="00F51BBE">
            <w:pPr>
              <w:jc w:val="center"/>
            </w:pPr>
            <w:r>
              <w:t>30</w:t>
            </w:r>
          </w:p>
        </w:tc>
        <w:tc>
          <w:tcPr>
            <w:tcW w:w="1175" w:type="dxa"/>
            <w:tcBorders>
              <w:top w:val="nil"/>
              <w:left w:val="nil"/>
              <w:bottom w:val="nil"/>
              <w:right w:val="single" w:sz="8" w:space="0" w:color="auto"/>
            </w:tcBorders>
            <w:shd w:val="clear" w:color="auto" w:fill="auto"/>
            <w:noWrap/>
            <w:vAlign w:val="bottom"/>
            <w:hideMark/>
          </w:tcPr>
          <w:p w14:paraId="60A253B5" w14:textId="77777777" w:rsidR="00421D81" w:rsidRPr="008153DB" w:rsidRDefault="00421D81" w:rsidP="00F51BBE">
            <w:pPr>
              <w:jc w:val="center"/>
            </w:pPr>
          </w:p>
        </w:tc>
        <w:tc>
          <w:tcPr>
            <w:tcW w:w="992" w:type="dxa"/>
            <w:tcBorders>
              <w:top w:val="nil"/>
              <w:left w:val="nil"/>
              <w:bottom w:val="nil"/>
              <w:right w:val="single" w:sz="8" w:space="0" w:color="auto"/>
            </w:tcBorders>
            <w:shd w:val="clear" w:color="auto" w:fill="auto"/>
            <w:noWrap/>
            <w:vAlign w:val="bottom"/>
            <w:hideMark/>
          </w:tcPr>
          <w:p w14:paraId="4E7225B0" w14:textId="77777777" w:rsidR="00421D81" w:rsidRPr="008153DB" w:rsidRDefault="00421D81" w:rsidP="00F51BBE">
            <w:pPr>
              <w:rPr>
                <w:sz w:val="20"/>
                <w:szCs w:val="20"/>
              </w:rPr>
            </w:pPr>
            <w:r>
              <w:rPr>
                <w:sz w:val="20"/>
                <w:szCs w:val="20"/>
              </w:rPr>
              <w:t>6mth</w:t>
            </w:r>
          </w:p>
        </w:tc>
      </w:tr>
      <w:tr w:rsidR="00421D81" w14:paraId="21B270C9" w14:textId="77777777" w:rsidTr="00F51BBE">
        <w:trPr>
          <w:trHeight w:val="255"/>
        </w:trPr>
        <w:tc>
          <w:tcPr>
            <w:tcW w:w="280" w:type="dxa"/>
            <w:tcBorders>
              <w:top w:val="nil"/>
              <w:left w:val="single" w:sz="8" w:space="0" w:color="auto"/>
              <w:bottom w:val="nil"/>
              <w:right w:val="nil"/>
            </w:tcBorders>
            <w:shd w:val="clear" w:color="auto" w:fill="auto"/>
            <w:noWrap/>
            <w:vAlign w:val="bottom"/>
            <w:hideMark/>
          </w:tcPr>
          <w:p w14:paraId="439C7CC8" w14:textId="77777777" w:rsidR="00421D81" w:rsidRDefault="00421D81" w:rsidP="00F51BBE">
            <w:r>
              <w:t> </w:t>
            </w:r>
          </w:p>
        </w:tc>
        <w:tc>
          <w:tcPr>
            <w:tcW w:w="3828" w:type="dxa"/>
            <w:tcBorders>
              <w:top w:val="nil"/>
              <w:left w:val="nil"/>
              <w:bottom w:val="nil"/>
              <w:right w:val="single" w:sz="8" w:space="0" w:color="auto"/>
            </w:tcBorders>
            <w:shd w:val="clear" w:color="auto" w:fill="auto"/>
            <w:noWrap/>
            <w:vAlign w:val="bottom"/>
            <w:hideMark/>
          </w:tcPr>
          <w:p w14:paraId="656BEC5B" w14:textId="77777777" w:rsidR="00421D81" w:rsidRPr="008153DB" w:rsidRDefault="00421D81" w:rsidP="00F51BBE">
            <w:pPr>
              <w:rPr>
                <w:b/>
                <w:bCs/>
              </w:rPr>
            </w:pPr>
            <w:r w:rsidRPr="008153DB">
              <w:rPr>
                <w:b/>
                <w:bCs/>
              </w:rPr>
              <w:t> RBS Group</w:t>
            </w:r>
          </w:p>
        </w:tc>
        <w:tc>
          <w:tcPr>
            <w:tcW w:w="785" w:type="dxa"/>
            <w:tcBorders>
              <w:top w:val="nil"/>
              <w:left w:val="nil"/>
              <w:bottom w:val="nil"/>
              <w:right w:val="nil"/>
            </w:tcBorders>
            <w:shd w:val="clear" w:color="auto" w:fill="auto"/>
            <w:noWrap/>
            <w:vAlign w:val="bottom"/>
            <w:hideMark/>
          </w:tcPr>
          <w:p w14:paraId="785747E1" w14:textId="77777777" w:rsidR="00421D81" w:rsidRPr="008153DB" w:rsidRDefault="00421D81" w:rsidP="00F51BBE"/>
        </w:tc>
        <w:tc>
          <w:tcPr>
            <w:tcW w:w="602" w:type="dxa"/>
            <w:tcBorders>
              <w:top w:val="nil"/>
              <w:left w:val="nil"/>
              <w:bottom w:val="nil"/>
              <w:right w:val="nil"/>
            </w:tcBorders>
            <w:shd w:val="clear" w:color="auto" w:fill="auto"/>
            <w:noWrap/>
            <w:vAlign w:val="bottom"/>
            <w:hideMark/>
          </w:tcPr>
          <w:p w14:paraId="476D875C" w14:textId="77777777" w:rsidR="00421D81" w:rsidRPr="008153DB" w:rsidRDefault="00421D81" w:rsidP="00F51BBE"/>
        </w:tc>
        <w:tc>
          <w:tcPr>
            <w:tcW w:w="712" w:type="dxa"/>
            <w:tcBorders>
              <w:top w:val="nil"/>
              <w:left w:val="nil"/>
              <w:bottom w:val="nil"/>
              <w:right w:val="nil"/>
            </w:tcBorders>
            <w:shd w:val="clear" w:color="auto" w:fill="auto"/>
            <w:noWrap/>
            <w:vAlign w:val="bottom"/>
            <w:hideMark/>
          </w:tcPr>
          <w:p w14:paraId="4FEEC1BE" w14:textId="77777777" w:rsidR="00421D81" w:rsidRPr="008153DB" w:rsidRDefault="00421D81" w:rsidP="00F51BBE"/>
        </w:tc>
        <w:tc>
          <w:tcPr>
            <w:tcW w:w="717" w:type="dxa"/>
            <w:tcBorders>
              <w:top w:val="nil"/>
              <w:left w:val="nil"/>
              <w:bottom w:val="nil"/>
              <w:right w:val="single" w:sz="8" w:space="0" w:color="auto"/>
            </w:tcBorders>
            <w:shd w:val="clear" w:color="auto" w:fill="auto"/>
            <w:noWrap/>
            <w:vAlign w:val="bottom"/>
            <w:hideMark/>
          </w:tcPr>
          <w:p w14:paraId="158B7064" w14:textId="77777777" w:rsidR="00421D81" w:rsidRPr="008153DB" w:rsidRDefault="00421D81" w:rsidP="00F51BBE">
            <w:r w:rsidRPr="008153DB">
              <w:t> </w:t>
            </w:r>
          </w:p>
        </w:tc>
        <w:tc>
          <w:tcPr>
            <w:tcW w:w="1016" w:type="dxa"/>
            <w:tcBorders>
              <w:top w:val="nil"/>
              <w:left w:val="nil"/>
              <w:bottom w:val="nil"/>
              <w:right w:val="nil"/>
            </w:tcBorders>
            <w:shd w:val="clear" w:color="auto" w:fill="auto"/>
            <w:noWrap/>
            <w:vAlign w:val="bottom"/>
            <w:hideMark/>
          </w:tcPr>
          <w:p w14:paraId="2163620E" w14:textId="77777777" w:rsidR="00421D81" w:rsidRPr="008153DB" w:rsidRDefault="00421D81" w:rsidP="00F51BBE">
            <w:pPr>
              <w:jc w:val="center"/>
            </w:pPr>
          </w:p>
        </w:tc>
        <w:tc>
          <w:tcPr>
            <w:tcW w:w="1175" w:type="dxa"/>
            <w:tcBorders>
              <w:top w:val="nil"/>
              <w:left w:val="nil"/>
              <w:bottom w:val="nil"/>
              <w:right w:val="single" w:sz="8" w:space="0" w:color="auto"/>
            </w:tcBorders>
            <w:shd w:val="clear" w:color="auto" w:fill="auto"/>
            <w:noWrap/>
            <w:vAlign w:val="bottom"/>
            <w:hideMark/>
          </w:tcPr>
          <w:p w14:paraId="7CB56FA0" w14:textId="77777777" w:rsidR="00421D81" w:rsidRPr="008153DB" w:rsidRDefault="00421D81" w:rsidP="00F51BBE">
            <w:pPr>
              <w:jc w:val="center"/>
            </w:pPr>
            <w:r>
              <w:t>65</w:t>
            </w:r>
          </w:p>
        </w:tc>
        <w:tc>
          <w:tcPr>
            <w:tcW w:w="992" w:type="dxa"/>
            <w:tcBorders>
              <w:top w:val="nil"/>
              <w:left w:val="nil"/>
              <w:bottom w:val="nil"/>
              <w:right w:val="single" w:sz="8" w:space="0" w:color="auto"/>
            </w:tcBorders>
            <w:shd w:val="clear" w:color="auto" w:fill="auto"/>
            <w:noWrap/>
            <w:vAlign w:val="bottom"/>
            <w:hideMark/>
          </w:tcPr>
          <w:p w14:paraId="57884456" w14:textId="77777777" w:rsidR="00421D81" w:rsidRPr="008153DB" w:rsidRDefault="00421D81" w:rsidP="00F51BBE">
            <w:pPr>
              <w:rPr>
                <w:sz w:val="20"/>
                <w:szCs w:val="20"/>
              </w:rPr>
            </w:pPr>
            <w:r w:rsidRPr="008153DB">
              <w:rPr>
                <w:sz w:val="20"/>
                <w:szCs w:val="20"/>
              </w:rPr>
              <w:t xml:space="preserve">1 year </w:t>
            </w:r>
          </w:p>
        </w:tc>
      </w:tr>
      <w:tr w:rsidR="00421D81" w14:paraId="2B895E76" w14:textId="77777777" w:rsidTr="00F51BBE">
        <w:trPr>
          <w:trHeight w:val="255"/>
        </w:trPr>
        <w:tc>
          <w:tcPr>
            <w:tcW w:w="280" w:type="dxa"/>
            <w:tcBorders>
              <w:top w:val="nil"/>
              <w:left w:val="single" w:sz="8" w:space="0" w:color="auto"/>
              <w:bottom w:val="nil"/>
              <w:right w:val="nil"/>
            </w:tcBorders>
            <w:shd w:val="clear" w:color="auto" w:fill="auto"/>
            <w:noWrap/>
            <w:vAlign w:val="bottom"/>
            <w:hideMark/>
          </w:tcPr>
          <w:p w14:paraId="559D84D1" w14:textId="77777777" w:rsidR="00421D81" w:rsidRDefault="00421D81" w:rsidP="00F51BBE">
            <w:r>
              <w:t> </w:t>
            </w:r>
          </w:p>
        </w:tc>
        <w:tc>
          <w:tcPr>
            <w:tcW w:w="3828" w:type="dxa"/>
            <w:tcBorders>
              <w:top w:val="nil"/>
              <w:left w:val="nil"/>
              <w:bottom w:val="nil"/>
              <w:right w:val="single" w:sz="8" w:space="0" w:color="auto"/>
            </w:tcBorders>
            <w:shd w:val="clear" w:color="auto" w:fill="auto"/>
            <w:noWrap/>
            <w:vAlign w:val="bottom"/>
            <w:hideMark/>
          </w:tcPr>
          <w:p w14:paraId="16FD2FCD" w14:textId="77777777" w:rsidR="00421D81" w:rsidRPr="008153DB" w:rsidRDefault="00421D81" w:rsidP="00F51BBE">
            <w:pPr>
              <w:ind w:left="647" w:hanging="363"/>
            </w:pPr>
            <w:r w:rsidRPr="008153DB">
              <w:t xml:space="preserve">National Westminster </w:t>
            </w:r>
          </w:p>
        </w:tc>
        <w:tc>
          <w:tcPr>
            <w:tcW w:w="785" w:type="dxa"/>
            <w:tcBorders>
              <w:top w:val="nil"/>
              <w:left w:val="nil"/>
              <w:bottom w:val="nil"/>
              <w:right w:val="nil"/>
            </w:tcBorders>
            <w:shd w:val="clear" w:color="auto" w:fill="auto"/>
            <w:noWrap/>
            <w:vAlign w:val="bottom"/>
            <w:hideMark/>
          </w:tcPr>
          <w:p w14:paraId="0A1F9834" w14:textId="77777777" w:rsidR="00421D81" w:rsidRPr="008153DB" w:rsidRDefault="00421D81" w:rsidP="00F51BBE">
            <w:r>
              <w:t>A+</w:t>
            </w:r>
          </w:p>
        </w:tc>
        <w:tc>
          <w:tcPr>
            <w:tcW w:w="602" w:type="dxa"/>
            <w:tcBorders>
              <w:top w:val="nil"/>
              <w:left w:val="nil"/>
              <w:bottom w:val="nil"/>
              <w:right w:val="nil"/>
            </w:tcBorders>
            <w:shd w:val="clear" w:color="auto" w:fill="auto"/>
            <w:noWrap/>
            <w:vAlign w:val="bottom"/>
            <w:hideMark/>
          </w:tcPr>
          <w:p w14:paraId="791EB65D" w14:textId="77777777" w:rsidR="00421D81" w:rsidRPr="008153DB" w:rsidRDefault="00421D81" w:rsidP="00F51BBE">
            <w:r w:rsidRPr="008153DB">
              <w:t>F</w:t>
            </w:r>
            <w:r>
              <w:t>1</w:t>
            </w:r>
          </w:p>
        </w:tc>
        <w:tc>
          <w:tcPr>
            <w:tcW w:w="712" w:type="dxa"/>
            <w:tcBorders>
              <w:top w:val="nil"/>
              <w:left w:val="nil"/>
              <w:bottom w:val="nil"/>
              <w:right w:val="nil"/>
            </w:tcBorders>
            <w:shd w:val="clear" w:color="auto" w:fill="auto"/>
            <w:noWrap/>
            <w:vAlign w:val="bottom"/>
            <w:hideMark/>
          </w:tcPr>
          <w:p w14:paraId="2A4705D2" w14:textId="77777777" w:rsidR="00421D81" w:rsidRPr="008153DB" w:rsidRDefault="00421D81" w:rsidP="00F51BBE">
            <w:r>
              <w:t>a</w:t>
            </w:r>
          </w:p>
        </w:tc>
        <w:tc>
          <w:tcPr>
            <w:tcW w:w="717" w:type="dxa"/>
            <w:tcBorders>
              <w:top w:val="nil"/>
              <w:left w:val="nil"/>
              <w:bottom w:val="nil"/>
              <w:right w:val="single" w:sz="8" w:space="0" w:color="auto"/>
            </w:tcBorders>
            <w:shd w:val="clear" w:color="auto" w:fill="auto"/>
            <w:noWrap/>
            <w:vAlign w:val="bottom"/>
            <w:hideMark/>
          </w:tcPr>
          <w:p w14:paraId="01B722D5" w14:textId="77777777" w:rsidR="00421D81" w:rsidRPr="008153DB" w:rsidRDefault="00421D81" w:rsidP="00F51BBE">
            <w:pPr>
              <w:jc w:val="right"/>
            </w:pPr>
            <w:r>
              <w:t>5</w:t>
            </w:r>
          </w:p>
        </w:tc>
        <w:tc>
          <w:tcPr>
            <w:tcW w:w="1016" w:type="dxa"/>
            <w:tcBorders>
              <w:top w:val="nil"/>
              <w:left w:val="nil"/>
              <w:bottom w:val="nil"/>
              <w:right w:val="nil"/>
            </w:tcBorders>
            <w:shd w:val="clear" w:color="auto" w:fill="auto"/>
            <w:noWrap/>
            <w:vAlign w:val="bottom"/>
            <w:hideMark/>
          </w:tcPr>
          <w:p w14:paraId="69BFFB2D" w14:textId="77777777" w:rsidR="00421D81" w:rsidRPr="008153DB" w:rsidRDefault="00421D81" w:rsidP="00F51BBE">
            <w:pPr>
              <w:jc w:val="center"/>
            </w:pPr>
            <w:r>
              <w:t>65</w:t>
            </w:r>
          </w:p>
        </w:tc>
        <w:tc>
          <w:tcPr>
            <w:tcW w:w="1175" w:type="dxa"/>
            <w:tcBorders>
              <w:top w:val="nil"/>
              <w:left w:val="nil"/>
              <w:bottom w:val="nil"/>
              <w:right w:val="single" w:sz="8" w:space="0" w:color="auto"/>
            </w:tcBorders>
            <w:shd w:val="clear" w:color="auto" w:fill="auto"/>
            <w:noWrap/>
            <w:vAlign w:val="bottom"/>
            <w:hideMark/>
          </w:tcPr>
          <w:p w14:paraId="0513D73A" w14:textId="77777777" w:rsidR="00421D81" w:rsidRPr="008153DB" w:rsidRDefault="00421D81" w:rsidP="00F51BBE">
            <w:pPr>
              <w:jc w:val="center"/>
            </w:pPr>
          </w:p>
        </w:tc>
        <w:tc>
          <w:tcPr>
            <w:tcW w:w="992" w:type="dxa"/>
            <w:tcBorders>
              <w:top w:val="nil"/>
              <w:left w:val="nil"/>
              <w:bottom w:val="nil"/>
              <w:right w:val="single" w:sz="8" w:space="0" w:color="auto"/>
            </w:tcBorders>
            <w:shd w:val="clear" w:color="auto" w:fill="auto"/>
            <w:noWrap/>
            <w:vAlign w:val="bottom"/>
            <w:hideMark/>
          </w:tcPr>
          <w:p w14:paraId="6534896F" w14:textId="77777777" w:rsidR="00421D81" w:rsidRPr="008153DB" w:rsidRDefault="00421D81" w:rsidP="00F51BBE">
            <w:pPr>
              <w:rPr>
                <w:sz w:val="20"/>
                <w:szCs w:val="20"/>
              </w:rPr>
            </w:pPr>
            <w:r w:rsidRPr="008153DB">
              <w:rPr>
                <w:sz w:val="20"/>
                <w:szCs w:val="20"/>
              </w:rPr>
              <w:t xml:space="preserve">1 year </w:t>
            </w:r>
          </w:p>
        </w:tc>
      </w:tr>
      <w:tr w:rsidR="00421D81" w14:paraId="48095A3D" w14:textId="77777777" w:rsidTr="00F51BBE">
        <w:trPr>
          <w:trHeight w:val="255"/>
        </w:trPr>
        <w:tc>
          <w:tcPr>
            <w:tcW w:w="280" w:type="dxa"/>
            <w:tcBorders>
              <w:top w:val="nil"/>
              <w:left w:val="single" w:sz="8" w:space="0" w:color="auto"/>
              <w:bottom w:val="nil"/>
              <w:right w:val="nil"/>
            </w:tcBorders>
            <w:shd w:val="clear" w:color="auto" w:fill="auto"/>
            <w:noWrap/>
            <w:vAlign w:val="bottom"/>
            <w:hideMark/>
          </w:tcPr>
          <w:p w14:paraId="4FF9A75D" w14:textId="77777777" w:rsidR="00421D81" w:rsidRDefault="00421D81" w:rsidP="00F51BBE">
            <w:r>
              <w:t> </w:t>
            </w:r>
          </w:p>
        </w:tc>
        <w:tc>
          <w:tcPr>
            <w:tcW w:w="3828" w:type="dxa"/>
            <w:tcBorders>
              <w:top w:val="nil"/>
              <w:left w:val="nil"/>
              <w:bottom w:val="nil"/>
              <w:right w:val="single" w:sz="8" w:space="0" w:color="auto"/>
            </w:tcBorders>
            <w:shd w:val="clear" w:color="auto" w:fill="auto"/>
            <w:noWrap/>
            <w:vAlign w:val="bottom"/>
            <w:hideMark/>
          </w:tcPr>
          <w:p w14:paraId="3796741A" w14:textId="77777777" w:rsidR="00421D81" w:rsidRPr="008153DB" w:rsidRDefault="00421D81" w:rsidP="00F51BBE">
            <w:pPr>
              <w:ind w:left="647" w:hanging="363"/>
            </w:pPr>
            <w:r w:rsidRPr="008153DB">
              <w:t xml:space="preserve">Royal Bank of Scotland </w:t>
            </w:r>
          </w:p>
        </w:tc>
        <w:tc>
          <w:tcPr>
            <w:tcW w:w="785" w:type="dxa"/>
            <w:tcBorders>
              <w:top w:val="nil"/>
              <w:left w:val="nil"/>
              <w:bottom w:val="nil"/>
              <w:right w:val="nil"/>
            </w:tcBorders>
            <w:shd w:val="clear" w:color="auto" w:fill="auto"/>
            <w:noWrap/>
            <w:vAlign w:val="bottom"/>
            <w:hideMark/>
          </w:tcPr>
          <w:p w14:paraId="21F0D0B4" w14:textId="77777777" w:rsidR="00421D81" w:rsidRPr="008153DB" w:rsidRDefault="00421D81" w:rsidP="00F51BBE">
            <w:r>
              <w:t>A+</w:t>
            </w:r>
          </w:p>
        </w:tc>
        <w:tc>
          <w:tcPr>
            <w:tcW w:w="602" w:type="dxa"/>
            <w:tcBorders>
              <w:top w:val="nil"/>
              <w:left w:val="nil"/>
              <w:bottom w:val="nil"/>
              <w:right w:val="nil"/>
            </w:tcBorders>
            <w:shd w:val="clear" w:color="auto" w:fill="auto"/>
            <w:noWrap/>
            <w:vAlign w:val="bottom"/>
            <w:hideMark/>
          </w:tcPr>
          <w:p w14:paraId="2E835944" w14:textId="77777777" w:rsidR="00421D81" w:rsidRPr="008153DB" w:rsidRDefault="00421D81" w:rsidP="00F51BBE">
            <w:r w:rsidRPr="008153DB">
              <w:t>F</w:t>
            </w:r>
            <w:r>
              <w:t>1</w:t>
            </w:r>
          </w:p>
        </w:tc>
        <w:tc>
          <w:tcPr>
            <w:tcW w:w="712" w:type="dxa"/>
            <w:tcBorders>
              <w:top w:val="nil"/>
              <w:left w:val="nil"/>
              <w:bottom w:val="nil"/>
              <w:right w:val="nil"/>
            </w:tcBorders>
            <w:shd w:val="clear" w:color="auto" w:fill="auto"/>
            <w:noWrap/>
            <w:vAlign w:val="bottom"/>
            <w:hideMark/>
          </w:tcPr>
          <w:p w14:paraId="0004514F" w14:textId="77777777" w:rsidR="00421D81" w:rsidRPr="008153DB" w:rsidRDefault="00421D81" w:rsidP="00F51BBE">
            <w:r>
              <w:t>a</w:t>
            </w:r>
          </w:p>
        </w:tc>
        <w:tc>
          <w:tcPr>
            <w:tcW w:w="717" w:type="dxa"/>
            <w:tcBorders>
              <w:top w:val="nil"/>
              <w:left w:val="nil"/>
              <w:bottom w:val="nil"/>
              <w:right w:val="single" w:sz="8" w:space="0" w:color="auto"/>
            </w:tcBorders>
            <w:shd w:val="clear" w:color="auto" w:fill="auto"/>
            <w:noWrap/>
            <w:vAlign w:val="bottom"/>
            <w:hideMark/>
          </w:tcPr>
          <w:p w14:paraId="40B001BD" w14:textId="77777777" w:rsidR="00421D81" w:rsidRPr="008153DB" w:rsidRDefault="00421D81" w:rsidP="00F51BBE">
            <w:pPr>
              <w:jc w:val="right"/>
            </w:pPr>
            <w:r>
              <w:t>5</w:t>
            </w:r>
          </w:p>
        </w:tc>
        <w:tc>
          <w:tcPr>
            <w:tcW w:w="1016" w:type="dxa"/>
            <w:tcBorders>
              <w:top w:val="nil"/>
              <w:left w:val="nil"/>
              <w:bottom w:val="nil"/>
              <w:right w:val="nil"/>
            </w:tcBorders>
            <w:shd w:val="clear" w:color="auto" w:fill="auto"/>
            <w:noWrap/>
            <w:vAlign w:val="bottom"/>
            <w:hideMark/>
          </w:tcPr>
          <w:p w14:paraId="3B3F98C9" w14:textId="77777777" w:rsidR="00421D81" w:rsidRPr="008153DB" w:rsidRDefault="00421D81" w:rsidP="00F51BBE">
            <w:pPr>
              <w:jc w:val="center"/>
            </w:pPr>
            <w:r>
              <w:t>65</w:t>
            </w:r>
          </w:p>
        </w:tc>
        <w:tc>
          <w:tcPr>
            <w:tcW w:w="1175" w:type="dxa"/>
            <w:tcBorders>
              <w:top w:val="nil"/>
              <w:left w:val="nil"/>
              <w:bottom w:val="nil"/>
              <w:right w:val="single" w:sz="8" w:space="0" w:color="auto"/>
            </w:tcBorders>
            <w:shd w:val="clear" w:color="auto" w:fill="auto"/>
            <w:noWrap/>
            <w:vAlign w:val="bottom"/>
            <w:hideMark/>
          </w:tcPr>
          <w:p w14:paraId="11D538A7" w14:textId="77777777" w:rsidR="00421D81" w:rsidRPr="008153DB" w:rsidRDefault="00421D81" w:rsidP="00F51BBE">
            <w:pPr>
              <w:jc w:val="center"/>
            </w:pPr>
          </w:p>
        </w:tc>
        <w:tc>
          <w:tcPr>
            <w:tcW w:w="992" w:type="dxa"/>
            <w:tcBorders>
              <w:top w:val="nil"/>
              <w:left w:val="nil"/>
              <w:bottom w:val="nil"/>
              <w:right w:val="single" w:sz="8" w:space="0" w:color="auto"/>
            </w:tcBorders>
            <w:shd w:val="clear" w:color="auto" w:fill="auto"/>
            <w:noWrap/>
            <w:vAlign w:val="bottom"/>
            <w:hideMark/>
          </w:tcPr>
          <w:p w14:paraId="3BEB2C25" w14:textId="77777777" w:rsidR="00421D81" w:rsidRPr="008153DB" w:rsidRDefault="00421D81" w:rsidP="00F51BBE">
            <w:pPr>
              <w:rPr>
                <w:sz w:val="20"/>
                <w:szCs w:val="20"/>
              </w:rPr>
            </w:pPr>
            <w:r w:rsidRPr="008153DB">
              <w:rPr>
                <w:sz w:val="20"/>
                <w:szCs w:val="20"/>
              </w:rPr>
              <w:t xml:space="preserve">1 year </w:t>
            </w:r>
          </w:p>
        </w:tc>
      </w:tr>
      <w:tr w:rsidR="00421D81" w14:paraId="25B8DACB" w14:textId="77777777" w:rsidTr="00F51BBE">
        <w:trPr>
          <w:trHeight w:val="255"/>
        </w:trPr>
        <w:tc>
          <w:tcPr>
            <w:tcW w:w="280" w:type="dxa"/>
            <w:tcBorders>
              <w:top w:val="nil"/>
              <w:left w:val="single" w:sz="8" w:space="0" w:color="auto"/>
              <w:bottom w:val="nil"/>
              <w:right w:val="nil"/>
            </w:tcBorders>
            <w:shd w:val="clear" w:color="auto" w:fill="auto"/>
            <w:noWrap/>
            <w:vAlign w:val="bottom"/>
            <w:hideMark/>
          </w:tcPr>
          <w:p w14:paraId="29D7A4FD" w14:textId="77777777" w:rsidR="00421D81" w:rsidRDefault="00421D81" w:rsidP="00F51BBE">
            <w:r>
              <w:t> </w:t>
            </w:r>
          </w:p>
        </w:tc>
        <w:tc>
          <w:tcPr>
            <w:tcW w:w="3828" w:type="dxa"/>
            <w:tcBorders>
              <w:top w:val="nil"/>
              <w:left w:val="nil"/>
              <w:bottom w:val="nil"/>
              <w:right w:val="single" w:sz="8" w:space="0" w:color="auto"/>
            </w:tcBorders>
            <w:shd w:val="clear" w:color="auto" w:fill="auto"/>
            <w:noWrap/>
            <w:vAlign w:val="bottom"/>
            <w:hideMark/>
          </w:tcPr>
          <w:p w14:paraId="50E134AF" w14:textId="77777777" w:rsidR="00421D81" w:rsidRPr="008153DB" w:rsidRDefault="00421D81" w:rsidP="00F51BBE">
            <w:r w:rsidRPr="008153DB">
              <w:t>HSBC</w:t>
            </w:r>
          </w:p>
        </w:tc>
        <w:tc>
          <w:tcPr>
            <w:tcW w:w="785" w:type="dxa"/>
            <w:tcBorders>
              <w:top w:val="nil"/>
              <w:left w:val="nil"/>
              <w:bottom w:val="nil"/>
              <w:right w:val="nil"/>
            </w:tcBorders>
            <w:shd w:val="clear" w:color="auto" w:fill="auto"/>
            <w:noWrap/>
            <w:vAlign w:val="bottom"/>
            <w:hideMark/>
          </w:tcPr>
          <w:p w14:paraId="6AAEEEF2" w14:textId="77777777" w:rsidR="00421D81" w:rsidRPr="008153DB" w:rsidRDefault="00421D81" w:rsidP="00F51BBE">
            <w:r>
              <w:t>A+</w:t>
            </w:r>
          </w:p>
        </w:tc>
        <w:tc>
          <w:tcPr>
            <w:tcW w:w="602" w:type="dxa"/>
            <w:tcBorders>
              <w:top w:val="nil"/>
              <w:left w:val="nil"/>
              <w:bottom w:val="nil"/>
              <w:right w:val="nil"/>
            </w:tcBorders>
            <w:shd w:val="clear" w:color="auto" w:fill="auto"/>
            <w:noWrap/>
            <w:vAlign w:val="bottom"/>
            <w:hideMark/>
          </w:tcPr>
          <w:p w14:paraId="54119DCB" w14:textId="77777777" w:rsidR="00421D81" w:rsidRPr="008153DB" w:rsidRDefault="00421D81" w:rsidP="00F51BBE">
            <w:r w:rsidRPr="008153DB">
              <w:t>F1</w:t>
            </w:r>
            <w:r>
              <w:t>+</w:t>
            </w:r>
          </w:p>
        </w:tc>
        <w:tc>
          <w:tcPr>
            <w:tcW w:w="712" w:type="dxa"/>
            <w:tcBorders>
              <w:top w:val="nil"/>
              <w:left w:val="nil"/>
              <w:bottom w:val="nil"/>
              <w:right w:val="nil"/>
            </w:tcBorders>
            <w:shd w:val="clear" w:color="auto" w:fill="auto"/>
            <w:noWrap/>
            <w:vAlign w:val="bottom"/>
            <w:hideMark/>
          </w:tcPr>
          <w:p w14:paraId="42DF5375" w14:textId="77777777" w:rsidR="00421D81" w:rsidRPr="008153DB" w:rsidRDefault="00421D81" w:rsidP="00F51BBE">
            <w:r w:rsidRPr="008153DB">
              <w:t>a</w:t>
            </w:r>
          </w:p>
        </w:tc>
        <w:tc>
          <w:tcPr>
            <w:tcW w:w="717" w:type="dxa"/>
            <w:tcBorders>
              <w:top w:val="nil"/>
              <w:left w:val="nil"/>
              <w:bottom w:val="nil"/>
              <w:right w:val="single" w:sz="8" w:space="0" w:color="auto"/>
            </w:tcBorders>
            <w:shd w:val="clear" w:color="auto" w:fill="auto"/>
            <w:noWrap/>
            <w:vAlign w:val="bottom"/>
            <w:hideMark/>
          </w:tcPr>
          <w:p w14:paraId="0C9179C3" w14:textId="77777777" w:rsidR="00421D81" w:rsidRPr="008153DB" w:rsidRDefault="00421D81" w:rsidP="00F51BBE">
            <w:pPr>
              <w:jc w:val="right"/>
            </w:pPr>
            <w:r w:rsidRPr="008153DB">
              <w:t>1</w:t>
            </w:r>
          </w:p>
        </w:tc>
        <w:tc>
          <w:tcPr>
            <w:tcW w:w="1016" w:type="dxa"/>
            <w:tcBorders>
              <w:top w:val="nil"/>
              <w:left w:val="nil"/>
              <w:bottom w:val="nil"/>
              <w:right w:val="nil"/>
            </w:tcBorders>
            <w:shd w:val="clear" w:color="auto" w:fill="auto"/>
            <w:noWrap/>
            <w:vAlign w:val="bottom"/>
            <w:hideMark/>
          </w:tcPr>
          <w:p w14:paraId="43F8E18A" w14:textId="77777777" w:rsidR="00421D81" w:rsidRPr="008153DB" w:rsidRDefault="00421D81" w:rsidP="00F51BBE">
            <w:pPr>
              <w:jc w:val="center"/>
            </w:pPr>
            <w:r>
              <w:t>30</w:t>
            </w:r>
          </w:p>
        </w:tc>
        <w:tc>
          <w:tcPr>
            <w:tcW w:w="1175" w:type="dxa"/>
            <w:tcBorders>
              <w:top w:val="nil"/>
              <w:left w:val="nil"/>
              <w:bottom w:val="nil"/>
              <w:right w:val="single" w:sz="8" w:space="0" w:color="auto"/>
            </w:tcBorders>
            <w:shd w:val="clear" w:color="auto" w:fill="auto"/>
            <w:noWrap/>
            <w:vAlign w:val="bottom"/>
            <w:hideMark/>
          </w:tcPr>
          <w:p w14:paraId="3DF151B6" w14:textId="77777777" w:rsidR="00421D81" w:rsidRPr="008153DB" w:rsidRDefault="00421D81" w:rsidP="00F51BBE">
            <w:pPr>
              <w:jc w:val="center"/>
            </w:pPr>
          </w:p>
        </w:tc>
        <w:tc>
          <w:tcPr>
            <w:tcW w:w="992" w:type="dxa"/>
            <w:tcBorders>
              <w:top w:val="nil"/>
              <w:left w:val="nil"/>
              <w:bottom w:val="nil"/>
              <w:right w:val="single" w:sz="8" w:space="0" w:color="auto"/>
            </w:tcBorders>
            <w:shd w:val="clear" w:color="auto" w:fill="auto"/>
            <w:noWrap/>
            <w:vAlign w:val="bottom"/>
            <w:hideMark/>
          </w:tcPr>
          <w:p w14:paraId="6DD88024" w14:textId="77777777" w:rsidR="00421D81" w:rsidRPr="001C6C05" w:rsidRDefault="00421D81" w:rsidP="00F51BBE">
            <w:pPr>
              <w:rPr>
                <w:sz w:val="20"/>
                <w:szCs w:val="20"/>
              </w:rPr>
            </w:pPr>
            <w:r w:rsidRPr="001C6C05">
              <w:rPr>
                <w:sz w:val="20"/>
                <w:szCs w:val="20"/>
              </w:rPr>
              <w:t>1 year</w:t>
            </w:r>
          </w:p>
        </w:tc>
      </w:tr>
      <w:tr w:rsidR="00421D81" w14:paraId="1BC48471" w14:textId="77777777" w:rsidTr="00F51BBE">
        <w:trPr>
          <w:trHeight w:val="255"/>
        </w:trPr>
        <w:tc>
          <w:tcPr>
            <w:tcW w:w="280" w:type="dxa"/>
            <w:tcBorders>
              <w:top w:val="nil"/>
              <w:left w:val="single" w:sz="8" w:space="0" w:color="auto"/>
              <w:bottom w:val="nil"/>
              <w:right w:val="nil"/>
            </w:tcBorders>
            <w:shd w:val="clear" w:color="auto" w:fill="auto"/>
            <w:noWrap/>
            <w:vAlign w:val="bottom"/>
            <w:hideMark/>
          </w:tcPr>
          <w:p w14:paraId="3FAE5F02" w14:textId="77777777" w:rsidR="00421D81" w:rsidRDefault="00421D81" w:rsidP="00F51BBE">
            <w:r>
              <w:t> </w:t>
            </w:r>
          </w:p>
        </w:tc>
        <w:tc>
          <w:tcPr>
            <w:tcW w:w="3828" w:type="dxa"/>
            <w:tcBorders>
              <w:top w:val="nil"/>
              <w:left w:val="nil"/>
              <w:bottom w:val="nil"/>
              <w:right w:val="single" w:sz="8" w:space="0" w:color="auto"/>
            </w:tcBorders>
            <w:shd w:val="clear" w:color="auto" w:fill="auto"/>
            <w:noWrap/>
            <w:vAlign w:val="bottom"/>
            <w:hideMark/>
          </w:tcPr>
          <w:p w14:paraId="1F7FB196" w14:textId="77777777" w:rsidR="00421D81" w:rsidRPr="008153DB" w:rsidRDefault="00421D81" w:rsidP="00F51BBE">
            <w:r w:rsidRPr="008153DB">
              <w:t>Santander UK plc</w:t>
            </w:r>
          </w:p>
        </w:tc>
        <w:tc>
          <w:tcPr>
            <w:tcW w:w="785" w:type="dxa"/>
            <w:tcBorders>
              <w:top w:val="nil"/>
              <w:left w:val="nil"/>
              <w:bottom w:val="nil"/>
              <w:right w:val="nil"/>
            </w:tcBorders>
            <w:shd w:val="clear" w:color="auto" w:fill="auto"/>
            <w:noWrap/>
            <w:vAlign w:val="bottom"/>
            <w:hideMark/>
          </w:tcPr>
          <w:p w14:paraId="00CC8384" w14:textId="77777777" w:rsidR="00421D81" w:rsidRPr="008153DB" w:rsidRDefault="00421D81" w:rsidP="00F51BBE">
            <w:r w:rsidRPr="008153DB">
              <w:t>A</w:t>
            </w:r>
            <w:r>
              <w:t>+</w:t>
            </w:r>
          </w:p>
        </w:tc>
        <w:tc>
          <w:tcPr>
            <w:tcW w:w="602" w:type="dxa"/>
            <w:tcBorders>
              <w:top w:val="nil"/>
              <w:left w:val="nil"/>
              <w:bottom w:val="nil"/>
              <w:right w:val="nil"/>
            </w:tcBorders>
            <w:shd w:val="clear" w:color="auto" w:fill="auto"/>
            <w:noWrap/>
            <w:vAlign w:val="bottom"/>
            <w:hideMark/>
          </w:tcPr>
          <w:p w14:paraId="40DDFF06" w14:textId="77777777" w:rsidR="00421D81" w:rsidRPr="008153DB" w:rsidRDefault="00421D81" w:rsidP="00F51BBE">
            <w:r w:rsidRPr="008153DB">
              <w:t>F1</w:t>
            </w:r>
          </w:p>
        </w:tc>
        <w:tc>
          <w:tcPr>
            <w:tcW w:w="712" w:type="dxa"/>
            <w:tcBorders>
              <w:top w:val="nil"/>
              <w:left w:val="nil"/>
              <w:bottom w:val="nil"/>
              <w:right w:val="nil"/>
            </w:tcBorders>
            <w:shd w:val="clear" w:color="auto" w:fill="auto"/>
            <w:noWrap/>
            <w:vAlign w:val="bottom"/>
            <w:hideMark/>
          </w:tcPr>
          <w:p w14:paraId="1F8D5922" w14:textId="77777777" w:rsidR="00421D81" w:rsidRPr="008153DB" w:rsidRDefault="00421D81" w:rsidP="00F51BBE">
            <w:r w:rsidRPr="008153DB">
              <w:t>a</w:t>
            </w:r>
          </w:p>
        </w:tc>
        <w:tc>
          <w:tcPr>
            <w:tcW w:w="717" w:type="dxa"/>
            <w:tcBorders>
              <w:top w:val="nil"/>
              <w:left w:val="nil"/>
              <w:bottom w:val="nil"/>
              <w:right w:val="single" w:sz="8" w:space="0" w:color="auto"/>
            </w:tcBorders>
            <w:shd w:val="clear" w:color="auto" w:fill="auto"/>
            <w:noWrap/>
            <w:vAlign w:val="bottom"/>
            <w:hideMark/>
          </w:tcPr>
          <w:p w14:paraId="0CA12507" w14:textId="77777777" w:rsidR="00421D81" w:rsidRPr="008153DB" w:rsidRDefault="00421D81" w:rsidP="00F51BBE">
            <w:pPr>
              <w:jc w:val="right"/>
            </w:pPr>
            <w:r>
              <w:t>2</w:t>
            </w:r>
          </w:p>
        </w:tc>
        <w:tc>
          <w:tcPr>
            <w:tcW w:w="1016" w:type="dxa"/>
            <w:tcBorders>
              <w:top w:val="nil"/>
              <w:left w:val="nil"/>
              <w:bottom w:val="nil"/>
              <w:right w:val="nil"/>
            </w:tcBorders>
            <w:shd w:val="clear" w:color="auto" w:fill="auto"/>
            <w:noWrap/>
            <w:vAlign w:val="bottom"/>
            <w:hideMark/>
          </w:tcPr>
          <w:p w14:paraId="1D162F73" w14:textId="77777777" w:rsidR="00421D81" w:rsidRPr="008153DB" w:rsidRDefault="00421D81" w:rsidP="00F51BBE">
            <w:pPr>
              <w:jc w:val="center"/>
            </w:pPr>
            <w:r>
              <w:t>30</w:t>
            </w:r>
          </w:p>
        </w:tc>
        <w:tc>
          <w:tcPr>
            <w:tcW w:w="1175" w:type="dxa"/>
            <w:tcBorders>
              <w:top w:val="nil"/>
              <w:left w:val="nil"/>
              <w:bottom w:val="nil"/>
              <w:right w:val="single" w:sz="8" w:space="0" w:color="auto"/>
            </w:tcBorders>
            <w:shd w:val="clear" w:color="auto" w:fill="auto"/>
            <w:noWrap/>
            <w:vAlign w:val="bottom"/>
            <w:hideMark/>
          </w:tcPr>
          <w:p w14:paraId="77270133" w14:textId="77777777" w:rsidR="00421D81" w:rsidRPr="008153DB" w:rsidRDefault="00421D81" w:rsidP="00F51BBE">
            <w:pPr>
              <w:jc w:val="center"/>
            </w:pPr>
          </w:p>
        </w:tc>
        <w:tc>
          <w:tcPr>
            <w:tcW w:w="992" w:type="dxa"/>
            <w:tcBorders>
              <w:top w:val="nil"/>
              <w:left w:val="nil"/>
              <w:bottom w:val="nil"/>
              <w:right w:val="single" w:sz="8" w:space="0" w:color="auto"/>
            </w:tcBorders>
            <w:shd w:val="clear" w:color="auto" w:fill="auto"/>
            <w:noWrap/>
            <w:vAlign w:val="bottom"/>
            <w:hideMark/>
          </w:tcPr>
          <w:p w14:paraId="2E660B19" w14:textId="77777777" w:rsidR="00421D81" w:rsidRPr="008153DB" w:rsidRDefault="00421D81" w:rsidP="00F51BBE">
            <w:r>
              <w:t>6</w:t>
            </w:r>
            <w:r w:rsidRPr="008153DB">
              <w:t>mth</w:t>
            </w:r>
          </w:p>
        </w:tc>
      </w:tr>
      <w:tr w:rsidR="00421D81" w14:paraId="7474392F" w14:textId="77777777" w:rsidTr="00F51BBE">
        <w:trPr>
          <w:trHeight w:val="255"/>
        </w:trPr>
        <w:tc>
          <w:tcPr>
            <w:tcW w:w="280" w:type="dxa"/>
            <w:tcBorders>
              <w:top w:val="nil"/>
              <w:left w:val="single" w:sz="8" w:space="0" w:color="auto"/>
              <w:bottom w:val="nil"/>
              <w:right w:val="nil"/>
            </w:tcBorders>
            <w:shd w:val="clear" w:color="auto" w:fill="auto"/>
            <w:noWrap/>
            <w:vAlign w:val="bottom"/>
          </w:tcPr>
          <w:p w14:paraId="5D19AC08" w14:textId="77777777" w:rsidR="00421D81" w:rsidRDefault="00421D81" w:rsidP="00F51BBE"/>
        </w:tc>
        <w:tc>
          <w:tcPr>
            <w:tcW w:w="3828" w:type="dxa"/>
            <w:tcBorders>
              <w:top w:val="nil"/>
              <w:left w:val="nil"/>
              <w:bottom w:val="nil"/>
              <w:right w:val="single" w:sz="8" w:space="0" w:color="auto"/>
            </w:tcBorders>
            <w:shd w:val="clear" w:color="auto" w:fill="auto"/>
            <w:noWrap/>
            <w:vAlign w:val="bottom"/>
          </w:tcPr>
          <w:p w14:paraId="3CE98599" w14:textId="77777777" w:rsidR="00421D81" w:rsidRPr="008153DB" w:rsidRDefault="00421D81" w:rsidP="00F51BBE">
            <w:r>
              <w:t>Standard Chartered Bank</w:t>
            </w:r>
          </w:p>
        </w:tc>
        <w:tc>
          <w:tcPr>
            <w:tcW w:w="785" w:type="dxa"/>
            <w:tcBorders>
              <w:top w:val="nil"/>
              <w:left w:val="nil"/>
              <w:bottom w:val="nil"/>
              <w:right w:val="nil"/>
            </w:tcBorders>
            <w:shd w:val="clear" w:color="auto" w:fill="auto"/>
            <w:noWrap/>
            <w:vAlign w:val="bottom"/>
          </w:tcPr>
          <w:p w14:paraId="65B71E7D" w14:textId="77777777" w:rsidR="00421D81" w:rsidRPr="008153DB" w:rsidRDefault="00421D81" w:rsidP="00F51BBE">
            <w:r>
              <w:t>A+</w:t>
            </w:r>
          </w:p>
        </w:tc>
        <w:tc>
          <w:tcPr>
            <w:tcW w:w="602" w:type="dxa"/>
            <w:tcBorders>
              <w:top w:val="nil"/>
              <w:left w:val="nil"/>
              <w:bottom w:val="nil"/>
              <w:right w:val="nil"/>
            </w:tcBorders>
            <w:shd w:val="clear" w:color="auto" w:fill="auto"/>
            <w:noWrap/>
            <w:vAlign w:val="bottom"/>
          </w:tcPr>
          <w:p w14:paraId="3D198E6E" w14:textId="77777777" w:rsidR="00421D81" w:rsidRPr="008153DB" w:rsidRDefault="00421D81" w:rsidP="00F51BBE">
            <w:r>
              <w:t>F1</w:t>
            </w:r>
          </w:p>
        </w:tc>
        <w:tc>
          <w:tcPr>
            <w:tcW w:w="712" w:type="dxa"/>
            <w:tcBorders>
              <w:top w:val="nil"/>
              <w:left w:val="nil"/>
              <w:bottom w:val="nil"/>
              <w:right w:val="nil"/>
            </w:tcBorders>
            <w:shd w:val="clear" w:color="auto" w:fill="auto"/>
            <w:noWrap/>
            <w:vAlign w:val="bottom"/>
          </w:tcPr>
          <w:p w14:paraId="1879F6D1" w14:textId="77777777" w:rsidR="00421D81" w:rsidRPr="008153DB" w:rsidRDefault="00421D81" w:rsidP="00F51BBE">
            <w:r>
              <w:t>a</w:t>
            </w:r>
          </w:p>
        </w:tc>
        <w:tc>
          <w:tcPr>
            <w:tcW w:w="717" w:type="dxa"/>
            <w:tcBorders>
              <w:top w:val="nil"/>
              <w:left w:val="nil"/>
              <w:bottom w:val="nil"/>
              <w:right w:val="single" w:sz="8" w:space="0" w:color="auto"/>
            </w:tcBorders>
            <w:shd w:val="clear" w:color="auto" w:fill="auto"/>
            <w:noWrap/>
            <w:vAlign w:val="bottom"/>
          </w:tcPr>
          <w:p w14:paraId="19FE7623" w14:textId="77777777" w:rsidR="00421D81" w:rsidRDefault="00421D81" w:rsidP="00F51BBE">
            <w:pPr>
              <w:jc w:val="right"/>
            </w:pPr>
            <w:r>
              <w:t>5</w:t>
            </w:r>
          </w:p>
        </w:tc>
        <w:tc>
          <w:tcPr>
            <w:tcW w:w="1016" w:type="dxa"/>
            <w:tcBorders>
              <w:top w:val="nil"/>
              <w:left w:val="nil"/>
              <w:bottom w:val="nil"/>
              <w:right w:val="nil"/>
            </w:tcBorders>
            <w:shd w:val="clear" w:color="auto" w:fill="auto"/>
            <w:noWrap/>
            <w:vAlign w:val="bottom"/>
          </w:tcPr>
          <w:p w14:paraId="5206D7C2" w14:textId="77777777" w:rsidR="00421D81" w:rsidRDefault="00421D81" w:rsidP="00F51BBE">
            <w:pPr>
              <w:jc w:val="center"/>
            </w:pPr>
            <w:r>
              <w:t>30</w:t>
            </w:r>
          </w:p>
        </w:tc>
        <w:tc>
          <w:tcPr>
            <w:tcW w:w="1175" w:type="dxa"/>
            <w:tcBorders>
              <w:top w:val="nil"/>
              <w:left w:val="nil"/>
              <w:bottom w:val="nil"/>
              <w:right w:val="single" w:sz="8" w:space="0" w:color="auto"/>
            </w:tcBorders>
            <w:shd w:val="clear" w:color="auto" w:fill="auto"/>
            <w:noWrap/>
            <w:vAlign w:val="bottom"/>
          </w:tcPr>
          <w:p w14:paraId="6B900C69" w14:textId="77777777" w:rsidR="00421D81" w:rsidRPr="008153DB" w:rsidRDefault="00421D81" w:rsidP="00F51BBE">
            <w:pPr>
              <w:jc w:val="center"/>
            </w:pPr>
          </w:p>
        </w:tc>
        <w:tc>
          <w:tcPr>
            <w:tcW w:w="992" w:type="dxa"/>
            <w:tcBorders>
              <w:top w:val="nil"/>
              <w:left w:val="nil"/>
              <w:bottom w:val="nil"/>
              <w:right w:val="single" w:sz="8" w:space="0" w:color="auto"/>
            </w:tcBorders>
            <w:shd w:val="clear" w:color="auto" w:fill="auto"/>
            <w:noWrap/>
            <w:vAlign w:val="bottom"/>
          </w:tcPr>
          <w:p w14:paraId="1038F74F" w14:textId="77777777" w:rsidR="00421D81" w:rsidRDefault="00421D81" w:rsidP="00F51BBE">
            <w:r>
              <w:t>6mth</w:t>
            </w:r>
          </w:p>
        </w:tc>
      </w:tr>
      <w:tr w:rsidR="00421D81" w14:paraId="4D803C14" w14:textId="77777777" w:rsidTr="00F51BBE">
        <w:trPr>
          <w:trHeight w:val="255"/>
        </w:trPr>
        <w:tc>
          <w:tcPr>
            <w:tcW w:w="280" w:type="dxa"/>
            <w:tcBorders>
              <w:top w:val="nil"/>
              <w:left w:val="single" w:sz="8" w:space="0" w:color="auto"/>
              <w:bottom w:val="nil"/>
              <w:right w:val="nil"/>
            </w:tcBorders>
            <w:shd w:val="clear" w:color="auto" w:fill="auto"/>
            <w:noWrap/>
            <w:vAlign w:val="bottom"/>
            <w:hideMark/>
          </w:tcPr>
          <w:p w14:paraId="29C2B5B7" w14:textId="77777777" w:rsidR="00421D81" w:rsidRDefault="00421D81" w:rsidP="00F51BBE">
            <w:r>
              <w:t> </w:t>
            </w:r>
          </w:p>
        </w:tc>
        <w:tc>
          <w:tcPr>
            <w:tcW w:w="3828" w:type="dxa"/>
            <w:tcBorders>
              <w:top w:val="nil"/>
              <w:left w:val="nil"/>
              <w:bottom w:val="nil"/>
              <w:right w:val="single" w:sz="8" w:space="0" w:color="auto"/>
            </w:tcBorders>
            <w:shd w:val="clear" w:color="auto" w:fill="auto"/>
            <w:noWrap/>
            <w:vAlign w:val="bottom"/>
            <w:hideMark/>
          </w:tcPr>
          <w:p w14:paraId="2DC1E7DA" w14:textId="77777777" w:rsidR="00421D81" w:rsidRPr="008153DB" w:rsidRDefault="00421D81" w:rsidP="00F51BBE">
            <w:r w:rsidRPr="008153DB">
              <w:t>Barclays</w:t>
            </w:r>
          </w:p>
        </w:tc>
        <w:tc>
          <w:tcPr>
            <w:tcW w:w="785" w:type="dxa"/>
            <w:tcBorders>
              <w:top w:val="nil"/>
              <w:left w:val="nil"/>
              <w:bottom w:val="nil"/>
              <w:right w:val="nil"/>
            </w:tcBorders>
            <w:shd w:val="clear" w:color="auto" w:fill="auto"/>
            <w:noWrap/>
            <w:vAlign w:val="bottom"/>
            <w:hideMark/>
          </w:tcPr>
          <w:p w14:paraId="02E85CC8" w14:textId="77777777" w:rsidR="00421D81" w:rsidRPr="008153DB" w:rsidRDefault="00421D81" w:rsidP="00F51BBE">
            <w:r w:rsidRPr="008153DB">
              <w:t>A</w:t>
            </w:r>
            <w:r>
              <w:t>+</w:t>
            </w:r>
          </w:p>
        </w:tc>
        <w:tc>
          <w:tcPr>
            <w:tcW w:w="602" w:type="dxa"/>
            <w:tcBorders>
              <w:top w:val="nil"/>
              <w:left w:val="nil"/>
              <w:bottom w:val="nil"/>
              <w:right w:val="nil"/>
            </w:tcBorders>
            <w:shd w:val="clear" w:color="auto" w:fill="auto"/>
            <w:noWrap/>
            <w:vAlign w:val="bottom"/>
            <w:hideMark/>
          </w:tcPr>
          <w:p w14:paraId="273C1C2E" w14:textId="77777777" w:rsidR="00421D81" w:rsidRPr="008153DB" w:rsidRDefault="00421D81" w:rsidP="00F51BBE">
            <w:r w:rsidRPr="008153DB">
              <w:t>F1</w:t>
            </w:r>
          </w:p>
        </w:tc>
        <w:tc>
          <w:tcPr>
            <w:tcW w:w="712" w:type="dxa"/>
            <w:tcBorders>
              <w:top w:val="nil"/>
              <w:left w:val="nil"/>
              <w:bottom w:val="nil"/>
              <w:right w:val="nil"/>
            </w:tcBorders>
            <w:shd w:val="clear" w:color="auto" w:fill="auto"/>
            <w:noWrap/>
            <w:vAlign w:val="bottom"/>
            <w:hideMark/>
          </w:tcPr>
          <w:p w14:paraId="4811DB0B" w14:textId="77777777" w:rsidR="00421D81" w:rsidRPr="008153DB" w:rsidRDefault="00421D81" w:rsidP="00F51BBE">
            <w:r w:rsidRPr="008153DB">
              <w:t>a</w:t>
            </w:r>
          </w:p>
        </w:tc>
        <w:tc>
          <w:tcPr>
            <w:tcW w:w="717" w:type="dxa"/>
            <w:tcBorders>
              <w:top w:val="nil"/>
              <w:left w:val="nil"/>
              <w:bottom w:val="nil"/>
              <w:right w:val="single" w:sz="8" w:space="0" w:color="auto"/>
            </w:tcBorders>
            <w:shd w:val="clear" w:color="auto" w:fill="auto"/>
            <w:noWrap/>
            <w:vAlign w:val="bottom"/>
            <w:hideMark/>
          </w:tcPr>
          <w:p w14:paraId="700D06AA" w14:textId="77777777" w:rsidR="00421D81" w:rsidRPr="008153DB" w:rsidRDefault="00421D81" w:rsidP="00F51BBE">
            <w:pPr>
              <w:jc w:val="right"/>
            </w:pPr>
            <w:r>
              <w:t>1</w:t>
            </w:r>
          </w:p>
        </w:tc>
        <w:tc>
          <w:tcPr>
            <w:tcW w:w="1016" w:type="dxa"/>
            <w:tcBorders>
              <w:top w:val="nil"/>
              <w:left w:val="nil"/>
              <w:bottom w:val="nil"/>
              <w:right w:val="nil"/>
            </w:tcBorders>
            <w:shd w:val="clear" w:color="auto" w:fill="auto"/>
            <w:noWrap/>
            <w:vAlign w:val="bottom"/>
            <w:hideMark/>
          </w:tcPr>
          <w:p w14:paraId="3EC5A783" w14:textId="77777777" w:rsidR="00421D81" w:rsidRPr="008153DB" w:rsidRDefault="00421D81" w:rsidP="00F51BBE">
            <w:pPr>
              <w:jc w:val="center"/>
            </w:pPr>
            <w:r>
              <w:t>30</w:t>
            </w:r>
          </w:p>
        </w:tc>
        <w:tc>
          <w:tcPr>
            <w:tcW w:w="1175" w:type="dxa"/>
            <w:tcBorders>
              <w:top w:val="nil"/>
              <w:left w:val="nil"/>
              <w:bottom w:val="nil"/>
              <w:right w:val="single" w:sz="8" w:space="0" w:color="auto"/>
            </w:tcBorders>
            <w:shd w:val="clear" w:color="auto" w:fill="auto"/>
            <w:noWrap/>
            <w:vAlign w:val="bottom"/>
            <w:hideMark/>
          </w:tcPr>
          <w:p w14:paraId="3FB81AE4" w14:textId="77777777" w:rsidR="00421D81" w:rsidRPr="008153DB" w:rsidRDefault="00421D81" w:rsidP="00F51BBE">
            <w:pPr>
              <w:jc w:val="center"/>
            </w:pPr>
          </w:p>
        </w:tc>
        <w:tc>
          <w:tcPr>
            <w:tcW w:w="992" w:type="dxa"/>
            <w:tcBorders>
              <w:top w:val="nil"/>
              <w:left w:val="nil"/>
              <w:bottom w:val="nil"/>
              <w:right w:val="single" w:sz="8" w:space="0" w:color="auto"/>
            </w:tcBorders>
            <w:shd w:val="clear" w:color="auto" w:fill="auto"/>
            <w:noWrap/>
            <w:vAlign w:val="bottom"/>
            <w:hideMark/>
          </w:tcPr>
          <w:p w14:paraId="14EC6F8D" w14:textId="77777777" w:rsidR="00421D81" w:rsidRPr="008153DB" w:rsidRDefault="00421D81" w:rsidP="00F51BBE">
            <w:r>
              <w:t>6</w:t>
            </w:r>
            <w:r w:rsidRPr="008153DB">
              <w:t>mth</w:t>
            </w:r>
          </w:p>
        </w:tc>
      </w:tr>
      <w:tr w:rsidR="00421D81" w14:paraId="4B580F85" w14:textId="77777777" w:rsidTr="00F51BBE">
        <w:trPr>
          <w:trHeight w:val="80"/>
        </w:trPr>
        <w:tc>
          <w:tcPr>
            <w:tcW w:w="280" w:type="dxa"/>
            <w:tcBorders>
              <w:top w:val="nil"/>
              <w:left w:val="single" w:sz="8" w:space="0" w:color="auto"/>
              <w:bottom w:val="nil"/>
              <w:right w:val="nil"/>
            </w:tcBorders>
            <w:shd w:val="clear" w:color="auto" w:fill="auto"/>
            <w:noWrap/>
            <w:vAlign w:val="bottom"/>
          </w:tcPr>
          <w:p w14:paraId="4B8DAC86" w14:textId="77777777" w:rsidR="00421D81" w:rsidRDefault="00421D81" w:rsidP="00F51BBE"/>
        </w:tc>
        <w:tc>
          <w:tcPr>
            <w:tcW w:w="3828" w:type="dxa"/>
            <w:tcBorders>
              <w:top w:val="nil"/>
              <w:left w:val="nil"/>
              <w:bottom w:val="nil"/>
              <w:right w:val="single" w:sz="8" w:space="0" w:color="auto"/>
            </w:tcBorders>
            <w:shd w:val="clear" w:color="auto" w:fill="auto"/>
            <w:noWrap/>
            <w:vAlign w:val="bottom"/>
          </w:tcPr>
          <w:p w14:paraId="152061AE" w14:textId="77777777" w:rsidR="00421D81" w:rsidRPr="008153DB" w:rsidRDefault="00421D81" w:rsidP="00F51BBE">
            <w:r w:rsidRPr="008153DB">
              <w:t>Bank of England (DMADF)</w:t>
            </w:r>
          </w:p>
        </w:tc>
        <w:tc>
          <w:tcPr>
            <w:tcW w:w="785" w:type="dxa"/>
            <w:tcBorders>
              <w:top w:val="nil"/>
              <w:left w:val="nil"/>
              <w:bottom w:val="nil"/>
              <w:right w:val="nil"/>
            </w:tcBorders>
            <w:shd w:val="clear" w:color="auto" w:fill="auto"/>
            <w:noWrap/>
            <w:vAlign w:val="bottom"/>
          </w:tcPr>
          <w:p w14:paraId="16501140" w14:textId="77777777" w:rsidR="00421D81" w:rsidRPr="008153DB" w:rsidRDefault="00421D81" w:rsidP="00F51BBE"/>
        </w:tc>
        <w:tc>
          <w:tcPr>
            <w:tcW w:w="602" w:type="dxa"/>
            <w:tcBorders>
              <w:top w:val="nil"/>
              <w:left w:val="nil"/>
              <w:bottom w:val="nil"/>
              <w:right w:val="nil"/>
            </w:tcBorders>
            <w:shd w:val="clear" w:color="auto" w:fill="auto"/>
            <w:noWrap/>
            <w:vAlign w:val="bottom"/>
          </w:tcPr>
          <w:p w14:paraId="18B29134" w14:textId="77777777" w:rsidR="00421D81" w:rsidRPr="008153DB" w:rsidRDefault="00421D81" w:rsidP="00F51BBE"/>
        </w:tc>
        <w:tc>
          <w:tcPr>
            <w:tcW w:w="712" w:type="dxa"/>
            <w:tcBorders>
              <w:top w:val="nil"/>
              <w:left w:val="nil"/>
              <w:bottom w:val="nil"/>
              <w:right w:val="nil"/>
            </w:tcBorders>
            <w:shd w:val="clear" w:color="auto" w:fill="auto"/>
            <w:noWrap/>
            <w:vAlign w:val="bottom"/>
          </w:tcPr>
          <w:p w14:paraId="15794046" w14:textId="77777777" w:rsidR="00421D81" w:rsidRPr="008153DB" w:rsidRDefault="00421D81" w:rsidP="00F51BBE"/>
        </w:tc>
        <w:tc>
          <w:tcPr>
            <w:tcW w:w="717" w:type="dxa"/>
            <w:tcBorders>
              <w:top w:val="nil"/>
              <w:left w:val="nil"/>
              <w:bottom w:val="nil"/>
              <w:right w:val="single" w:sz="8" w:space="0" w:color="auto"/>
            </w:tcBorders>
            <w:shd w:val="clear" w:color="auto" w:fill="auto"/>
            <w:noWrap/>
            <w:vAlign w:val="bottom"/>
          </w:tcPr>
          <w:p w14:paraId="67A382BC" w14:textId="77777777" w:rsidR="00421D81" w:rsidRDefault="00421D81" w:rsidP="00F51BBE">
            <w:pPr>
              <w:jc w:val="right"/>
            </w:pPr>
            <w:r w:rsidRPr="008153DB">
              <w:t> </w:t>
            </w:r>
          </w:p>
        </w:tc>
        <w:tc>
          <w:tcPr>
            <w:tcW w:w="1016" w:type="dxa"/>
            <w:tcBorders>
              <w:top w:val="nil"/>
              <w:left w:val="nil"/>
              <w:bottom w:val="nil"/>
              <w:right w:val="nil"/>
            </w:tcBorders>
            <w:shd w:val="clear" w:color="auto" w:fill="auto"/>
            <w:noWrap/>
            <w:vAlign w:val="bottom"/>
          </w:tcPr>
          <w:p w14:paraId="06DB672D" w14:textId="77777777" w:rsidR="00421D81" w:rsidRDefault="00421D81" w:rsidP="00F51BBE">
            <w:pPr>
              <w:jc w:val="center"/>
            </w:pPr>
            <w:r>
              <w:t>100</w:t>
            </w:r>
          </w:p>
        </w:tc>
        <w:tc>
          <w:tcPr>
            <w:tcW w:w="1175" w:type="dxa"/>
            <w:tcBorders>
              <w:top w:val="nil"/>
              <w:left w:val="nil"/>
              <w:bottom w:val="nil"/>
              <w:right w:val="single" w:sz="8" w:space="0" w:color="auto"/>
            </w:tcBorders>
            <w:shd w:val="clear" w:color="auto" w:fill="auto"/>
            <w:noWrap/>
            <w:vAlign w:val="bottom"/>
          </w:tcPr>
          <w:p w14:paraId="2A11ED02" w14:textId="77777777" w:rsidR="00421D81" w:rsidRPr="008153DB" w:rsidRDefault="00421D81" w:rsidP="00F51BBE">
            <w:pPr>
              <w:jc w:val="center"/>
            </w:pPr>
          </w:p>
        </w:tc>
        <w:tc>
          <w:tcPr>
            <w:tcW w:w="992" w:type="dxa"/>
            <w:tcBorders>
              <w:top w:val="nil"/>
              <w:left w:val="nil"/>
              <w:bottom w:val="nil"/>
              <w:right w:val="single" w:sz="8" w:space="0" w:color="auto"/>
            </w:tcBorders>
            <w:shd w:val="clear" w:color="auto" w:fill="auto"/>
            <w:noWrap/>
            <w:vAlign w:val="bottom"/>
          </w:tcPr>
          <w:p w14:paraId="0CBE4065" w14:textId="77777777" w:rsidR="00421D81" w:rsidRDefault="00421D81" w:rsidP="00F51BBE">
            <w:pPr>
              <w:rPr>
                <w:sz w:val="20"/>
                <w:szCs w:val="20"/>
              </w:rPr>
            </w:pPr>
          </w:p>
          <w:p w14:paraId="79B90DEC" w14:textId="77777777" w:rsidR="00421D81" w:rsidRDefault="00421D81" w:rsidP="00F51BBE">
            <w:r w:rsidRPr="008153DB">
              <w:rPr>
                <w:sz w:val="20"/>
                <w:szCs w:val="20"/>
              </w:rPr>
              <w:t>1 year +</w:t>
            </w:r>
          </w:p>
        </w:tc>
      </w:tr>
      <w:tr w:rsidR="00421D81" w14:paraId="5A115E19" w14:textId="77777777" w:rsidTr="00F51BBE">
        <w:trPr>
          <w:trHeight w:val="255"/>
        </w:trPr>
        <w:tc>
          <w:tcPr>
            <w:tcW w:w="280" w:type="dxa"/>
            <w:tcBorders>
              <w:top w:val="single" w:sz="8" w:space="0" w:color="auto"/>
              <w:left w:val="nil"/>
              <w:bottom w:val="nil"/>
              <w:right w:val="nil"/>
            </w:tcBorders>
            <w:shd w:val="clear" w:color="auto" w:fill="auto"/>
            <w:noWrap/>
            <w:vAlign w:val="bottom"/>
            <w:hideMark/>
          </w:tcPr>
          <w:p w14:paraId="0C5833AB" w14:textId="77777777" w:rsidR="00421D81" w:rsidRDefault="00421D81" w:rsidP="00F51BBE">
            <w:pPr>
              <w:rPr>
                <w:b/>
                <w:bCs/>
              </w:rPr>
            </w:pPr>
            <w:r>
              <w:rPr>
                <w:b/>
                <w:bCs/>
              </w:rPr>
              <w:t> </w:t>
            </w:r>
          </w:p>
        </w:tc>
        <w:tc>
          <w:tcPr>
            <w:tcW w:w="3828" w:type="dxa"/>
            <w:tcBorders>
              <w:top w:val="single" w:sz="8" w:space="0" w:color="auto"/>
              <w:left w:val="nil"/>
              <w:bottom w:val="nil"/>
              <w:right w:val="nil"/>
            </w:tcBorders>
            <w:shd w:val="clear" w:color="auto" w:fill="auto"/>
            <w:noWrap/>
            <w:vAlign w:val="bottom"/>
          </w:tcPr>
          <w:p w14:paraId="2EC2CC23" w14:textId="77777777" w:rsidR="00421D81" w:rsidRPr="008153DB" w:rsidRDefault="00421D81" w:rsidP="00F51BBE"/>
        </w:tc>
        <w:tc>
          <w:tcPr>
            <w:tcW w:w="785" w:type="dxa"/>
            <w:tcBorders>
              <w:top w:val="single" w:sz="8" w:space="0" w:color="auto"/>
              <w:left w:val="nil"/>
              <w:bottom w:val="nil"/>
              <w:right w:val="nil"/>
            </w:tcBorders>
            <w:shd w:val="clear" w:color="auto" w:fill="auto"/>
            <w:noWrap/>
            <w:vAlign w:val="bottom"/>
          </w:tcPr>
          <w:p w14:paraId="021E2A38" w14:textId="77777777" w:rsidR="00421D81" w:rsidRPr="008153DB" w:rsidRDefault="00421D81" w:rsidP="00F51BBE"/>
        </w:tc>
        <w:tc>
          <w:tcPr>
            <w:tcW w:w="602" w:type="dxa"/>
            <w:tcBorders>
              <w:top w:val="single" w:sz="8" w:space="0" w:color="auto"/>
              <w:left w:val="nil"/>
              <w:bottom w:val="nil"/>
              <w:right w:val="nil"/>
            </w:tcBorders>
            <w:shd w:val="clear" w:color="auto" w:fill="auto"/>
            <w:noWrap/>
            <w:vAlign w:val="bottom"/>
          </w:tcPr>
          <w:p w14:paraId="5A464F1A" w14:textId="77777777" w:rsidR="00421D81" w:rsidRPr="008153DB" w:rsidRDefault="00421D81" w:rsidP="00F51BBE"/>
        </w:tc>
        <w:tc>
          <w:tcPr>
            <w:tcW w:w="712" w:type="dxa"/>
            <w:tcBorders>
              <w:top w:val="single" w:sz="8" w:space="0" w:color="auto"/>
              <w:left w:val="nil"/>
              <w:bottom w:val="nil"/>
              <w:right w:val="nil"/>
            </w:tcBorders>
            <w:shd w:val="clear" w:color="auto" w:fill="auto"/>
            <w:noWrap/>
            <w:vAlign w:val="bottom"/>
          </w:tcPr>
          <w:p w14:paraId="56559175" w14:textId="77777777" w:rsidR="00421D81" w:rsidRPr="008153DB" w:rsidRDefault="00421D81" w:rsidP="00F51BBE"/>
        </w:tc>
        <w:tc>
          <w:tcPr>
            <w:tcW w:w="717" w:type="dxa"/>
            <w:tcBorders>
              <w:top w:val="single" w:sz="8" w:space="0" w:color="auto"/>
              <w:left w:val="nil"/>
              <w:bottom w:val="nil"/>
              <w:right w:val="nil"/>
            </w:tcBorders>
            <w:shd w:val="clear" w:color="auto" w:fill="auto"/>
            <w:noWrap/>
            <w:vAlign w:val="bottom"/>
          </w:tcPr>
          <w:p w14:paraId="2BBA0D65" w14:textId="77777777" w:rsidR="00421D81" w:rsidRPr="008153DB" w:rsidRDefault="00421D81" w:rsidP="00F51BBE"/>
        </w:tc>
        <w:tc>
          <w:tcPr>
            <w:tcW w:w="1016" w:type="dxa"/>
            <w:tcBorders>
              <w:top w:val="single" w:sz="8" w:space="0" w:color="auto"/>
              <w:left w:val="nil"/>
              <w:bottom w:val="nil"/>
              <w:right w:val="nil"/>
            </w:tcBorders>
            <w:shd w:val="clear" w:color="auto" w:fill="auto"/>
            <w:noWrap/>
            <w:vAlign w:val="bottom"/>
          </w:tcPr>
          <w:p w14:paraId="1BA0B801" w14:textId="77777777" w:rsidR="00421D81" w:rsidRPr="008153DB" w:rsidRDefault="00421D81" w:rsidP="00F51BBE">
            <w:pPr>
              <w:jc w:val="center"/>
            </w:pPr>
          </w:p>
        </w:tc>
        <w:tc>
          <w:tcPr>
            <w:tcW w:w="1175" w:type="dxa"/>
            <w:tcBorders>
              <w:top w:val="single" w:sz="8" w:space="0" w:color="auto"/>
              <w:left w:val="nil"/>
              <w:bottom w:val="nil"/>
              <w:right w:val="nil"/>
            </w:tcBorders>
            <w:shd w:val="clear" w:color="auto" w:fill="auto"/>
            <w:noWrap/>
            <w:vAlign w:val="bottom"/>
          </w:tcPr>
          <w:p w14:paraId="7FBFCFCF" w14:textId="77777777" w:rsidR="00421D81" w:rsidRPr="008153DB" w:rsidRDefault="00421D81" w:rsidP="00F51BBE">
            <w:pPr>
              <w:jc w:val="center"/>
            </w:pPr>
          </w:p>
        </w:tc>
        <w:tc>
          <w:tcPr>
            <w:tcW w:w="992" w:type="dxa"/>
            <w:tcBorders>
              <w:top w:val="single" w:sz="8" w:space="0" w:color="auto"/>
              <w:left w:val="nil"/>
              <w:bottom w:val="nil"/>
              <w:right w:val="nil"/>
            </w:tcBorders>
            <w:shd w:val="clear" w:color="auto" w:fill="auto"/>
            <w:noWrap/>
            <w:vAlign w:val="bottom"/>
          </w:tcPr>
          <w:p w14:paraId="7C94230B" w14:textId="77777777" w:rsidR="00421D81" w:rsidRPr="008153DB" w:rsidRDefault="00421D81" w:rsidP="00F51BBE"/>
        </w:tc>
      </w:tr>
      <w:tr w:rsidR="00421D81" w14:paraId="1566BDAD" w14:textId="77777777" w:rsidTr="00F51BBE">
        <w:trPr>
          <w:trHeight w:val="270"/>
        </w:trPr>
        <w:tc>
          <w:tcPr>
            <w:tcW w:w="280" w:type="dxa"/>
            <w:tcBorders>
              <w:top w:val="nil"/>
              <w:left w:val="nil"/>
              <w:bottom w:val="nil"/>
              <w:right w:val="nil"/>
            </w:tcBorders>
            <w:shd w:val="clear" w:color="auto" w:fill="auto"/>
            <w:noWrap/>
            <w:vAlign w:val="bottom"/>
            <w:hideMark/>
          </w:tcPr>
          <w:p w14:paraId="6753BDB8" w14:textId="77777777" w:rsidR="00421D81" w:rsidRDefault="00421D81" w:rsidP="00F51BBE"/>
        </w:tc>
        <w:tc>
          <w:tcPr>
            <w:tcW w:w="3828" w:type="dxa"/>
            <w:tcBorders>
              <w:top w:val="nil"/>
              <w:left w:val="nil"/>
              <w:bottom w:val="nil"/>
              <w:right w:val="nil"/>
            </w:tcBorders>
            <w:shd w:val="clear" w:color="auto" w:fill="auto"/>
            <w:noWrap/>
            <w:vAlign w:val="bottom"/>
            <w:hideMark/>
          </w:tcPr>
          <w:p w14:paraId="12A2377B" w14:textId="77777777" w:rsidR="00421D81" w:rsidRPr="008153DB" w:rsidRDefault="00421D81" w:rsidP="00F51BBE"/>
        </w:tc>
        <w:tc>
          <w:tcPr>
            <w:tcW w:w="785" w:type="dxa"/>
            <w:tcBorders>
              <w:top w:val="nil"/>
              <w:left w:val="nil"/>
              <w:bottom w:val="single" w:sz="8" w:space="0" w:color="auto"/>
              <w:right w:val="nil"/>
            </w:tcBorders>
            <w:shd w:val="clear" w:color="auto" w:fill="auto"/>
            <w:noWrap/>
            <w:vAlign w:val="bottom"/>
            <w:hideMark/>
          </w:tcPr>
          <w:p w14:paraId="743711EB" w14:textId="77777777" w:rsidR="00421D81" w:rsidRPr="008153DB" w:rsidRDefault="00421D81" w:rsidP="00F51BBE">
            <w:r w:rsidRPr="008153DB">
              <w:t> </w:t>
            </w:r>
          </w:p>
        </w:tc>
        <w:tc>
          <w:tcPr>
            <w:tcW w:w="602" w:type="dxa"/>
            <w:tcBorders>
              <w:top w:val="nil"/>
              <w:left w:val="nil"/>
              <w:bottom w:val="single" w:sz="8" w:space="0" w:color="auto"/>
              <w:right w:val="nil"/>
            </w:tcBorders>
            <w:shd w:val="clear" w:color="auto" w:fill="auto"/>
            <w:noWrap/>
            <w:vAlign w:val="bottom"/>
            <w:hideMark/>
          </w:tcPr>
          <w:p w14:paraId="7FB752F6" w14:textId="77777777" w:rsidR="00421D81" w:rsidRPr="008153DB" w:rsidRDefault="00421D81" w:rsidP="00F51BBE">
            <w:r w:rsidRPr="008153DB">
              <w:t> </w:t>
            </w:r>
          </w:p>
        </w:tc>
        <w:tc>
          <w:tcPr>
            <w:tcW w:w="712" w:type="dxa"/>
            <w:tcBorders>
              <w:top w:val="nil"/>
              <w:left w:val="nil"/>
              <w:bottom w:val="single" w:sz="8" w:space="0" w:color="auto"/>
              <w:right w:val="nil"/>
            </w:tcBorders>
            <w:shd w:val="clear" w:color="auto" w:fill="auto"/>
            <w:noWrap/>
            <w:vAlign w:val="bottom"/>
            <w:hideMark/>
          </w:tcPr>
          <w:p w14:paraId="36F6AB77" w14:textId="77777777" w:rsidR="00421D81" w:rsidRPr="008153DB" w:rsidRDefault="00421D81" w:rsidP="00F51BBE">
            <w:r w:rsidRPr="008153DB">
              <w:t> </w:t>
            </w:r>
          </w:p>
        </w:tc>
        <w:tc>
          <w:tcPr>
            <w:tcW w:w="717" w:type="dxa"/>
            <w:tcBorders>
              <w:top w:val="nil"/>
              <w:left w:val="nil"/>
              <w:bottom w:val="single" w:sz="8" w:space="0" w:color="auto"/>
              <w:right w:val="nil"/>
            </w:tcBorders>
            <w:shd w:val="clear" w:color="auto" w:fill="auto"/>
            <w:noWrap/>
            <w:vAlign w:val="bottom"/>
            <w:hideMark/>
          </w:tcPr>
          <w:p w14:paraId="301CD710" w14:textId="77777777" w:rsidR="00421D81" w:rsidRPr="008153DB" w:rsidRDefault="00421D81" w:rsidP="00F51BBE">
            <w:r w:rsidRPr="008153DB">
              <w:t> </w:t>
            </w:r>
          </w:p>
        </w:tc>
        <w:tc>
          <w:tcPr>
            <w:tcW w:w="1016" w:type="dxa"/>
            <w:tcBorders>
              <w:top w:val="nil"/>
              <w:left w:val="nil"/>
              <w:bottom w:val="single" w:sz="8" w:space="0" w:color="auto"/>
              <w:right w:val="nil"/>
            </w:tcBorders>
            <w:shd w:val="clear" w:color="auto" w:fill="auto"/>
            <w:noWrap/>
            <w:vAlign w:val="bottom"/>
            <w:hideMark/>
          </w:tcPr>
          <w:p w14:paraId="5D734AB1" w14:textId="77777777" w:rsidR="00421D81" w:rsidRPr="008153DB" w:rsidRDefault="00421D81" w:rsidP="00F51BBE">
            <w:pPr>
              <w:jc w:val="center"/>
            </w:pPr>
          </w:p>
        </w:tc>
        <w:tc>
          <w:tcPr>
            <w:tcW w:w="1175" w:type="dxa"/>
            <w:tcBorders>
              <w:top w:val="nil"/>
              <w:left w:val="nil"/>
              <w:bottom w:val="single" w:sz="8" w:space="0" w:color="auto"/>
              <w:right w:val="nil"/>
            </w:tcBorders>
            <w:shd w:val="clear" w:color="auto" w:fill="auto"/>
            <w:noWrap/>
            <w:vAlign w:val="bottom"/>
            <w:hideMark/>
          </w:tcPr>
          <w:p w14:paraId="2B0545E3" w14:textId="77777777" w:rsidR="00421D81" w:rsidRPr="008153DB" w:rsidRDefault="00421D81" w:rsidP="00F51BBE">
            <w:pPr>
              <w:jc w:val="center"/>
            </w:pPr>
          </w:p>
        </w:tc>
        <w:tc>
          <w:tcPr>
            <w:tcW w:w="992" w:type="dxa"/>
            <w:tcBorders>
              <w:top w:val="nil"/>
              <w:left w:val="nil"/>
              <w:bottom w:val="nil"/>
              <w:right w:val="nil"/>
            </w:tcBorders>
            <w:shd w:val="clear" w:color="auto" w:fill="auto"/>
            <w:noWrap/>
            <w:vAlign w:val="bottom"/>
            <w:hideMark/>
          </w:tcPr>
          <w:p w14:paraId="0456EA4A" w14:textId="77777777" w:rsidR="00421D81" w:rsidRPr="008153DB" w:rsidRDefault="00421D81" w:rsidP="00F51BBE"/>
        </w:tc>
      </w:tr>
      <w:tr w:rsidR="00421D81" w14:paraId="08D09EF6" w14:textId="77777777" w:rsidTr="00F51BBE">
        <w:trPr>
          <w:trHeight w:val="360"/>
        </w:trPr>
        <w:tc>
          <w:tcPr>
            <w:tcW w:w="4108" w:type="dxa"/>
            <w:gridSpan w:val="2"/>
            <w:tcBorders>
              <w:top w:val="single" w:sz="8" w:space="0" w:color="auto"/>
              <w:left w:val="single" w:sz="8" w:space="0" w:color="auto"/>
              <w:bottom w:val="nil"/>
              <w:right w:val="nil"/>
            </w:tcBorders>
            <w:shd w:val="clear" w:color="auto" w:fill="auto"/>
            <w:noWrap/>
            <w:vAlign w:val="bottom"/>
            <w:hideMark/>
          </w:tcPr>
          <w:p w14:paraId="21875072" w14:textId="77777777" w:rsidR="00421D81" w:rsidRPr="008153DB" w:rsidRDefault="00421D81" w:rsidP="00F51BBE">
            <w:pPr>
              <w:rPr>
                <w:b/>
                <w:bCs/>
                <w:sz w:val="24"/>
                <w:szCs w:val="24"/>
              </w:rPr>
            </w:pPr>
            <w:r w:rsidRPr="008153DB">
              <w:rPr>
                <w:b/>
                <w:bCs/>
              </w:rPr>
              <w:t xml:space="preserve"> BUILDING SOCIETIES</w:t>
            </w:r>
          </w:p>
        </w:tc>
        <w:tc>
          <w:tcPr>
            <w:tcW w:w="2816" w:type="dxa"/>
            <w:gridSpan w:val="4"/>
            <w:tcBorders>
              <w:top w:val="single" w:sz="8" w:space="0" w:color="auto"/>
              <w:left w:val="single" w:sz="8" w:space="0" w:color="auto"/>
              <w:bottom w:val="nil"/>
              <w:right w:val="single" w:sz="8" w:space="0" w:color="000000"/>
            </w:tcBorders>
            <w:shd w:val="clear" w:color="auto" w:fill="auto"/>
            <w:noWrap/>
            <w:vAlign w:val="bottom"/>
            <w:hideMark/>
          </w:tcPr>
          <w:p w14:paraId="5F25DA89" w14:textId="77777777" w:rsidR="00421D81" w:rsidRPr="008153DB" w:rsidRDefault="00421D81" w:rsidP="00F51BBE">
            <w:pPr>
              <w:jc w:val="center"/>
              <w:rPr>
                <w:b/>
                <w:bCs/>
                <w:sz w:val="16"/>
                <w:szCs w:val="16"/>
              </w:rPr>
            </w:pPr>
            <w:r>
              <w:rPr>
                <w:b/>
                <w:bCs/>
                <w:sz w:val="16"/>
                <w:szCs w:val="16"/>
              </w:rPr>
              <w:t>FITCH</w:t>
            </w:r>
            <w:r w:rsidRPr="008153DB">
              <w:rPr>
                <w:b/>
                <w:bCs/>
                <w:sz w:val="16"/>
                <w:szCs w:val="16"/>
              </w:rPr>
              <w:t xml:space="preserve"> RATING</w:t>
            </w:r>
          </w:p>
        </w:tc>
        <w:tc>
          <w:tcPr>
            <w:tcW w:w="1016" w:type="dxa"/>
            <w:tcBorders>
              <w:top w:val="nil"/>
              <w:left w:val="nil"/>
              <w:bottom w:val="nil"/>
              <w:right w:val="nil"/>
            </w:tcBorders>
            <w:shd w:val="clear" w:color="auto" w:fill="auto"/>
            <w:noWrap/>
            <w:vAlign w:val="bottom"/>
            <w:hideMark/>
          </w:tcPr>
          <w:p w14:paraId="4A3DB1A8" w14:textId="77777777" w:rsidR="00421D81" w:rsidRPr="008153DB" w:rsidRDefault="00421D81" w:rsidP="00F51BBE">
            <w:pPr>
              <w:jc w:val="center"/>
              <w:rPr>
                <w:b/>
                <w:bCs/>
                <w:sz w:val="16"/>
                <w:szCs w:val="16"/>
              </w:rPr>
            </w:pPr>
            <w:r w:rsidRPr="008153DB">
              <w:rPr>
                <w:b/>
                <w:bCs/>
                <w:sz w:val="16"/>
                <w:szCs w:val="16"/>
              </w:rPr>
              <w:t>LIMIT</w:t>
            </w:r>
          </w:p>
        </w:tc>
        <w:tc>
          <w:tcPr>
            <w:tcW w:w="1175" w:type="dxa"/>
            <w:tcBorders>
              <w:top w:val="nil"/>
              <w:left w:val="nil"/>
              <w:bottom w:val="nil"/>
              <w:right w:val="single" w:sz="8" w:space="0" w:color="auto"/>
            </w:tcBorders>
            <w:shd w:val="clear" w:color="auto" w:fill="auto"/>
            <w:noWrap/>
            <w:vAlign w:val="bottom"/>
            <w:hideMark/>
          </w:tcPr>
          <w:p w14:paraId="3BD5457C" w14:textId="77777777" w:rsidR="00421D81" w:rsidRPr="008153DB" w:rsidRDefault="00421D81" w:rsidP="00F51BBE">
            <w:pPr>
              <w:jc w:val="center"/>
            </w:pPr>
          </w:p>
        </w:tc>
        <w:tc>
          <w:tcPr>
            <w:tcW w:w="992" w:type="dxa"/>
            <w:tcBorders>
              <w:top w:val="nil"/>
              <w:left w:val="nil"/>
              <w:bottom w:val="nil"/>
              <w:right w:val="nil"/>
            </w:tcBorders>
            <w:shd w:val="clear" w:color="auto" w:fill="auto"/>
            <w:noWrap/>
            <w:vAlign w:val="bottom"/>
            <w:hideMark/>
          </w:tcPr>
          <w:p w14:paraId="7FD77C83" w14:textId="77777777" w:rsidR="00421D81" w:rsidRPr="008153DB" w:rsidRDefault="00421D81" w:rsidP="00F51BBE"/>
        </w:tc>
      </w:tr>
      <w:tr w:rsidR="00421D81" w14:paraId="2EDF396F" w14:textId="77777777" w:rsidTr="00F51BBE">
        <w:trPr>
          <w:trHeight w:val="270"/>
        </w:trPr>
        <w:tc>
          <w:tcPr>
            <w:tcW w:w="280" w:type="dxa"/>
            <w:tcBorders>
              <w:top w:val="nil"/>
              <w:left w:val="single" w:sz="8" w:space="0" w:color="auto"/>
              <w:bottom w:val="single" w:sz="8" w:space="0" w:color="auto"/>
              <w:right w:val="nil"/>
            </w:tcBorders>
            <w:shd w:val="clear" w:color="auto" w:fill="auto"/>
            <w:noWrap/>
            <w:vAlign w:val="bottom"/>
            <w:hideMark/>
          </w:tcPr>
          <w:p w14:paraId="466EF019" w14:textId="77777777" w:rsidR="00421D81" w:rsidRDefault="00421D81" w:rsidP="00F51BBE">
            <w:r>
              <w:t> </w:t>
            </w:r>
          </w:p>
        </w:tc>
        <w:tc>
          <w:tcPr>
            <w:tcW w:w="3828" w:type="dxa"/>
            <w:tcBorders>
              <w:top w:val="nil"/>
              <w:left w:val="nil"/>
              <w:bottom w:val="single" w:sz="8" w:space="0" w:color="auto"/>
              <w:right w:val="nil"/>
            </w:tcBorders>
            <w:shd w:val="clear" w:color="auto" w:fill="auto"/>
            <w:noWrap/>
            <w:vAlign w:val="bottom"/>
            <w:hideMark/>
          </w:tcPr>
          <w:p w14:paraId="28FDD9C8" w14:textId="77777777" w:rsidR="00421D81" w:rsidRPr="008153DB" w:rsidRDefault="00421D81" w:rsidP="00F51BBE">
            <w:r w:rsidRPr="008153DB">
              <w:t> </w:t>
            </w:r>
          </w:p>
        </w:tc>
        <w:tc>
          <w:tcPr>
            <w:tcW w:w="785" w:type="dxa"/>
            <w:tcBorders>
              <w:top w:val="nil"/>
              <w:left w:val="single" w:sz="8" w:space="0" w:color="auto"/>
              <w:bottom w:val="single" w:sz="8" w:space="0" w:color="auto"/>
              <w:right w:val="nil"/>
            </w:tcBorders>
            <w:shd w:val="clear" w:color="auto" w:fill="auto"/>
            <w:noWrap/>
            <w:vAlign w:val="bottom"/>
            <w:hideMark/>
          </w:tcPr>
          <w:p w14:paraId="2D989A4F" w14:textId="77777777" w:rsidR="00421D81" w:rsidRPr="008153DB" w:rsidRDefault="00421D81" w:rsidP="00F51BBE">
            <w:pPr>
              <w:jc w:val="right"/>
              <w:rPr>
                <w:b/>
                <w:bCs/>
              </w:rPr>
            </w:pPr>
            <w:r w:rsidRPr="008153DB">
              <w:rPr>
                <w:b/>
                <w:bCs/>
              </w:rPr>
              <w:t>L/T</w:t>
            </w:r>
          </w:p>
        </w:tc>
        <w:tc>
          <w:tcPr>
            <w:tcW w:w="602" w:type="dxa"/>
            <w:tcBorders>
              <w:top w:val="nil"/>
              <w:left w:val="nil"/>
              <w:bottom w:val="single" w:sz="8" w:space="0" w:color="auto"/>
              <w:right w:val="nil"/>
            </w:tcBorders>
            <w:shd w:val="clear" w:color="auto" w:fill="auto"/>
            <w:noWrap/>
            <w:vAlign w:val="bottom"/>
            <w:hideMark/>
          </w:tcPr>
          <w:p w14:paraId="52649B92" w14:textId="77777777" w:rsidR="00421D81" w:rsidRPr="008153DB" w:rsidRDefault="00421D81" w:rsidP="00F51BBE">
            <w:pPr>
              <w:jc w:val="right"/>
              <w:rPr>
                <w:b/>
                <w:bCs/>
              </w:rPr>
            </w:pPr>
            <w:r w:rsidRPr="008153DB">
              <w:rPr>
                <w:b/>
                <w:bCs/>
              </w:rPr>
              <w:t>S/T</w:t>
            </w:r>
          </w:p>
        </w:tc>
        <w:tc>
          <w:tcPr>
            <w:tcW w:w="712" w:type="dxa"/>
            <w:tcBorders>
              <w:top w:val="nil"/>
              <w:left w:val="nil"/>
              <w:bottom w:val="single" w:sz="8" w:space="0" w:color="auto"/>
              <w:right w:val="nil"/>
            </w:tcBorders>
            <w:shd w:val="clear" w:color="auto" w:fill="auto"/>
            <w:noWrap/>
            <w:vAlign w:val="bottom"/>
            <w:hideMark/>
          </w:tcPr>
          <w:p w14:paraId="78B105D4" w14:textId="77777777" w:rsidR="00421D81" w:rsidRPr="008153DB" w:rsidRDefault="00421D81" w:rsidP="00F51BBE">
            <w:pPr>
              <w:jc w:val="center"/>
              <w:rPr>
                <w:b/>
                <w:bCs/>
                <w:sz w:val="18"/>
                <w:szCs w:val="18"/>
              </w:rPr>
            </w:pPr>
            <w:r w:rsidRPr="008153DB">
              <w:rPr>
                <w:b/>
                <w:bCs/>
                <w:sz w:val="18"/>
                <w:szCs w:val="18"/>
              </w:rPr>
              <w:t>Viab</w:t>
            </w:r>
          </w:p>
        </w:tc>
        <w:tc>
          <w:tcPr>
            <w:tcW w:w="717" w:type="dxa"/>
            <w:tcBorders>
              <w:top w:val="nil"/>
              <w:left w:val="nil"/>
              <w:bottom w:val="single" w:sz="8" w:space="0" w:color="auto"/>
              <w:right w:val="single" w:sz="8" w:space="0" w:color="auto"/>
            </w:tcBorders>
            <w:shd w:val="clear" w:color="auto" w:fill="auto"/>
            <w:noWrap/>
            <w:vAlign w:val="bottom"/>
            <w:hideMark/>
          </w:tcPr>
          <w:p w14:paraId="3A399565" w14:textId="77777777" w:rsidR="00421D81" w:rsidRPr="008153DB" w:rsidRDefault="00421D81" w:rsidP="00F51BBE">
            <w:pPr>
              <w:jc w:val="right"/>
              <w:rPr>
                <w:b/>
                <w:bCs/>
              </w:rPr>
            </w:pPr>
            <w:r w:rsidRPr="008153DB">
              <w:rPr>
                <w:b/>
                <w:bCs/>
              </w:rPr>
              <w:t>Sup</w:t>
            </w:r>
          </w:p>
        </w:tc>
        <w:tc>
          <w:tcPr>
            <w:tcW w:w="1016" w:type="dxa"/>
            <w:tcBorders>
              <w:top w:val="nil"/>
              <w:left w:val="nil"/>
              <w:bottom w:val="single" w:sz="8" w:space="0" w:color="auto"/>
              <w:right w:val="nil"/>
            </w:tcBorders>
            <w:shd w:val="clear" w:color="auto" w:fill="auto"/>
            <w:noWrap/>
            <w:vAlign w:val="bottom"/>
            <w:hideMark/>
          </w:tcPr>
          <w:p w14:paraId="4E251570" w14:textId="77777777" w:rsidR="00421D81" w:rsidRPr="008153DB" w:rsidRDefault="00421D81" w:rsidP="00F51BBE">
            <w:pPr>
              <w:jc w:val="center"/>
              <w:rPr>
                <w:b/>
                <w:bCs/>
              </w:rPr>
            </w:pPr>
            <w:r>
              <w:rPr>
                <w:b/>
                <w:bCs/>
              </w:rPr>
              <w:t>£m</w:t>
            </w:r>
          </w:p>
        </w:tc>
        <w:tc>
          <w:tcPr>
            <w:tcW w:w="1175" w:type="dxa"/>
            <w:tcBorders>
              <w:top w:val="nil"/>
              <w:left w:val="nil"/>
              <w:bottom w:val="single" w:sz="8" w:space="0" w:color="auto"/>
              <w:right w:val="single" w:sz="8" w:space="0" w:color="auto"/>
            </w:tcBorders>
            <w:shd w:val="clear" w:color="auto" w:fill="auto"/>
            <w:noWrap/>
            <w:vAlign w:val="bottom"/>
            <w:hideMark/>
          </w:tcPr>
          <w:p w14:paraId="7FB44A0B" w14:textId="77777777" w:rsidR="00421D81" w:rsidRPr="008153DB" w:rsidRDefault="00421D81" w:rsidP="00F51BBE">
            <w:pPr>
              <w:jc w:val="center"/>
              <w:rPr>
                <w:b/>
                <w:bCs/>
                <w:sz w:val="16"/>
                <w:szCs w:val="16"/>
              </w:rPr>
            </w:pPr>
            <w:r w:rsidRPr="008153DB">
              <w:rPr>
                <w:b/>
                <w:bCs/>
                <w:sz w:val="16"/>
                <w:szCs w:val="16"/>
              </w:rPr>
              <w:t>PERIOD</w:t>
            </w:r>
          </w:p>
        </w:tc>
        <w:tc>
          <w:tcPr>
            <w:tcW w:w="992" w:type="dxa"/>
            <w:tcBorders>
              <w:top w:val="nil"/>
              <w:left w:val="nil"/>
              <w:bottom w:val="nil"/>
              <w:right w:val="nil"/>
            </w:tcBorders>
            <w:shd w:val="clear" w:color="auto" w:fill="auto"/>
            <w:noWrap/>
            <w:vAlign w:val="bottom"/>
            <w:hideMark/>
          </w:tcPr>
          <w:p w14:paraId="42897877" w14:textId="77777777" w:rsidR="00421D81" w:rsidRPr="008153DB" w:rsidRDefault="00421D81" w:rsidP="00F51BBE"/>
        </w:tc>
      </w:tr>
      <w:tr w:rsidR="00421D81" w14:paraId="2F05C090" w14:textId="77777777" w:rsidTr="00F51BBE">
        <w:trPr>
          <w:trHeight w:val="255"/>
        </w:trPr>
        <w:tc>
          <w:tcPr>
            <w:tcW w:w="280" w:type="dxa"/>
            <w:tcBorders>
              <w:top w:val="nil"/>
              <w:left w:val="single" w:sz="8" w:space="0" w:color="auto"/>
              <w:right w:val="nil"/>
            </w:tcBorders>
            <w:shd w:val="clear" w:color="auto" w:fill="auto"/>
            <w:noWrap/>
            <w:vAlign w:val="bottom"/>
            <w:hideMark/>
          </w:tcPr>
          <w:p w14:paraId="44AB26C0" w14:textId="77777777" w:rsidR="00421D81" w:rsidRDefault="00421D81" w:rsidP="00F51BBE">
            <w:r>
              <w:t> </w:t>
            </w:r>
          </w:p>
        </w:tc>
        <w:tc>
          <w:tcPr>
            <w:tcW w:w="3828" w:type="dxa"/>
            <w:tcBorders>
              <w:top w:val="nil"/>
              <w:left w:val="nil"/>
              <w:right w:val="nil"/>
            </w:tcBorders>
            <w:shd w:val="clear" w:color="auto" w:fill="auto"/>
            <w:noWrap/>
            <w:vAlign w:val="bottom"/>
            <w:hideMark/>
          </w:tcPr>
          <w:p w14:paraId="74FA5BE7" w14:textId="77777777" w:rsidR="00421D81" w:rsidRPr="008153DB" w:rsidRDefault="00421D81" w:rsidP="00F51BBE">
            <w:r w:rsidRPr="008153DB">
              <w:t xml:space="preserve">Nationwide </w:t>
            </w:r>
          </w:p>
        </w:tc>
        <w:tc>
          <w:tcPr>
            <w:tcW w:w="785" w:type="dxa"/>
            <w:tcBorders>
              <w:top w:val="nil"/>
              <w:left w:val="single" w:sz="8" w:space="0" w:color="auto"/>
              <w:right w:val="nil"/>
            </w:tcBorders>
            <w:shd w:val="clear" w:color="auto" w:fill="auto"/>
            <w:noWrap/>
            <w:vAlign w:val="bottom"/>
            <w:hideMark/>
          </w:tcPr>
          <w:p w14:paraId="43A4AA0C" w14:textId="77777777" w:rsidR="00421D81" w:rsidRPr="008153DB" w:rsidRDefault="00421D81" w:rsidP="00F51BBE">
            <w:r w:rsidRPr="008153DB">
              <w:t>A</w:t>
            </w:r>
          </w:p>
        </w:tc>
        <w:tc>
          <w:tcPr>
            <w:tcW w:w="602" w:type="dxa"/>
            <w:tcBorders>
              <w:top w:val="nil"/>
              <w:left w:val="nil"/>
              <w:right w:val="nil"/>
            </w:tcBorders>
            <w:shd w:val="clear" w:color="auto" w:fill="auto"/>
            <w:noWrap/>
            <w:vAlign w:val="bottom"/>
            <w:hideMark/>
          </w:tcPr>
          <w:p w14:paraId="1F1C7563" w14:textId="77777777" w:rsidR="00421D81" w:rsidRPr="008153DB" w:rsidRDefault="00421D81" w:rsidP="00F51BBE">
            <w:r w:rsidRPr="008153DB">
              <w:t>F1</w:t>
            </w:r>
          </w:p>
        </w:tc>
        <w:tc>
          <w:tcPr>
            <w:tcW w:w="712" w:type="dxa"/>
            <w:tcBorders>
              <w:top w:val="nil"/>
              <w:left w:val="nil"/>
              <w:right w:val="nil"/>
            </w:tcBorders>
            <w:shd w:val="clear" w:color="auto" w:fill="auto"/>
            <w:noWrap/>
            <w:vAlign w:val="bottom"/>
            <w:hideMark/>
          </w:tcPr>
          <w:p w14:paraId="21D02771" w14:textId="77777777" w:rsidR="00421D81" w:rsidRPr="008153DB" w:rsidRDefault="00421D81" w:rsidP="00F51BBE">
            <w:r w:rsidRPr="008153DB">
              <w:t>a</w:t>
            </w:r>
          </w:p>
        </w:tc>
        <w:tc>
          <w:tcPr>
            <w:tcW w:w="717" w:type="dxa"/>
            <w:tcBorders>
              <w:top w:val="nil"/>
              <w:left w:val="nil"/>
              <w:right w:val="single" w:sz="8" w:space="0" w:color="auto"/>
            </w:tcBorders>
            <w:shd w:val="clear" w:color="auto" w:fill="auto"/>
            <w:noWrap/>
            <w:vAlign w:val="bottom"/>
            <w:hideMark/>
          </w:tcPr>
          <w:p w14:paraId="4985D0AC" w14:textId="77777777" w:rsidR="00421D81" w:rsidRPr="008153DB" w:rsidRDefault="00421D81" w:rsidP="00F51BBE">
            <w:pPr>
              <w:jc w:val="right"/>
            </w:pPr>
            <w:r>
              <w:t>5</w:t>
            </w:r>
          </w:p>
        </w:tc>
        <w:tc>
          <w:tcPr>
            <w:tcW w:w="1016" w:type="dxa"/>
            <w:tcBorders>
              <w:top w:val="nil"/>
              <w:left w:val="nil"/>
              <w:right w:val="nil"/>
            </w:tcBorders>
            <w:shd w:val="clear" w:color="auto" w:fill="auto"/>
            <w:noWrap/>
            <w:vAlign w:val="bottom"/>
            <w:hideMark/>
          </w:tcPr>
          <w:p w14:paraId="2DA34049" w14:textId="77777777" w:rsidR="00421D81" w:rsidRPr="008153DB" w:rsidRDefault="00421D81" w:rsidP="00F51BBE">
            <w:pPr>
              <w:jc w:val="center"/>
            </w:pPr>
            <w:r>
              <w:t>30</w:t>
            </w:r>
          </w:p>
        </w:tc>
        <w:tc>
          <w:tcPr>
            <w:tcW w:w="1175" w:type="dxa"/>
            <w:tcBorders>
              <w:top w:val="nil"/>
              <w:left w:val="nil"/>
              <w:right w:val="single" w:sz="8" w:space="0" w:color="auto"/>
            </w:tcBorders>
            <w:shd w:val="clear" w:color="auto" w:fill="auto"/>
            <w:noWrap/>
            <w:vAlign w:val="bottom"/>
            <w:hideMark/>
          </w:tcPr>
          <w:p w14:paraId="6AE5F647" w14:textId="77777777" w:rsidR="00421D81" w:rsidRPr="008153DB" w:rsidRDefault="00421D81" w:rsidP="00F51BBE">
            <w:pPr>
              <w:jc w:val="center"/>
            </w:pPr>
            <w:r>
              <w:t>6</w:t>
            </w:r>
            <w:r w:rsidRPr="008153DB">
              <w:t>mth</w:t>
            </w:r>
          </w:p>
        </w:tc>
        <w:tc>
          <w:tcPr>
            <w:tcW w:w="992" w:type="dxa"/>
            <w:tcBorders>
              <w:top w:val="nil"/>
              <w:left w:val="nil"/>
              <w:bottom w:val="nil"/>
              <w:right w:val="nil"/>
            </w:tcBorders>
            <w:shd w:val="clear" w:color="auto" w:fill="auto"/>
            <w:noWrap/>
            <w:vAlign w:val="bottom"/>
            <w:hideMark/>
          </w:tcPr>
          <w:p w14:paraId="1325DFC2" w14:textId="77777777" w:rsidR="00421D81" w:rsidRPr="008153DB" w:rsidRDefault="00421D81" w:rsidP="00F51BBE"/>
        </w:tc>
      </w:tr>
      <w:tr w:rsidR="00421D81" w14:paraId="66E2C88D" w14:textId="77777777" w:rsidTr="00F51BBE">
        <w:trPr>
          <w:trHeight w:val="255"/>
        </w:trPr>
        <w:tc>
          <w:tcPr>
            <w:tcW w:w="280" w:type="dxa"/>
            <w:tcBorders>
              <w:top w:val="nil"/>
              <w:left w:val="single" w:sz="8" w:space="0" w:color="auto"/>
              <w:right w:val="nil"/>
            </w:tcBorders>
            <w:shd w:val="clear" w:color="auto" w:fill="auto"/>
            <w:noWrap/>
            <w:vAlign w:val="bottom"/>
          </w:tcPr>
          <w:p w14:paraId="0AB918CD" w14:textId="77777777" w:rsidR="00421D81" w:rsidRDefault="00421D81" w:rsidP="00F51BBE"/>
        </w:tc>
        <w:tc>
          <w:tcPr>
            <w:tcW w:w="3828" w:type="dxa"/>
            <w:tcBorders>
              <w:top w:val="nil"/>
              <w:left w:val="nil"/>
              <w:right w:val="nil"/>
            </w:tcBorders>
            <w:shd w:val="clear" w:color="auto" w:fill="auto"/>
            <w:noWrap/>
            <w:vAlign w:val="bottom"/>
          </w:tcPr>
          <w:p w14:paraId="79F924B2" w14:textId="77777777" w:rsidR="00421D81" w:rsidRPr="008153DB" w:rsidRDefault="00421D81" w:rsidP="00F51BBE">
            <w:r>
              <w:t>Leeds</w:t>
            </w:r>
          </w:p>
        </w:tc>
        <w:tc>
          <w:tcPr>
            <w:tcW w:w="785" w:type="dxa"/>
            <w:tcBorders>
              <w:top w:val="nil"/>
              <w:left w:val="single" w:sz="8" w:space="0" w:color="auto"/>
              <w:right w:val="nil"/>
            </w:tcBorders>
            <w:shd w:val="clear" w:color="auto" w:fill="auto"/>
            <w:noWrap/>
            <w:vAlign w:val="bottom"/>
          </w:tcPr>
          <w:p w14:paraId="6601B1A7" w14:textId="77777777" w:rsidR="00421D81" w:rsidRPr="008153DB" w:rsidRDefault="00421D81" w:rsidP="00F51BBE">
            <w:r>
              <w:t>A-</w:t>
            </w:r>
          </w:p>
        </w:tc>
        <w:tc>
          <w:tcPr>
            <w:tcW w:w="602" w:type="dxa"/>
            <w:tcBorders>
              <w:top w:val="nil"/>
              <w:left w:val="nil"/>
              <w:right w:val="nil"/>
            </w:tcBorders>
            <w:shd w:val="clear" w:color="auto" w:fill="auto"/>
            <w:noWrap/>
            <w:vAlign w:val="bottom"/>
          </w:tcPr>
          <w:p w14:paraId="6A095092" w14:textId="77777777" w:rsidR="00421D81" w:rsidRPr="008153DB" w:rsidRDefault="00421D81" w:rsidP="00F51BBE">
            <w:r>
              <w:t>F1</w:t>
            </w:r>
          </w:p>
        </w:tc>
        <w:tc>
          <w:tcPr>
            <w:tcW w:w="712" w:type="dxa"/>
            <w:tcBorders>
              <w:top w:val="nil"/>
              <w:left w:val="nil"/>
              <w:right w:val="nil"/>
            </w:tcBorders>
            <w:shd w:val="clear" w:color="auto" w:fill="auto"/>
            <w:noWrap/>
            <w:vAlign w:val="bottom"/>
          </w:tcPr>
          <w:p w14:paraId="0264E961" w14:textId="77777777" w:rsidR="00421D81" w:rsidRPr="008153DB" w:rsidRDefault="00421D81" w:rsidP="00F51BBE">
            <w:r>
              <w:t>a-</w:t>
            </w:r>
          </w:p>
        </w:tc>
        <w:tc>
          <w:tcPr>
            <w:tcW w:w="717" w:type="dxa"/>
            <w:tcBorders>
              <w:top w:val="nil"/>
              <w:left w:val="nil"/>
              <w:right w:val="single" w:sz="8" w:space="0" w:color="auto"/>
            </w:tcBorders>
            <w:shd w:val="clear" w:color="auto" w:fill="auto"/>
            <w:noWrap/>
            <w:vAlign w:val="bottom"/>
          </w:tcPr>
          <w:p w14:paraId="7459D6C6" w14:textId="77777777" w:rsidR="00421D81" w:rsidRPr="008153DB" w:rsidRDefault="00421D81" w:rsidP="00F51BBE">
            <w:pPr>
              <w:jc w:val="right"/>
            </w:pPr>
            <w:r>
              <w:t>5</w:t>
            </w:r>
          </w:p>
        </w:tc>
        <w:tc>
          <w:tcPr>
            <w:tcW w:w="1016" w:type="dxa"/>
            <w:tcBorders>
              <w:top w:val="nil"/>
              <w:left w:val="nil"/>
              <w:right w:val="nil"/>
            </w:tcBorders>
            <w:shd w:val="clear" w:color="auto" w:fill="auto"/>
            <w:noWrap/>
            <w:vAlign w:val="bottom"/>
          </w:tcPr>
          <w:p w14:paraId="35914E0A" w14:textId="77777777" w:rsidR="00421D81" w:rsidRPr="008153DB" w:rsidRDefault="00421D81" w:rsidP="00F51BBE">
            <w:pPr>
              <w:jc w:val="center"/>
            </w:pPr>
            <w:r>
              <w:t>30</w:t>
            </w:r>
          </w:p>
        </w:tc>
        <w:tc>
          <w:tcPr>
            <w:tcW w:w="1175" w:type="dxa"/>
            <w:tcBorders>
              <w:top w:val="nil"/>
              <w:left w:val="nil"/>
              <w:right w:val="single" w:sz="8" w:space="0" w:color="auto"/>
            </w:tcBorders>
            <w:shd w:val="clear" w:color="auto" w:fill="auto"/>
            <w:noWrap/>
            <w:vAlign w:val="bottom"/>
          </w:tcPr>
          <w:p w14:paraId="226B939A" w14:textId="77777777" w:rsidR="00421D81" w:rsidRDefault="00421D81" w:rsidP="00F51BBE">
            <w:pPr>
              <w:jc w:val="center"/>
            </w:pPr>
            <w:r>
              <w:t>100 days</w:t>
            </w:r>
          </w:p>
        </w:tc>
        <w:tc>
          <w:tcPr>
            <w:tcW w:w="992" w:type="dxa"/>
            <w:tcBorders>
              <w:top w:val="nil"/>
              <w:left w:val="nil"/>
              <w:bottom w:val="nil"/>
              <w:right w:val="nil"/>
            </w:tcBorders>
            <w:shd w:val="clear" w:color="auto" w:fill="auto"/>
            <w:noWrap/>
            <w:vAlign w:val="bottom"/>
          </w:tcPr>
          <w:p w14:paraId="140A36BE" w14:textId="77777777" w:rsidR="00421D81" w:rsidRPr="008153DB" w:rsidRDefault="00421D81" w:rsidP="00F51BBE"/>
        </w:tc>
      </w:tr>
      <w:tr w:rsidR="00421D81" w14:paraId="101E9FC4" w14:textId="77777777" w:rsidTr="00F51BBE">
        <w:trPr>
          <w:trHeight w:val="255"/>
        </w:trPr>
        <w:tc>
          <w:tcPr>
            <w:tcW w:w="280" w:type="dxa"/>
            <w:tcBorders>
              <w:top w:val="nil"/>
              <w:left w:val="single" w:sz="8" w:space="0" w:color="auto"/>
              <w:right w:val="nil"/>
            </w:tcBorders>
            <w:shd w:val="clear" w:color="auto" w:fill="auto"/>
            <w:noWrap/>
            <w:vAlign w:val="bottom"/>
          </w:tcPr>
          <w:p w14:paraId="2534A589" w14:textId="77777777" w:rsidR="00421D81" w:rsidRDefault="00421D81" w:rsidP="00F51BBE"/>
        </w:tc>
        <w:tc>
          <w:tcPr>
            <w:tcW w:w="3828" w:type="dxa"/>
            <w:tcBorders>
              <w:top w:val="nil"/>
              <w:left w:val="nil"/>
              <w:right w:val="nil"/>
            </w:tcBorders>
            <w:shd w:val="clear" w:color="auto" w:fill="auto"/>
            <w:noWrap/>
            <w:vAlign w:val="bottom"/>
          </w:tcPr>
          <w:p w14:paraId="6FBF4A37" w14:textId="77777777" w:rsidR="00421D81" w:rsidRDefault="00421D81" w:rsidP="00F51BBE">
            <w:r>
              <w:t>Skipton</w:t>
            </w:r>
          </w:p>
        </w:tc>
        <w:tc>
          <w:tcPr>
            <w:tcW w:w="785" w:type="dxa"/>
            <w:tcBorders>
              <w:top w:val="nil"/>
              <w:left w:val="single" w:sz="8" w:space="0" w:color="auto"/>
              <w:right w:val="nil"/>
            </w:tcBorders>
            <w:shd w:val="clear" w:color="auto" w:fill="auto"/>
            <w:noWrap/>
            <w:vAlign w:val="bottom"/>
          </w:tcPr>
          <w:p w14:paraId="188F0AD5" w14:textId="77777777" w:rsidR="00421D81" w:rsidRDefault="00421D81" w:rsidP="00F51BBE">
            <w:r>
              <w:t>A-</w:t>
            </w:r>
          </w:p>
        </w:tc>
        <w:tc>
          <w:tcPr>
            <w:tcW w:w="602" w:type="dxa"/>
            <w:tcBorders>
              <w:top w:val="nil"/>
              <w:left w:val="nil"/>
              <w:right w:val="nil"/>
            </w:tcBorders>
            <w:shd w:val="clear" w:color="auto" w:fill="auto"/>
            <w:noWrap/>
            <w:vAlign w:val="bottom"/>
          </w:tcPr>
          <w:p w14:paraId="429F41C1" w14:textId="77777777" w:rsidR="00421D81" w:rsidRDefault="00421D81" w:rsidP="00F51BBE">
            <w:r>
              <w:t>F1</w:t>
            </w:r>
          </w:p>
        </w:tc>
        <w:tc>
          <w:tcPr>
            <w:tcW w:w="712" w:type="dxa"/>
            <w:tcBorders>
              <w:top w:val="nil"/>
              <w:left w:val="nil"/>
              <w:right w:val="nil"/>
            </w:tcBorders>
            <w:shd w:val="clear" w:color="auto" w:fill="auto"/>
            <w:noWrap/>
            <w:vAlign w:val="bottom"/>
          </w:tcPr>
          <w:p w14:paraId="72AA61AD" w14:textId="77777777" w:rsidR="00421D81" w:rsidRDefault="00421D81" w:rsidP="00F51BBE">
            <w:r>
              <w:t>a-</w:t>
            </w:r>
          </w:p>
        </w:tc>
        <w:tc>
          <w:tcPr>
            <w:tcW w:w="717" w:type="dxa"/>
            <w:tcBorders>
              <w:top w:val="nil"/>
              <w:left w:val="nil"/>
              <w:right w:val="single" w:sz="8" w:space="0" w:color="auto"/>
            </w:tcBorders>
            <w:shd w:val="clear" w:color="auto" w:fill="auto"/>
            <w:noWrap/>
            <w:vAlign w:val="bottom"/>
          </w:tcPr>
          <w:p w14:paraId="0D721E84" w14:textId="77777777" w:rsidR="00421D81" w:rsidRDefault="00421D81" w:rsidP="00F51BBE">
            <w:pPr>
              <w:jc w:val="right"/>
            </w:pPr>
            <w:r>
              <w:t>5</w:t>
            </w:r>
          </w:p>
        </w:tc>
        <w:tc>
          <w:tcPr>
            <w:tcW w:w="1016" w:type="dxa"/>
            <w:tcBorders>
              <w:top w:val="nil"/>
              <w:left w:val="nil"/>
              <w:right w:val="nil"/>
            </w:tcBorders>
            <w:shd w:val="clear" w:color="auto" w:fill="auto"/>
            <w:noWrap/>
            <w:vAlign w:val="bottom"/>
          </w:tcPr>
          <w:p w14:paraId="6E095A62" w14:textId="77777777" w:rsidR="00421D81" w:rsidRDefault="00421D81" w:rsidP="00F51BBE">
            <w:pPr>
              <w:jc w:val="center"/>
            </w:pPr>
            <w:r>
              <w:t>30</w:t>
            </w:r>
          </w:p>
        </w:tc>
        <w:tc>
          <w:tcPr>
            <w:tcW w:w="1175" w:type="dxa"/>
            <w:tcBorders>
              <w:top w:val="nil"/>
              <w:left w:val="nil"/>
              <w:right w:val="single" w:sz="8" w:space="0" w:color="auto"/>
            </w:tcBorders>
            <w:shd w:val="clear" w:color="auto" w:fill="auto"/>
            <w:noWrap/>
            <w:vAlign w:val="bottom"/>
          </w:tcPr>
          <w:p w14:paraId="77DD56C9" w14:textId="77777777" w:rsidR="00421D81" w:rsidRDefault="00421D81" w:rsidP="00F51BBE">
            <w:pPr>
              <w:jc w:val="center"/>
            </w:pPr>
            <w:r>
              <w:t>100 days</w:t>
            </w:r>
          </w:p>
        </w:tc>
        <w:tc>
          <w:tcPr>
            <w:tcW w:w="992" w:type="dxa"/>
            <w:tcBorders>
              <w:top w:val="nil"/>
              <w:left w:val="nil"/>
              <w:bottom w:val="nil"/>
              <w:right w:val="nil"/>
            </w:tcBorders>
            <w:shd w:val="clear" w:color="auto" w:fill="auto"/>
            <w:noWrap/>
            <w:vAlign w:val="bottom"/>
          </w:tcPr>
          <w:p w14:paraId="01576086" w14:textId="77777777" w:rsidR="00421D81" w:rsidRPr="008153DB" w:rsidRDefault="00421D81" w:rsidP="00F51BBE"/>
        </w:tc>
      </w:tr>
      <w:tr w:rsidR="00421D81" w14:paraId="500D5BD7" w14:textId="77777777" w:rsidTr="00F51BBE">
        <w:trPr>
          <w:trHeight w:val="255"/>
        </w:trPr>
        <w:tc>
          <w:tcPr>
            <w:tcW w:w="280" w:type="dxa"/>
            <w:tcBorders>
              <w:top w:val="nil"/>
              <w:left w:val="single" w:sz="8" w:space="0" w:color="auto"/>
              <w:right w:val="nil"/>
            </w:tcBorders>
            <w:shd w:val="clear" w:color="auto" w:fill="auto"/>
            <w:noWrap/>
            <w:vAlign w:val="bottom"/>
          </w:tcPr>
          <w:p w14:paraId="01E3E6B1" w14:textId="77777777" w:rsidR="00421D81" w:rsidRDefault="00421D81" w:rsidP="00F51BBE"/>
        </w:tc>
        <w:tc>
          <w:tcPr>
            <w:tcW w:w="3828" w:type="dxa"/>
            <w:tcBorders>
              <w:top w:val="nil"/>
              <w:left w:val="nil"/>
              <w:right w:val="nil"/>
            </w:tcBorders>
            <w:shd w:val="clear" w:color="auto" w:fill="auto"/>
            <w:noWrap/>
            <w:vAlign w:val="bottom"/>
          </w:tcPr>
          <w:p w14:paraId="1F15D408" w14:textId="77777777" w:rsidR="00421D81" w:rsidRDefault="00421D81" w:rsidP="00F51BBE">
            <w:r>
              <w:t>Yorkshire</w:t>
            </w:r>
          </w:p>
        </w:tc>
        <w:tc>
          <w:tcPr>
            <w:tcW w:w="785" w:type="dxa"/>
            <w:tcBorders>
              <w:top w:val="nil"/>
              <w:left w:val="single" w:sz="8" w:space="0" w:color="auto"/>
              <w:right w:val="nil"/>
            </w:tcBorders>
            <w:shd w:val="clear" w:color="auto" w:fill="auto"/>
            <w:noWrap/>
            <w:vAlign w:val="bottom"/>
          </w:tcPr>
          <w:p w14:paraId="2373E9D3" w14:textId="77777777" w:rsidR="00421D81" w:rsidRDefault="00421D81" w:rsidP="00F51BBE">
            <w:r>
              <w:t>A-</w:t>
            </w:r>
          </w:p>
        </w:tc>
        <w:tc>
          <w:tcPr>
            <w:tcW w:w="602" w:type="dxa"/>
            <w:tcBorders>
              <w:top w:val="nil"/>
              <w:left w:val="nil"/>
              <w:right w:val="nil"/>
            </w:tcBorders>
            <w:shd w:val="clear" w:color="auto" w:fill="auto"/>
            <w:noWrap/>
            <w:vAlign w:val="bottom"/>
          </w:tcPr>
          <w:p w14:paraId="30DE0B3F" w14:textId="77777777" w:rsidR="00421D81" w:rsidRDefault="00421D81" w:rsidP="00F51BBE">
            <w:r>
              <w:t>F1</w:t>
            </w:r>
          </w:p>
        </w:tc>
        <w:tc>
          <w:tcPr>
            <w:tcW w:w="712" w:type="dxa"/>
            <w:tcBorders>
              <w:top w:val="nil"/>
              <w:left w:val="nil"/>
              <w:right w:val="nil"/>
            </w:tcBorders>
            <w:shd w:val="clear" w:color="auto" w:fill="auto"/>
            <w:noWrap/>
            <w:vAlign w:val="bottom"/>
          </w:tcPr>
          <w:p w14:paraId="51624BEF" w14:textId="77777777" w:rsidR="00421D81" w:rsidRDefault="00421D81" w:rsidP="00F51BBE">
            <w:r>
              <w:t>a-</w:t>
            </w:r>
          </w:p>
        </w:tc>
        <w:tc>
          <w:tcPr>
            <w:tcW w:w="717" w:type="dxa"/>
            <w:tcBorders>
              <w:top w:val="nil"/>
              <w:left w:val="nil"/>
              <w:right w:val="single" w:sz="8" w:space="0" w:color="auto"/>
            </w:tcBorders>
            <w:shd w:val="clear" w:color="auto" w:fill="auto"/>
            <w:noWrap/>
            <w:vAlign w:val="bottom"/>
          </w:tcPr>
          <w:p w14:paraId="4308026D" w14:textId="77777777" w:rsidR="00421D81" w:rsidRDefault="00421D81" w:rsidP="00F51BBE">
            <w:pPr>
              <w:jc w:val="right"/>
            </w:pPr>
            <w:r>
              <w:t>5</w:t>
            </w:r>
          </w:p>
        </w:tc>
        <w:tc>
          <w:tcPr>
            <w:tcW w:w="1016" w:type="dxa"/>
            <w:tcBorders>
              <w:top w:val="nil"/>
              <w:left w:val="nil"/>
              <w:right w:val="nil"/>
            </w:tcBorders>
            <w:shd w:val="clear" w:color="auto" w:fill="auto"/>
            <w:noWrap/>
            <w:vAlign w:val="bottom"/>
          </w:tcPr>
          <w:p w14:paraId="2551F5A7" w14:textId="77777777" w:rsidR="00421D81" w:rsidRDefault="00421D81" w:rsidP="00F51BBE">
            <w:pPr>
              <w:jc w:val="center"/>
            </w:pPr>
            <w:r>
              <w:t>30</w:t>
            </w:r>
          </w:p>
        </w:tc>
        <w:tc>
          <w:tcPr>
            <w:tcW w:w="1175" w:type="dxa"/>
            <w:tcBorders>
              <w:top w:val="nil"/>
              <w:left w:val="nil"/>
              <w:right w:val="single" w:sz="8" w:space="0" w:color="auto"/>
            </w:tcBorders>
            <w:shd w:val="clear" w:color="auto" w:fill="auto"/>
            <w:noWrap/>
            <w:vAlign w:val="bottom"/>
          </w:tcPr>
          <w:p w14:paraId="5449CA47" w14:textId="77777777" w:rsidR="00421D81" w:rsidRDefault="00421D81" w:rsidP="00F51BBE">
            <w:r>
              <w:t>100 days</w:t>
            </w:r>
          </w:p>
        </w:tc>
        <w:tc>
          <w:tcPr>
            <w:tcW w:w="992" w:type="dxa"/>
            <w:tcBorders>
              <w:top w:val="nil"/>
              <w:left w:val="nil"/>
              <w:bottom w:val="nil"/>
              <w:right w:val="nil"/>
            </w:tcBorders>
            <w:shd w:val="clear" w:color="auto" w:fill="auto"/>
            <w:noWrap/>
            <w:vAlign w:val="bottom"/>
          </w:tcPr>
          <w:p w14:paraId="2DE1F1FE" w14:textId="77777777" w:rsidR="00421D81" w:rsidRPr="008153DB" w:rsidRDefault="00421D81" w:rsidP="00F51BBE"/>
        </w:tc>
      </w:tr>
      <w:tr w:rsidR="00421D81" w14:paraId="316F1EA6" w14:textId="77777777" w:rsidTr="00F51BBE">
        <w:trPr>
          <w:trHeight w:val="255"/>
        </w:trPr>
        <w:tc>
          <w:tcPr>
            <w:tcW w:w="280" w:type="dxa"/>
            <w:tcBorders>
              <w:top w:val="nil"/>
              <w:left w:val="single" w:sz="8" w:space="0" w:color="auto"/>
              <w:bottom w:val="single" w:sz="4" w:space="0" w:color="auto"/>
              <w:right w:val="nil"/>
            </w:tcBorders>
            <w:shd w:val="clear" w:color="auto" w:fill="auto"/>
            <w:noWrap/>
            <w:vAlign w:val="bottom"/>
            <w:hideMark/>
          </w:tcPr>
          <w:p w14:paraId="2B891448" w14:textId="77777777" w:rsidR="00421D81" w:rsidRDefault="00421D81" w:rsidP="00F51BBE">
            <w:r>
              <w:t> </w:t>
            </w:r>
          </w:p>
        </w:tc>
        <w:tc>
          <w:tcPr>
            <w:tcW w:w="3828" w:type="dxa"/>
            <w:tcBorders>
              <w:top w:val="nil"/>
              <w:left w:val="nil"/>
              <w:bottom w:val="single" w:sz="4" w:space="0" w:color="auto"/>
              <w:right w:val="nil"/>
            </w:tcBorders>
            <w:shd w:val="clear" w:color="auto" w:fill="auto"/>
            <w:noWrap/>
            <w:vAlign w:val="bottom"/>
            <w:hideMark/>
          </w:tcPr>
          <w:p w14:paraId="44DBEB71" w14:textId="77777777" w:rsidR="00421D81" w:rsidRPr="008153DB" w:rsidRDefault="00421D81" w:rsidP="00F51BBE">
            <w:r w:rsidRPr="008153DB">
              <w:t>Coventry</w:t>
            </w:r>
          </w:p>
        </w:tc>
        <w:tc>
          <w:tcPr>
            <w:tcW w:w="785" w:type="dxa"/>
            <w:tcBorders>
              <w:top w:val="nil"/>
              <w:left w:val="single" w:sz="8" w:space="0" w:color="auto"/>
              <w:bottom w:val="single" w:sz="4" w:space="0" w:color="auto"/>
              <w:right w:val="nil"/>
            </w:tcBorders>
            <w:shd w:val="clear" w:color="auto" w:fill="auto"/>
            <w:noWrap/>
            <w:vAlign w:val="bottom"/>
            <w:hideMark/>
          </w:tcPr>
          <w:p w14:paraId="43E42D5C" w14:textId="77777777" w:rsidR="00421D81" w:rsidRPr="008153DB" w:rsidRDefault="00421D81" w:rsidP="00F51BBE">
            <w:r w:rsidRPr="008153DB">
              <w:t>A</w:t>
            </w:r>
            <w:r>
              <w:t>-</w:t>
            </w:r>
          </w:p>
        </w:tc>
        <w:tc>
          <w:tcPr>
            <w:tcW w:w="602" w:type="dxa"/>
            <w:tcBorders>
              <w:top w:val="nil"/>
              <w:left w:val="nil"/>
              <w:bottom w:val="single" w:sz="4" w:space="0" w:color="auto"/>
              <w:right w:val="nil"/>
            </w:tcBorders>
            <w:shd w:val="clear" w:color="auto" w:fill="auto"/>
            <w:noWrap/>
            <w:vAlign w:val="bottom"/>
            <w:hideMark/>
          </w:tcPr>
          <w:p w14:paraId="23ACFE10" w14:textId="77777777" w:rsidR="00421D81" w:rsidRPr="008153DB" w:rsidRDefault="00421D81" w:rsidP="00F51BBE">
            <w:r w:rsidRPr="008153DB">
              <w:t>F1</w:t>
            </w:r>
          </w:p>
        </w:tc>
        <w:tc>
          <w:tcPr>
            <w:tcW w:w="712" w:type="dxa"/>
            <w:tcBorders>
              <w:top w:val="nil"/>
              <w:left w:val="nil"/>
              <w:bottom w:val="single" w:sz="4" w:space="0" w:color="auto"/>
              <w:right w:val="nil"/>
            </w:tcBorders>
            <w:shd w:val="clear" w:color="auto" w:fill="auto"/>
            <w:noWrap/>
            <w:vAlign w:val="bottom"/>
            <w:hideMark/>
          </w:tcPr>
          <w:p w14:paraId="3E9B64E9" w14:textId="77777777" w:rsidR="00421D81" w:rsidRPr="008153DB" w:rsidRDefault="00421D81" w:rsidP="00F51BBE">
            <w:r w:rsidRPr="008153DB">
              <w:t>a</w:t>
            </w:r>
            <w:r>
              <w:t>-</w:t>
            </w:r>
          </w:p>
        </w:tc>
        <w:tc>
          <w:tcPr>
            <w:tcW w:w="717" w:type="dxa"/>
            <w:tcBorders>
              <w:top w:val="nil"/>
              <w:left w:val="nil"/>
              <w:bottom w:val="single" w:sz="4" w:space="0" w:color="auto"/>
              <w:right w:val="single" w:sz="8" w:space="0" w:color="auto"/>
            </w:tcBorders>
            <w:shd w:val="clear" w:color="auto" w:fill="auto"/>
            <w:noWrap/>
            <w:vAlign w:val="bottom"/>
            <w:hideMark/>
          </w:tcPr>
          <w:p w14:paraId="6A7B01DA" w14:textId="77777777" w:rsidR="00421D81" w:rsidRPr="008153DB" w:rsidRDefault="00421D81" w:rsidP="00F51BBE">
            <w:pPr>
              <w:jc w:val="right"/>
            </w:pPr>
            <w:r w:rsidRPr="008153DB">
              <w:t>5</w:t>
            </w:r>
          </w:p>
        </w:tc>
        <w:tc>
          <w:tcPr>
            <w:tcW w:w="1016" w:type="dxa"/>
            <w:tcBorders>
              <w:top w:val="nil"/>
              <w:left w:val="nil"/>
              <w:bottom w:val="single" w:sz="4" w:space="0" w:color="auto"/>
              <w:right w:val="nil"/>
            </w:tcBorders>
            <w:shd w:val="clear" w:color="auto" w:fill="auto"/>
            <w:noWrap/>
            <w:vAlign w:val="bottom"/>
            <w:hideMark/>
          </w:tcPr>
          <w:p w14:paraId="0C0305C7" w14:textId="77777777" w:rsidR="00421D81" w:rsidRPr="008153DB" w:rsidRDefault="00421D81" w:rsidP="00F51BBE">
            <w:pPr>
              <w:jc w:val="center"/>
            </w:pPr>
            <w:r>
              <w:t>30</w:t>
            </w:r>
          </w:p>
        </w:tc>
        <w:tc>
          <w:tcPr>
            <w:tcW w:w="1175" w:type="dxa"/>
            <w:tcBorders>
              <w:top w:val="nil"/>
              <w:left w:val="nil"/>
              <w:bottom w:val="single" w:sz="4" w:space="0" w:color="auto"/>
              <w:right w:val="single" w:sz="8" w:space="0" w:color="auto"/>
            </w:tcBorders>
            <w:shd w:val="clear" w:color="auto" w:fill="auto"/>
            <w:noWrap/>
            <w:vAlign w:val="bottom"/>
            <w:hideMark/>
          </w:tcPr>
          <w:p w14:paraId="6B016740" w14:textId="77777777" w:rsidR="00421D81" w:rsidRPr="008153DB" w:rsidRDefault="00421D81" w:rsidP="00F51BBE">
            <w:pPr>
              <w:jc w:val="center"/>
            </w:pPr>
            <w:r>
              <w:t>3</w:t>
            </w:r>
            <w:r w:rsidRPr="008153DB">
              <w:t>mth</w:t>
            </w:r>
          </w:p>
        </w:tc>
        <w:tc>
          <w:tcPr>
            <w:tcW w:w="992" w:type="dxa"/>
            <w:tcBorders>
              <w:top w:val="nil"/>
              <w:left w:val="nil"/>
              <w:bottom w:val="nil"/>
              <w:right w:val="nil"/>
            </w:tcBorders>
            <w:shd w:val="clear" w:color="auto" w:fill="auto"/>
            <w:noWrap/>
            <w:vAlign w:val="bottom"/>
            <w:hideMark/>
          </w:tcPr>
          <w:p w14:paraId="2FE2F8CA" w14:textId="77777777" w:rsidR="00421D81" w:rsidRPr="008153DB" w:rsidRDefault="00421D81" w:rsidP="00F51BBE"/>
        </w:tc>
      </w:tr>
      <w:tr w:rsidR="00421D81" w14:paraId="03BA0234" w14:textId="77777777" w:rsidTr="00F51BBE">
        <w:trPr>
          <w:trHeight w:val="255"/>
        </w:trPr>
        <w:tc>
          <w:tcPr>
            <w:tcW w:w="280" w:type="dxa"/>
            <w:tcBorders>
              <w:top w:val="single" w:sz="4" w:space="0" w:color="auto"/>
              <w:left w:val="nil"/>
              <w:bottom w:val="nil"/>
              <w:right w:val="nil"/>
            </w:tcBorders>
            <w:shd w:val="clear" w:color="auto" w:fill="auto"/>
            <w:noWrap/>
            <w:vAlign w:val="bottom"/>
            <w:hideMark/>
          </w:tcPr>
          <w:p w14:paraId="0EF781CD" w14:textId="77777777" w:rsidR="00421D81" w:rsidRDefault="00421D81" w:rsidP="00F51BBE">
            <w:pPr>
              <w:rPr>
                <w:b/>
                <w:bCs/>
              </w:rPr>
            </w:pPr>
          </w:p>
        </w:tc>
        <w:tc>
          <w:tcPr>
            <w:tcW w:w="3828" w:type="dxa"/>
            <w:tcBorders>
              <w:top w:val="single" w:sz="4" w:space="0" w:color="auto"/>
              <w:left w:val="nil"/>
              <w:bottom w:val="nil"/>
              <w:right w:val="nil"/>
            </w:tcBorders>
            <w:shd w:val="clear" w:color="auto" w:fill="auto"/>
            <w:noWrap/>
            <w:vAlign w:val="bottom"/>
            <w:hideMark/>
          </w:tcPr>
          <w:p w14:paraId="483B517D" w14:textId="77777777" w:rsidR="00421D81" w:rsidRPr="008153DB" w:rsidRDefault="00421D81" w:rsidP="00F51BBE"/>
        </w:tc>
        <w:tc>
          <w:tcPr>
            <w:tcW w:w="785" w:type="dxa"/>
            <w:tcBorders>
              <w:top w:val="single" w:sz="4" w:space="0" w:color="auto"/>
              <w:left w:val="nil"/>
              <w:bottom w:val="nil"/>
              <w:right w:val="nil"/>
            </w:tcBorders>
            <w:shd w:val="clear" w:color="auto" w:fill="auto"/>
            <w:noWrap/>
            <w:vAlign w:val="bottom"/>
            <w:hideMark/>
          </w:tcPr>
          <w:p w14:paraId="26B21535" w14:textId="77777777" w:rsidR="00421D81" w:rsidRPr="008153DB" w:rsidRDefault="00421D81" w:rsidP="00F51BBE"/>
        </w:tc>
        <w:tc>
          <w:tcPr>
            <w:tcW w:w="602" w:type="dxa"/>
            <w:tcBorders>
              <w:top w:val="single" w:sz="4" w:space="0" w:color="auto"/>
              <w:left w:val="nil"/>
              <w:bottom w:val="nil"/>
              <w:right w:val="nil"/>
            </w:tcBorders>
            <w:shd w:val="clear" w:color="auto" w:fill="auto"/>
            <w:noWrap/>
            <w:vAlign w:val="bottom"/>
            <w:hideMark/>
          </w:tcPr>
          <w:p w14:paraId="18E46235" w14:textId="77777777" w:rsidR="00421D81" w:rsidRPr="008153DB" w:rsidRDefault="00421D81" w:rsidP="00F51BBE"/>
        </w:tc>
        <w:tc>
          <w:tcPr>
            <w:tcW w:w="712" w:type="dxa"/>
            <w:tcBorders>
              <w:top w:val="single" w:sz="4" w:space="0" w:color="auto"/>
              <w:left w:val="nil"/>
              <w:bottom w:val="nil"/>
              <w:right w:val="nil"/>
            </w:tcBorders>
            <w:shd w:val="clear" w:color="auto" w:fill="auto"/>
            <w:noWrap/>
            <w:vAlign w:val="bottom"/>
            <w:hideMark/>
          </w:tcPr>
          <w:p w14:paraId="0C983777" w14:textId="77777777" w:rsidR="00421D81" w:rsidRPr="008153DB" w:rsidRDefault="00421D81" w:rsidP="00F51BBE"/>
        </w:tc>
        <w:tc>
          <w:tcPr>
            <w:tcW w:w="717" w:type="dxa"/>
            <w:tcBorders>
              <w:top w:val="single" w:sz="4" w:space="0" w:color="auto"/>
              <w:left w:val="nil"/>
              <w:bottom w:val="nil"/>
              <w:right w:val="nil"/>
            </w:tcBorders>
            <w:shd w:val="clear" w:color="auto" w:fill="auto"/>
            <w:noWrap/>
            <w:vAlign w:val="bottom"/>
            <w:hideMark/>
          </w:tcPr>
          <w:p w14:paraId="46948A26" w14:textId="77777777" w:rsidR="00421D81" w:rsidRPr="008153DB" w:rsidRDefault="00421D81" w:rsidP="00F51BBE"/>
        </w:tc>
        <w:tc>
          <w:tcPr>
            <w:tcW w:w="1016" w:type="dxa"/>
            <w:tcBorders>
              <w:top w:val="single" w:sz="4" w:space="0" w:color="auto"/>
              <w:left w:val="nil"/>
              <w:bottom w:val="single" w:sz="4" w:space="0" w:color="auto"/>
              <w:right w:val="nil"/>
            </w:tcBorders>
            <w:shd w:val="clear" w:color="auto" w:fill="auto"/>
            <w:noWrap/>
            <w:vAlign w:val="bottom"/>
            <w:hideMark/>
          </w:tcPr>
          <w:p w14:paraId="4B84BD4E" w14:textId="77777777" w:rsidR="00421D81" w:rsidRPr="008153DB" w:rsidRDefault="00421D81" w:rsidP="00F51BBE">
            <w:pPr>
              <w:jc w:val="center"/>
            </w:pPr>
          </w:p>
        </w:tc>
        <w:tc>
          <w:tcPr>
            <w:tcW w:w="1175" w:type="dxa"/>
            <w:tcBorders>
              <w:top w:val="single" w:sz="4" w:space="0" w:color="auto"/>
              <w:left w:val="nil"/>
              <w:bottom w:val="single" w:sz="4" w:space="0" w:color="auto"/>
              <w:right w:val="nil"/>
            </w:tcBorders>
            <w:shd w:val="clear" w:color="auto" w:fill="auto"/>
            <w:noWrap/>
            <w:vAlign w:val="bottom"/>
            <w:hideMark/>
          </w:tcPr>
          <w:p w14:paraId="3E5F2996" w14:textId="77777777" w:rsidR="00421D81" w:rsidRPr="008153DB" w:rsidRDefault="00421D81" w:rsidP="00F51BBE">
            <w:pPr>
              <w:jc w:val="center"/>
            </w:pPr>
          </w:p>
        </w:tc>
        <w:tc>
          <w:tcPr>
            <w:tcW w:w="992" w:type="dxa"/>
            <w:tcBorders>
              <w:top w:val="nil"/>
              <w:left w:val="nil"/>
              <w:bottom w:val="nil"/>
              <w:right w:val="nil"/>
            </w:tcBorders>
            <w:shd w:val="clear" w:color="auto" w:fill="auto"/>
            <w:noWrap/>
            <w:vAlign w:val="bottom"/>
            <w:hideMark/>
          </w:tcPr>
          <w:p w14:paraId="63CB2792" w14:textId="77777777" w:rsidR="00421D81" w:rsidRPr="008153DB" w:rsidRDefault="00421D81" w:rsidP="00F51BBE"/>
        </w:tc>
      </w:tr>
      <w:tr w:rsidR="00421D81" w14:paraId="54C5CCCC" w14:textId="77777777" w:rsidTr="00F51BBE">
        <w:trPr>
          <w:trHeight w:val="315"/>
        </w:trPr>
        <w:tc>
          <w:tcPr>
            <w:tcW w:w="4108" w:type="dxa"/>
            <w:gridSpan w:val="2"/>
            <w:tcBorders>
              <w:top w:val="single" w:sz="4" w:space="0" w:color="auto"/>
              <w:left w:val="single" w:sz="8" w:space="0" w:color="auto"/>
              <w:bottom w:val="nil"/>
              <w:right w:val="nil"/>
            </w:tcBorders>
            <w:shd w:val="clear" w:color="auto" w:fill="auto"/>
            <w:noWrap/>
            <w:vAlign w:val="bottom"/>
            <w:hideMark/>
          </w:tcPr>
          <w:p w14:paraId="11F34987" w14:textId="77777777" w:rsidR="00421D81" w:rsidRPr="008153DB" w:rsidRDefault="00421D81" w:rsidP="00F51BBE">
            <w:pPr>
              <w:rPr>
                <w:b/>
                <w:bCs/>
                <w:sz w:val="24"/>
                <w:szCs w:val="24"/>
              </w:rPr>
            </w:pPr>
            <w:r w:rsidRPr="008153DB">
              <w:rPr>
                <w:b/>
                <w:bCs/>
              </w:rPr>
              <w:t>FOREIGN COUNTRIES</w:t>
            </w:r>
          </w:p>
        </w:tc>
        <w:tc>
          <w:tcPr>
            <w:tcW w:w="2816" w:type="dxa"/>
            <w:gridSpan w:val="4"/>
            <w:tcBorders>
              <w:top w:val="single" w:sz="4" w:space="0" w:color="auto"/>
              <w:left w:val="single" w:sz="8" w:space="0" w:color="auto"/>
              <w:bottom w:val="nil"/>
              <w:right w:val="single" w:sz="8" w:space="0" w:color="000000"/>
            </w:tcBorders>
            <w:shd w:val="clear" w:color="auto" w:fill="auto"/>
            <w:noWrap/>
            <w:vAlign w:val="bottom"/>
            <w:hideMark/>
          </w:tcPr>
          <w:p w14:paraId="3D588235" w14:textId="77777777" w:rsidR="00421D81" w:rsidRPr="008153DB" w:rsidRDefault="00421D81" w:rsidP="00F51BBE">
            <w:pPr>
              <w:jc w:val="center"/>
              <w:rPr>
                <w:b/>
                <w:bCs/>
                <w:sz w:val="16"/>
                <w:szCs w:val="16"/>
              </w:rPr>
            </w:pPr>
            <w:r w:rsidRPr="008153DB">
              <w:rPr>
                <w:b/>
                <w:bCs/>
                <w:sz w:val="16"/>
                <w:szCs w:val="16"/>
              </w:rPr>
              <w:t>NATIONAL RATING</w:t>
            </w:r>
          </w:p>
        </w:tc>
        <w:tc>
          <w:tcPr>
            <w:tcW w:w="1016" w:type="dxa"/>
            <w:tcBorders>
              <w:top w:val="single" w:sz="4" w:space="0" w:color="auto"/>
              <w:left w:val="nil"/>
              <w:bottom w:val="nil"/>
              <w:right w:val="nil"/>
            </w:tcBorders>
            <w:shd w:val="clear" w:color="auto" w:fill="auto"/>
            <w:noWrap/>
            <w:vAlign w:val="bottom"/>
            <w:hideMark/>
          </w:tcPr>
          <w:p w14:paraId="0787EDA5" w14:textId="77777777" w:rsidR="00421D81" w:rsidRPr="008153DB" w:rsidRDefault="00421D81" w:rsidP="00F51BBE">
            <w:pPr>
              <w:jc w:val="center"/>
              <w:rPr>
                <w:b/>
                <w:bCs/>
                <w:sz w:val="16"/>
                <w:szCs w:val="16"/>
              </w:rPr>
            </w:pPr>
            <w:r w:rsidRPr="008153DB">
              <w:rPr>
                <w:b/>
                <w:bCs/>
                <w:sz w:val="16"/>
                <w:szCs w:val="16"/>
              </w:rPr>
              <w:t>LIMIT</w:t>
            </w:r>
          </w:p>
        </w:tc>
        <w:tc>
          <w:tcPr>
            <w:tcW w:w="1175" w:type="dxa"/>
            <w:tcBorders>
              <w:top w:val="single" w:sz="4" w:space="0" w:color="auto"/>
              <w:left w:val="nil"/>
              <w:bottom w:val="nil"/>
              <w:right w:val="single" w:sz="8" w:space="0" w:color="auto"/>
            </w:tcBorders>
            <w:shd w:val="clear" w:color="auto" w:fill="auto"/>
            <w:noWrap/>
            <w:vAlign w:val="bottom"/>
            <w:hideMark/>
          </w:tcPr>
          <w:p w14:paraId="04B483E0" w14:textId="77777777" w:rsidR="00421D81" w:rsidRPr="008153DB" w:rsidRDefault="00421D81" w:rsidP="00F51BBE">
            <w:pPr>
              <w:jc w:val="center"/>
            </w:pPr>
          </w:p>
        </w:tc>
        <w:tc>
          <w:tcPr>
            <w:tcW w:w="992" w:type="dxa"/>
            <w:tcBorders>
              <w:top w:val="nil"/>
              <w:left w:val="nil"/>
              <w:bottom w:val="nil"/>
              <w:right w:val="nil"/>
            </w:tcBorders>
            <w:shd w:val="clear" w:color="auto" w:fill="auto"/>
            <w:noWrap/>
            <w:vAlign w:val="bottom"/>
            <w:hideMark/>
          </w:tcPr>
          <w:p w14:paraId="1C33CCF1" w14:textId="77777777" w:rsidR="00421D81" w:rsidRDefault="00421D81" w:rsidP="00F51BBE"/>
          <w:p w14:paraId="0A4A059B" w14:textId="77777777" w:rsidR="00421D81" w:rsidRPr="008153DB" w:rsidRDefault="00421D81" w:rsidP="00F51BBE">
            <w:r w:rsidRPr="008153DB">
              <w:t> </w:t>
            </w:r>
          </w:p>
        </w:tc>
      </w:tr>
      <w:tr w:rsidR="00421D81" w14:paraId="6EB15A6D" w14:textId="77777777" w:rsidTr="00F51BBE">
        <w:trPr>
          <w:trHeight w:val="270"/>
        </w:trPr>
        <w:tc>
          <w:tcPr>
            <w:tcW w:w="280" w:type="dxa"/>
            <w:tcBorders>
              <w:top w:val="nil"/>
              <w:left w:val="single" w:sz="8" w:space="0" w:color="auto"/>
              <w:bottom w:val="single" w:sz="8" w:space="0" w:color="auto"/>
              <w:right w:val="nil"/>
            </w:tcBorders>
            <w:shd w:val="clear" w:color="auto" w:fill="auto"/>
            <w:noWrap/>
            <w:vAlign w:val="bottom"/>
            <w:hideMark/>
          </w:tcPr>
          <w:p w14:paraId="434E7E82" w14:textId="77777777" w:rsidR="00421D81" w:rsidRDefault="00421D81" w:rsidP="00F51BBE">
            <w:r>
              <w:t> </w:t>
            </w:r>
          </w:p>
        </w:tc>
        <w:tc>
          <w:tcPr>
            <w:tcW w:w="3828" w:type="dxa"/>
            <w:tcBorders>
              <w:top w:val="nil"/>
              <w:left w:val="nil"/>
              <w:bottom w:val="single" w:sz="8" w:space="0" w:color="auto"/>
              <w:right w:val="nil"/>
            </w:tcBorders>
            <w:shd w:val="clear" w:color="auto" w:fill="auto"/>
            <w:noWrap/>
            <w:vAlign w:val="bottom"/>
            <w:hideMark/>
          </w:tcPr>
          <w:p w14:paraId="3558173F" w14:textId="77777777" w:rsidR="00421D81" w:rsidRPr="008153DB" w:rsidRDefault="00421D81" w:rsidP="00F51BBE">
            <w:r w:rsidRPr="008153DB">
              <w:t> </w:t>
            </w:r>
          </w:p>
        </w:tc>
        <w:tc>
          <w:tcPr>
            <w:tcW w:w="785" w:type="dxa"/>
            <w:tcBorders>
              <w:top w:val="nil"/>
              <w:left w:val="single" w:sz="8" w:space="0" w:color="auto"/>
              <w:bottom w:val="single" w:sz="8" w:space="0" w:color="auto"/>
              <w:right w:val="nil"/>
            </w:tcBorders>
            <w:shd w:val="clear" w:color="auto" w:fill="auto"/>
            <w:noWrap/>
            <w:vAlign w:val="bottom"/>
            <w:hideMark/>
          </w:tcPr>
          <w:p w14:paraId="0F809372" w14:textId="77777777" w:rsidR="00421D81" w:rsidRPr="008153DB" w:rsidRDefault="00421D81" w:rsidP="00F51BBE">
            <w:pPr>
              <w:jc w:val="right"/>
              <w:rPr>
                <w:b/>
                <w:bCs/>
              </w:rPr>
            </w:pPr>
            <w:r w:rsidRPr="008153DB">
              <w:rPr>
                <w:b/>
                <w:bCs/>
              </w:rPr>
              <w:t> </w:t>
            </w:r>
          </w:p>
        </w:tc>
        <w:tc>
          <w:tcPr>
            <w:tcW w:w="602" w:type="dxa"/>
            <w:tcBorders>
              <w:top w:val="nil"/>
              <w:left w:val="nil"/>
              <w:bottom w:val="single" w:sz="8" w:space="0" w:color="auto"/>
              <w:right w:val="nil"/>
            </w:tcBorders>
            <w:shd w:val="clear" w:color="auto" w:fill="auto"/>
            <w:noWrap/>
            <w:vAlign w:val="bottom"/>
            <w:hideMark/>
          </w:tcPr>
          <w:p w14:paraId="52A541CC" w14:textId="77777777" w:rsidR="00421D81" w:rsidRPr="008153DB" w:rsidRDefault="00421D81" w:rsidP="00F51BBE">
            <w:pPr>
              <w:jc w:val="right"/>
              <w:rPr>
                <w:b/>
                <w:bCs/>
              </w:rPr>
            </w:pPr>
            <w:r w:rsidRPr="008153DB">
              <w:rPr>
                <w:b/>
                <w:bCs/>
              </w:rPr>
              <w:t> </w:t>
            </w:r>
          </w:p>
        </w:tc>
        <w:tc>
          <w:tcPr>
            <w:tcW w:w="712" w:type="dxa"/>
            <w:tcBorders>
              <w:top w:val="nil"/>
              <w:left w:val="nil"/>
              <w:bottom w:val="single" w:sz="8" w:space="0" w:color="auto"/>
              <w:right w:val="nil"/>
            </w:tcBorders>
            <w:shd w:val="clear" w:color="auto" w:fill="auto"/>
            <w:noWrap/>
            <w:vAlign w:val="bottom"/>
            <w:hideMark/>
          </w:tcPr>
          <w:p w14:paraId="28DA1098" w14:textId="77777777" w:rsidR="00421D81" w:rsidRPr="008153DB" w:rsidRDefault="00421D81" w:rsidP="00F51BBE">
            <w:pPr>
              <w:jc w:val="right"/>
              <w:rPr>
                <w:b/>
                <w:bCs/>
              </w:rPr>
            </w:pPr>
            <w:r w:rsidRPr="008153DB">
              <w:rPr>
                <w:b/>
                <w:bCs/>
              </w:rPr>
              <w:t> </w:t>
            </w:r>
          </w:p>
        </w:tc>
        <w:tc>
          <w:tcPr>
            <w:tcW w:w="717" w:type="dxa"/>
            <w:tcBorders>
              <w:top w:val="nil"/>
              <w:left w:val="nil"/>
              <w:bottom w:val="single" w:sz="8" w:space="0" w:color="auto"/>
              <w:right w:val="single" w:sz="8" w:space="0" w:color="auto"/>
            </w:tcBorders>
            <w:shd w:val="clear" w:color="auto" w:fill="auto"/>
            <w:noWrap/>
            <w:vAlign w:val="bottom"/>
            <w:hideMark/>
          </w:tcPr>
          <w:p w14:paraId="50BB56C2" w14:textId="77777777" w:rsidR="00421D81" w:rsidRPr="008153DB" w:rsidRDefault="00421D81" w:rsidP="00F51BBE">
            <w:pPr>
              <w:jc w:val="right"/>
              <w:rPr>
                <w:b/>
                <w:bCs/>
              </w:rPr>
            </w:pPr>
            <w:r w:rsidRPr="008153DB">
              <w:rPr>
                <w:b/>
                <w:bCs/>
              </w:rPr>
              <w:t> </w:t>
            </w:r>
          </w:p>
        </w:tc>
        <w:tc>
          <w:tcPr>
            <w:tcW w:w="1016" w:type="dxa"/>
            <w:tcBorders>
              <w:top w:val="nil"/>
              <w:left w:val="nil"/>
              <w:bottom w:val="single" w:sz="8" w:space="0" w:color="auto"/>
              <w:right w:val="nil"/>
            </w:tcBorders>
            <w:shd w:val="clear" w:color="auto" w:fill="auto"/>
            <w:noWrap/>
            <w:vAlign w:val="bottom"/>
            <w:hideMark/>
          </w:tcPr>
          <w:p w14:paraId="3DFC2B84" w14:textId="77777777" w:rsidR="00421D81" w:rsidRPr="008153DB" w:rsidRDefault="00421D81" w:rsidP="00F51BBE">
            <w:pPr>
              <w:jc w:val="center"/>
              <w:rPr>
                <w:b/>
                <w:bCs/>
              </w:rPr>
            </w:pPr>
            <w:r>
              <w:rPr>
                <w:b/>
                <w:bCs/>
              </w:rPr>
              <w:t>£m</w:t>
            </w:r>
          </w:p>
        </w:tc>
        <w:tc>
          <w:tcPr>
            <w:tcW w:w="1175" w:type="dxa"/>
            <w:tcBorders>
              <w:top w:val="nil"/>
              <w:left w:val="nil"/>
              <w:bottom w:val="single" w:sz="8" w:space="0" w:color="auto"/>
              <w:right w:val="single" w:sz="8" w:space="0" w:color="auto"/>
            </w:tcBorders>
            <w:shd w:val="clear" w:color="auto" w:fill="auto"/>
            <w:noWrap/>
            <w:vAlign w:val="bottom"/>
            <w:hideMark/>
          </w:tcPr>
          <w:p w14:paraId="0E1E3508" w14:textId="77777777" w:rsidR="00421D81" w:rsidRPr="008153DB" w:rsidRDefault="00421D81" w:rsidP="00F51BBE">
            <w:pPr>
              <w:jc w:val="center"/>
              <w:rPr>
                <w:b/>
                <w:bCs/>
                <w:sz w:val="16"/>
                <w:szCs w:val="16"/>
              </w:rPr>
            </w:pPr>
            <w:r w:rsidRPr="008153DB">
              <w:rPr>
                <w:b/>
                <w:bCs/>
                <w:sz w:val="16"/>
                <w:szCs w:val="16"/>
              </w:rPr>
              <w:t>PERIOD</w:t>
            </w:r>
          </w:p>
        </w:tc>
        <w:tc>
          <w:tcPr>
            <w:tcW w:w="992" w:type="dxa"/>
            <w:tcBorders>
              <w:top w:val="nil"/>
              <w:left w:val="nil"/>
              <w:bottom w:val="nil"/>
              <w:right w:val="nil"/>
            </w:tcBorders>
            <w:shd w:val="clear" w:color="auto" w:fill="auto"/>
            <w:noWrap/>
            <w:vAlign w:val="bottom"/>
            <w:hideMark/>
          </w:tcPr>
          <w:p w14:paraId="37E531B9" w14:textId="77777777" w:rsidR="00421D81" w:rsidRPr="008153DB" w:rsidRDefault="00421D81" w:rsidP="00F51BBE"/>
        </w:tc>
      </w:tr>
      <w:tr w:rsidR="00421D81" w14:paraId="519CD51E" w14:textId="77777777" w:rsidTr="00F51BBE">
        <w:trPr>
          <w:trHeight w:val="255"/>
        </w:trPr>
        <w:tc>
          <w:tcPr>
            <w:tcW w:w="280" w:type="dxa"/>
            <w:tcBorders>
              <w:top w:val="nil"/>
              <w:left w:val="single" w:sz="8" w:space="0" w:color="auto"/>
              <w:bottom w:val="nil"/>
              <w:right w:val="nil"/>
            </w:tcBorders>
            <w:shd w:val="clear" w:color="auto" w:fill="auto"/>
            <w:noWrap/>
            <w:vAlign w:val="bottom"/>
            <w:hideMark/>
          </w:tcPr>
          <w:p w14:paraId="24E6E7BC" w14:textId="77777777" w:rsidR="00421D81" w:rsidRDefault="00421D81" w:rsidP="00F51BBE">
            <w:r>
              <w:t> </w:t>
            </w:r>
          </w:p>
        </w:tc>
        <w:tc>
          <w:tcPr>
            <w:tcW w:w="3828" w:type="dxa"/>
            <w:tcBorders>
              <w:top w:val="nil"/>
              <w:left w:val="nil"/>
              <w:bottom w:val="nil"/>
              <w:right w:val="single" w:sz="8" w:space="0" w:color="auto"/>
            </w:tcBorders>
            <w:shd w:val="clear" w:color="auto" w:fill="auto"/>
            <w:noWrap/>
            <w:vAlign w:val="bottom"/>
            <w:hideMark/>
          </w:tcPr>
          <w:p w14:paraId="4954CC92" w14:textId="77777777" w:rsidR="00421D81" w:rsidRPr="008153DB" w:rsidRDefault="00421D81" w:rsidP="00F51BBE">
            <w:r w:rsidRPr="008153DB">
              <w:t>Australia</w:t>
            </w:r>
          </w:p>
        </w:tc>
        <w:tc>
          <w:tcPr>
            <w:tcW w:w="785" w:type="dxa"/>
            <w:tcBorders>
              <w:top w:val="nil"/>
              <w:left w:val="nil"/>
              <w:bottom w:val="nil"/>
              <w:right w:val="nil"/>
            </w:tcBorders>
            <w:shd w:val="clear" w:color="auto" w:fill="auto"/>
            <w:noWrap/>
            <w:vAlign w:val="bottom"/>
            <w:hideMark/>
          </w:tcPr>
          <w:p w14:paraId="5538DC7F" w14:textId="77777777" w:rsidR="00421D81" w:rsidRPr="008153DB" w:rsidRDefault="00421D81" w:rsidP="00F51BBE">
            <w:r w:rsidRPr="008153DB">
              <w:t>AAA</w:t>
            </w:r>
          </w:p>
        </w:tc>
        <w:tc>
          <w:tcPr>
            <w:tcW w:w="602" w:type="dxa"/>
            <w:tcBorders>
              <w:top w:val="nil"/>
              <w:left w:val="nil"/>
              <w:bottom w:val="nil"/>
              <w:right w:val="nil"/>
            </w:tcBorders>
            <w:shd w:val="clear" w:color="auto" w:fill="auto"/>
            <w:noWrap/>
            <w:vAlign w:val="bottom"/>
            <w:hideMark/>
          </w:tcPr>
          <w:p w14:paraId="016FDDB7" w14:textId="77777777" w:rsidR="00421D81" w:rsidRPr="008153DB" w:rsidRDefault="00421D81" w:rsidP="00F51BBE"/>
        </w:tc>
        <w:tc>
          <w:tcPr>
            <w:tcW w:w="712" w:type="dxa"/>
            <w:tcBorders>
              <w:top w:val="nil"/>
              <w:left w:val="nil"/>
              <w:bottom w:val="nil"/>
              <w:right w:val="nil"/>
            </w:tcBorders>
            <w:shd w:val="clear" w:color="auto" w:fill="auto"/>
            <w:noWrap/>
            <w:vAlign w:val="bottom"/>
            <w:hideMark/>
          </w:tcPr>
          <w:p w14:paraId="3B996656" w14:textId="77777777" w:rsidR="00421D81" w:rsidRPr="008153DB" w:rsidRDefault="00421D81" w:rsidP="00F51BBE"/>
        </w:tc>
        <w:tc>
          <w:tcPr>
            <w:tcW w:w="717" w:type="dxa"/>
            <w:tcBorders>
              <w:top w:val="nil"/>
              <w:left w:val="nil"/>
              <w:bottom w:val="nil"/>
              <w:right w:val="single" w:sz="8" w:space="0" w:color="auto"/>
            </w:tcBorders>
            <w:shd w:val="clear" w:color="auto" w:fill="auto"/>
            <w:noWrap/>
            <w:vAlign w:val="bottom"/>
            <w:hideMark/>
          </w:tcPr>
          <w:p w14:paraId="06F7B535" w14:textId="77777777" w:rsidR="00421D81" w:rsidRPr="008153DB" w:rsidRDefault="00421D81" w:rsidP="00F51BBE">
            <w:pPr>
              <w:jc w:val="right"/>
            </w:pPr>
            <w:r w:rsidRPr="008153DB">
              <w:t> </w:t>
            </w:r>
          </w:p>
        </w:tc>
        <w:tc>
          <w:tcPr>
            <w:tcW w:w="1016" w:type="dxa"/>
            <w:tcBorders>
              <w:top w:val="nil"/>
              <w:left w:val="nil"/>
              <w:bottom w:val="nil"/>
              <w:right w:val="nil"/>
            </w:tcBorders>
            <w:shd w:val="clear" w:color="auto" w:fill="auto"/>
            <w:noWrap/>
            <w:vAlign w:val="bottom"/>
            <w:hideMark/>
          </w:tcPr>
          <w:p w14:paraId="67EF6787" w14:textId="77777777" w:rsidR="00421D81" w:rsidRPr="008153DB" w:rsidRDefault="00421D81" w:rsidP="00F51BBE">
            <w:pPr>
              <w:jc w:val="center"/>
            </w:pPr>
            <w:r>
              <w:t>20</w:t>
            </w:r>
          </w:p>
        </w:tc>
        <w:tc>
          <w:tcPr>
            <w:tcW w:w="1175" w:type="dxa"/>
            <w:tcBorders>
              <w:top w:val="nil"/>
              <w:left w:val="single" w:sz="8" w:space="0" w:color="auto"/>
              <w:bottom w:val="nil"/>
              <w:right w:val="single" w:sz="8" w:space="0" w:color="auto"/>
            </w:tcBorders>
            <w:shd w:val="clear" w:color="auto" w:fill="auto"/>
            <w:noWrap/>
            <w:vAlign w:val="bottom"/>
            <w:hideMark/>
          </w:tcPr>
          <w:p w14:paraId="66638580" w14:textId="77777777" w:rsidR="00421D81" w:rsidRPr="008153DB" w:rsidRDefault="00421D81" w:rsidP="00F51BBE">
            <w:pPr>
              <w:jc w:val="center"/>
            </w:pPr>
            <w:r w:rsidRPr="008153DB">
              <w:t>3mth</w:t>
            </w:r>
          </w:p>
        </w:tc>
        <w:tc>
          <w:tcPr>
            <w:tcW w:w="992" w:type="dxa"/>
            <w:tcBorders>
              <w:top w:val="nil"/>
              <w:left w:val="nil"/>
              <w:bottom w:val="nil"/>
              <w:right w:val="nil"/>
            </w:tcBorders>
            <w:shd w:val="clear" w:color="auto" w:fill="auto"/>
            <w:noWrap/>
            <w:vAlign w:val="bottom"/>
            <w:hideMark/>
          </w:tcPr>
          <w:p w14:paraId="13056914" w14:textId="77777777" w:rsidR="00421D81" w:rsidRPr="008153DB" w:rsidRDefault="00421D81" w:rsidP="00F51BBE"/>
        </w:tc>
      </w:tr>
      <w:tr w:rsidR="00421D81" w14:paraId="458BF68D" w14:textId="77777777" w:rsidTr="00F51BBE">
        <w:trPr>
          <w:trHeight w:val="255"/>
        </w:trPr>
        <w:tc>
          <w:tcPr>
            <w:tcW w:w="280" w:type="dxa"/>
            <w:tcBorders>
              <w:top w:val="nil"/>
              <w:left w:val="single" w:sz="8" w:space="0" w:color="auto"/>
              <w:bottom w:val="nil"/>
              <w:right w:val="nil"/>
            </w:tcBorders>
            <w:shd w:val="clear" w:color="auto" w:fill="auto"/>
            <w:noWrap/>
            <w:vAlign w:val="bottom"/>
            <w:hideMark/>
          </w:tcPr>
          <w:p w14:paraId="08A8CA3A" w14:textId="77777777" w:rsidR="00421D81" w:rsidRDefault="00421D81" w:rsidP="00F51BBE">
            <w:r>
              <w:t> </w:t>
            </w:r>
          </w:p>
        </w:tc>
        <w:tc>
          <w:tcPr>
            <w:tcW w:w="3828" w:type="dxa"/>
            <w:tcBorders>
              <w:top w:val="nil"/>
              <w:left w:val="nil"/>
              <w:bottom w:val="nil"/>
              <w:right w:val="single" w:sz="8" w:space="0" w:color="auto"/>
            </w:tcBorders>
            <w:shd w:val="clear" w:color="auto" w:fill="auto"/>
            <w:noWrap/>
            <w:vAlign w:val="bottom"/>
            <w:hideMark/>
          </w:tcPr>
          <w:p w14:paraId="4E62BCE1" w14:textId="77777777" w:rsidR="00421D81" w:rsidRPr="008153DB" w:rsidRDefault="00421D81" w:rsidP="00F51BBE">
            <w:r w:rsidRPr="008153DB">
              <w:t>Canada</w:t>
            </w:r>
          </w:p>
        </w:tc>
        <w:tc>
          <w:tcPr>
            <w:tcW w:w="785" w:type="dxa"/>
            <w:tcBorders>
              <w:top w:val="nil"/>
              <w:left w:val="nil"/>
              <w:bottom w:val="nil"/>
              <w:right w:val="nil"/>
            </w:tcBorders>
            <w:shd w:val="clear" w:color="auto" w:fill="auto"/>
            <w:noWrap/>
            <w:vAlign w:val="bottom"/>
            <w:hideMark/>
          </w:tcPr>
          <w:p w14:paraId="3CF4EB37" w14:textId="77777777" w:rsidR="00421D81" w:rsidRPr="008153DB" w:rsidRDefault="00421D81" w:rsidP="00F51BBE">
            <w:r w:rsidRPr="008153DB">
              <w:t>AAA</w:t>
            </w:r>
          </w:p>
        </w:tc>
        <w:tc>
          <w:tcPr>
            <w:tcW w:w="602" w:type="dxa"/>
            <w:tcBorders>
              <w:top w:val="nil"/>
              <w:left w:val="nil"/>
              <w:bottom w:val="nil"/>
              <w:right w:val="nil"/>
            </w:tcBorders>
            <w:shd w:val="clear" w:color="auto" w:fill="auto"/>
            <w:noWrap/>
            <w:vAlign w:val="bottom"/>
            <w:hideMark/>
          </w:tcPr>
          <w:p w14:paraId="1AF070E7" w14:textId="77777777" w:rsidR="00421D81" w:rsidRPr="008153DB" w:rsidRDefault="00421D81" w:rsidP="00F51BBE"/>
        </w:tc>
        <w:tc>
          <w:tcPr>
            <w:tcW w:w="712" w:type="dxa"/>
            <w:tcBorders>
              <w:top w:val="nil"/>
              <w:left w:val="nil"/>
              <w:bottom w:val="nil"/>
              <w:right w:val="nil"/>
            </w:tcBorders>
            <w:shd w:val="clear" w:color="auto" w:fill="auto"/>
            <w:noWrap/>
            <w:vAlign w:val="bottom"/>
            <w:hideMark/>
          </w:tcPr>
          <w:p w14:paraId="1528122E" w14:textId="77777777" w:rsidR="00421D81" w:rsidRPr="008153DB" w:rsidRDefault="00421D81" w:rsidP="00F51BBE"/>
        </w:tc>
        <w:tc>
          <w:tcPr>
            <w:tcW w:w="717" w:type="dxa"/>
            <w:tcBorders>
              <w:top w:val="nil"/>
              <w:left w:val="nil"/>
              <w:bottom w:val="nil"/>
              <w:right w:val="single" w:sz="8" w:space="0" w:color="auto"/>
            </w:tcBorders>
            <w:shd w:val="clear" w:color="auto" w:fill="auto"/>
            <w:noWrap/>
            <w:vAlign w:val="bottom"/>
            <w:hideMark/>
          </w:tcPr>
          <w:p w14:paraId="3D4E3465" w14:textId="77777777" w:rsidR="00421D81" w:rsidRPr="008153DB" w:rsidRDefault="00421D81" w:rsidP="00F51BBE">
            <w:pPr>
              <w:jc w:val="right"/>
            </w:pPr>
            <w:r w:rsidRPr="008153DB">
              <w:t> </w:t>
            </w:r>
          </w:p>
        </w:tc>
        <w:tc>
          <w:tcPr>
            <w:tcW w:w="1016" w:type="dxa"/>
            <w:tcBorders>
              <w:top w:val="nil"/>
              <w:left w:val="nil"/>
              <w:bottom w:val="nil"/>
              <w:right w:val="nil"/>
            </w:tcBorders>
            <w:shd w:val="clear" w:color="auto" w:fill="auto"/>
            <w:noWrap/>
            <w:vAlign w:val="bottom"/>
            <w:hideMark/>
          </w:tcPr>
          <w:p w14:paraId="7C3CDDAE" w14:textId="77777777" w:rsidR="00421D81" w:rsidRPr="008153DB" w:rsidRDefault="00421D81" w:rsidP="00F51BBE">
            <w:pPr>
              <w:jc w:val="center"/>
            </w:pPr>
            <w:r>
              <w:t>20</w:t>
            </w:r>
          </w:p>
        </w:tc>
        <w:tc>
          <w:tcPr>
            <w:tcW w:w="1175" w:type="dxa"/>
            <w:tcBorders>
              <w:top w:val="nil"/>
              <w:left w:val="single" w:sz="8" w:space="0" w:color="auto"/>
              <w:bottom w:val="nil"/>
              <w:right w:val="single" w:sz="8" w:space="0" w:color="auto"/>
            </w:tcBorders>
            <w:shd w:val="clear" w:color="auto" w:fill="auto"/>
            <w:noWrap/>
            <w:vAlign w:val="bottom"/>
            <w:hideMark/>
          </w:tcPr>
          <w:p w14:paraId="461157FE" w14:textId="77777777" w:rsidR="00421D81" w:rsidRPr="008153DB" w:rsidRDefault="00421D81" w:rsidP="00F51BBE">
            <w:pPr>
              <w:jc w:val="center"/>
            </w:pPr>
            <w:r w:rsidRPr="008153DB">
              <w:t>3mth</w:t>
            </w:r>
          </w:p>
        </w:tc>
        <w:tc>
          <w:tcPr>
            <w:tcW w:w="992" w:type="dxa"/>
            <w:tcBorders>
              <w:top w:val="nil"/>
              <w:left w:val="nil"/>
              <w:bottom w:val="nil"/>
              <w:right w:val="nil"/>
            </w:tcBorders>
            <w:shd w:val="clear" w:color="auto" w:fill="auto"/>
            <w:noWrap/>
            <w:vAlign w:val="bottom"/>
            <w:hideMark/>
          </w:tcPr>
          <w:p w14:paraId="226987D0" w14:textId="77777777" w:rsidR="00421D81" w:rsidRPr="008153DB" w:rsidRDefault="00421D81" w:rsidP="00F51BBE"/>
        </w:tc>
      </w:tr>
      <w:tr w:rsidR="00421D81" w14:paraId="5BB1971E" w14:textId="77777777" w:rsidTr="00F51BBE">
        <w:trPr>
          <w:trHeight w:val="255"/>
        </w:trPr>
        <w:tc>
          <w:tcPr>
            <w:tcW w:w="280" w:type="dxa"/>
            <w:tcBorders>
              <w:top w:val="nil"/>
              <w:left w:val="single" w:sz="8" w:space="0" w:color="auto"/>
              <w:bottom w:val="nil"/>
              <w:right w:val="nil"/>
            </w:tcBorders>
            <w:shd w:val="clear" w:color="auto" w:fill="auto"/>
            <w:noWrap/>
            <w:vAlign w:val="bottom"/>
            <w:hideMark/>
          </w:tcPr>
          <w:p w14:paraId="257E5DB6" w14:textId="77777777" w:rsidR="00421D81" w:rsidRDefault="00421D81" w:rsidP="00F51BBE">
            <w:r>
              <w:t> </w:t>
            </w:r>
          </w:p>
        </w:tc>
        <w:tc>
          <w:tcPr>
            <w:tcW w:w="3828" w:type="dxa"/>
            <w:tcBorders>
              <w:top w:val="nil"/>
              <w:left w:val="nil"/>
              <w:bottom w:val="nil"/>
              <w:right w:val="single" w:sz="8" w:space="0" w:color="auto"/>
            </w:tcBorders>
            <w:shd w:val="clear" w:color="auto" w:fill="auto"/>
            <w:noWrap/>
            <w:vAlign w:val="bottom"/>
            <w:hideMark/>
          </w:tcPr>
          <w:p w14:paraId="7BDDC476" w14:textId="77777777" w:rsidR="00421D81" w:rsidRPr="008153DB" w:rsidRDefault="00421D81" w:rsidP="00F51BBE">
            <w:r w:rsidRPr="008153DB">
              <w:t>Denmark</w:t>
            </w:r>
          </w:p>
        </w:tc>
        <w:tc>
          <w:tcPr>
            <w:tcW w:w="785" w:type="dxa"/>
            <w:tcBorders>
              <w:top w:val="nil"/>
              <w:left w:val="nil"/>
              <w:bottom w:val="nil"/>
              <w:right w:val="nil"/>
            </w:tcBorders>
            <w:shd w:val="clear" w:color="auto" w:fill="auto"/>
            <w:noWrap/>
            <w:vAlign w:val="bottom"/>
            <w:hideMark/>
          </w:tcPr>
          <w:p w14:paraId="05C6EFA9" w14:textId="77777777" w:rsidR="00421D81" w:rsidRPr="008153DB" w:rsidRDefault="00421D81" w:rsidP="00F51BBE">
            <w:r w:rsidRPr="008153DB">
              <w:t>AAA</w:t>
            </w:r>
          </w:p>
        </w:tc>
        <w:tc>
          <w:tcPr>
            <w:tcW w:w="602" w:type="dxa"/>
            <w:tcBorders>
              <w:top w:val="nil"/>
              <w:left w:val="nil"/>
              <w:bottom w:val="nil"/>
              <w:right w:val="nil"/>
            </w:tcBorders>
            <w:shd w:val="clear" w:color="auto" w:fill="auto"/>
            <w:noWrap/>
            <w:vAlign w:val="bottom"/>
            <w:hideMark/>
          </w:tcPr>
          <w:p w14:paraId="3BE4E58F" w14:textId="77777777" w:rsidR="00421D81" w:rsidRPr="008153DB" w:rsidRDefault="00421D81" w:rsidP="00F51BBE"/>
        </w:tc>
        <w:tc>
          <w:tcPr>
            <w:tcW w:w="712" w:type="dxa"/>
            <w:tcBorders>
              <w:top w:val="nil"/>
              <w:left w:val="nil"/>
              <w:bottom w:val="nil"/>
              <w:right w:val="nil"/>
            </w:tcBorders>
            <w:shd w:val="clear" w:color="auto" w:fill="auto"/>
            <w:noWrap/>
            <w:vAlign w:val="bottom"/>
            <w:hideMark/>
          </w:tcPr>
          <w:p w14:paraId="57477D82" w14:textId="77777777" w:rsidR="00421D81" w:rsidRPr="008153DB" w:rsidRDefault="00421D81" w:rsidP="00F51BBE"/>
        </w:tc>
        <w:tc>
          <w:tcPr>
            <w:tcW w:w="717" w:type="dxa"/>
            <w:tcBorders>
              <w:top w:val="nil"/>
              <w:left w:val="nil"/>
              <w:bottom w:val="nil"/>
              <w:right w:val="single" w:sz="8" w:space="0" w:color="auto"/>
            </w:tcBorders>
            <w:shd w:val="clear" w:color="auto" w:fill="auto"/>
            <w:noWrap/>
            <w:vAlign w:val="bottom"/>
            <w:hideMark/>
          </w:tcPr>
          <w:p w14:paraId="6CA6C6E8" w14:textId="77777777" w:rsidR="00421D81" w:rsidRPr="008153DB" w:rsidRDefault="00421D81" w:rsidP="00F51BBE">
            <w:pPr>
              <w:jc w:val="right"/>
            </w:pPr>
            <w:r w:rsidRPr="008153DB">
              <w:t> </w:t>
            </w:r>
          </w:p>
        </w:tc>
        <w:tc>
          <w:tcPr>
            <w:tcW w:w="1016" w:type="dxa"/>
            <w:tcBorders>
              <w:top w:val="nil"/>
              <w:left w:val="nil"/>
              <w:bottom w:val="nil"/>
              <w:right w:val="nil"/>
            </w:tcBorders>
            <w:shd w:val="clear" w:color="auto" w:fill="auto"/>
            <w:noWrap/>
            <w:vAlign w:val="bottom"/>
            <w:hideMark/>
          </w:tcPr>
          <w:p w14:paraId="55299496" w14:textId="77777777" w:rsidR="00421D81" w:rsidRPr="008153DB" w:rsidRDefault="00421D81" w:rsidP="00F51BBE">
            <w:pPr>
              <w:jc w:val="center"/>
            </w:pPr>
            <w:r>
              <w:t>20</w:t>
            </w:r>
          </w:p>
        </w:tc>
        <w:tc>
          <w:tcPr>
            <w:tcW w:w="1175" w:type="dxa"/>
            <w:tcBorders>
              <w:top w:val="nil"/>
              <w:left w:val="single" w:sz="8" w:space="0" w:color="auto"/>
              <w:bottom w:val="nil"/>
              <w:right w:val="single" w:sz="8" w:space="0" w:color="auto"/>
            </w:tcBorders>
            <w:shd w:val="clear" w:color="auto" w:fill="auto"/>
            <w:noWrap/>
            <w:vAlign w:val="bottom"/>
            <w:hideMark/>
          </w:tcPr>
          <w:p w14:paraId="37362452" w14:textId="77777777" w:rsidR="00421D81" w:rsidRPr="008153DB" w:rsidRDefault="00421D81" w:rsidP="00F51BBE">
            <w:pPr>
              <w:jc w:val="center"/>
            </w:pPr>
            <w:r w:rsidRPr="008153DB">
              <w:t>3mth</w:t>
            </w:r>
          </w:p>
        </w:tc>
        <w:tc>
          <w:tcPr>
            <w:tcW w:w="992" w:type="dxa"/>
            <w:tcBorders>
              <w:top w:val="nil"/>
              <w:left w:val="nil"/>
              <w:bottom w:val="nil"/>
              <w:right w:val="nil"/>
            </w:tcBorders>
            <w:shd w:val="clear" w:color="auto" w:fill="auto"/>
            <w:noWrap/>
            <w:vAlign w:val="bottom"/>
            <w:hideMark/>
          </w:tcPr>
          <w:p w14:paraId="331C31DC" w14:textId="77777777" w:rsidR="00421D81" w:rsidRPr="008153DB" w:rsidRDefault="00421D81" w:rsidP="00F51BBE"/>
        </w:tc>
      </w:tr>
      <w:tr w:rsidR="00421D81" w14:paraId="1C830B31" w14:textId="77777777" w:rsidTr="00F51BBE">
        <w:trPr>
          <w:trHeight w:val="255"/>
        </w:trPr>
        <w:tc>
          <w:tcPr>
            <w:tcW w:w="280" w:type="dxa"/>
            <w:tcBorders>
              <w:top w:val="nil"/>
              <w:left w:val="single" w:sz="8" w:space="0" w:color="auto"/>
              <w:bottom w:val="nil"/>
              <w:right w:val="nil"/>
            </w:tcBorders>
            <w:shd w:val="clear" w:color="auto" w:fill="auto"/>
            <w:noWrap/>
            <w:vAlign w:val="bottom"/>
            <w:hideMark/>
          </w:tcPr>
          <w:p w14:paraId="46FF3DB4" w14:textId="77777777" w:rsidR="00421D81" w:rsidRDefault="00421D81" w:rsidP="00F51BBE">
            <w:r>
              <w:t> </w:t>
            </w:r>
          </w:p>
        </w:tc>
        <w:tc>
          <w:tcPr>
            <w:tcW w:w="3828" w:type="dxa"/>
            <w:tcBorders>
              <w:top w:val="nil"/>
              <w:left w:val="nil"/>
              <w:bottom w:val="nil"/>
              <w:right w:val="nil"/>
            </w:tcBorders>
            <w:shd w:val="clear" w:color="auto" w:fill="auto"/>
            <w:noWrap/>
            <w:vAlign w:val="bottom"/>
            <w:hideMark/>
          </w:tcPr>
          <w:p w14:paraId="48EEFA22" w14:textId="77777777" w:rsidR="00421D81" w:rsidRPr="008153DB" w:rsidRDefault="00421D81" w:rsidP="00F51BBE">
            <w:r w:rsidRPr="008153DB">
              <w:t>Germany</w:t>
            </w:r>
          </w:p>
        </w:tc>
        <w:tc>
          <w:tcPr>
            <w:tcW w:w="785" w:type="dxa"/>
            <w:tcBorders>
              <w:top w:val="nil"/>
              <w:left w:val="single" w:sz="8" w:space="0" w:color="auto"/>
              <w:bottom w:val="nil"/>
              <w:right w:val="nil"/>
            </w:tcBorders>
            <w:shd w:val="clear" w:color="auto" w:fill="auto"/>
            <w:noWrap/>
            <w:vAlign w:val="bottom"/>
            <w:hideMark/>
          </w:tcPr>
          <w:p w14:paraId="12FEB8BB" w14:textId="77777777" w:rsidR="00421D81" w:rsidRPr="008153DB" w:rsidRDefault="00421D81" w:rsidP="00F51BBE">
            <w:r w:rsidRPr="008153DB">
              <w:t>AAA</w:t>
            </w:r>
          </w:p>
        </w:tc>
        <w:tc>
          <w:tcPr>
            <w:tcW w:w="602" w:type="dxa"/>
            <w:tcBorders>
              <w:top w:val="nil"/>
              <w:left w:val="nil"/>
              <w:bottom w:val="nil"/>
              <w:right w:val="nil"/>
            </w:tcBorders>
            <w:shd w:val="clear" w:color="auto" w:fill="auto"/>
            <w:noWrap/>
            <w:vAlign w:val="bottom"/>
            <w:hideMark/>
          </w:tcPr>
          <w:p w14:paraId="51019142" w14:textId="77777777" w:rsidR="00421D81" w:rsidRPr="008153DB" w:rsidRDefault="00421D81" w:rsidP="00F51BBE"/>
        </w:tc>
        <w:tc>
          <w:tcPr>
            <w:tcW w:w="712" w:type="dxa"/>
            <w:tcBorders>
              <w:top w:val="nil"/>
              <w:left w:val="nil"/>
              <w:bottom w:val="nil"/>
              <w:right w:val="nil"/>
            </w:tcBorders>
            <w:shd w:val="clear" w:color="auto" w:fill="auto"/>
            <w:noWrap/>
            <w:vAlign w:val="bottom"/>
            <w:hideMark/>
          </w:tcPr>
          <w:p w14:paraId="442E7B13" w14:textId="77777777" w:rsidR="00421D81" w:rsidRPr="008153DB" w:rsidRDefault="00421D81" w:rsidP="00F51BBE"/>
        </w:tc>
        <w:tc>
          <w:tcPr>
            <w:tcW w:w="717" w:type="dxa"/>
            <w:tcBorders>
              <w:top w:val="nil"/>
              <w:left w:val="nil"/>
              <w:bottom w:val="nil"/>
              <w:right w:val="single" w:sz="8" w:space="0" w:color="auto"/>
            </w:tcBorders>
            <w:shd w:val="clear" w:color="auto" w:fill="auto"/>
            <w:noWrap/>
            <w:vAlign w:val="bottom"/>
            <w:hideMark/>
          </w:tcPr>
          <w:p w14:paraId="46346989" w14:textId="77777777" w:rsidR="00421D81" w:rsidRPr="008153DB" w:rsidRDefault="00421D81" w:rsidP="00F51BBE">
            <w:pPr>
              <w:jc w:val="right"/>
            </w:pPr>
            <w:r w:rsidRPr="008153DB">
              <w:t> </w:t>
            </w:r>
          </w:p>
        </w:tc>
        <w:tc>
          <w:tcPr>
            <w:tcW w:w="1016" w:type="dxa"/>
            <w:tcBorders>
              <w:top w:val="nil"/>
              <w:left w:val="nil"/>
              <w:bottom w:val="nil"/>
              <w:right w:val="nil"/>
            </w:tcBorders>
            <w:shd w:val="clear" w:color="auto" w:fill="auto"/>
            <w:noWrap/>
            <w:vAlign w:val="bottom"/>
            <w:hideMark/>
          </w:tcPr>
          <w:p w14:paraId="63C17A3E" w14:textId="77777777" w:rsidR="00421D81" w:rsidRPr="008153DB" w:rsidRDefault="00421D81" w:rsidP="00F51BBE">
            <w:pPr>
              <w:jc w:val="center"/>
            </w:pPr>
            <w:r>
              <w:t>20</w:t>
            </w:r>
          </w:p>
        </w:tc>
        <w:tc>
          <w:tcPr>
            <w:tcW w:w="1175" w:type="dxa"/>
            <w:tcBorders>
              <w:top w:val="nil"/>
              <w:left w:val="single" w:sz="8" w:space="0" w:color="auto"/>
              <w:bottom w:val="nil"/>
              <w:right w:val="single" w:sz="8" w:space="0" w:color="auto"/>
            </w:tcBorders>
            <w:shd w:val="clear" w:color="auto" w:fill="auto"/>
            <w:noWrap/>
            <w:vAlign w:val="bottom"/>
            <w:hideMark/>
          </w:tcPr>
          <w:p w14:paraId="107B95B0" w14:textId="77777777" w:rsidR="00421D81" w:rsidRPr="008153DB" w:rsidRDefault="00421D81" w:rsidP="00F51BBE">
            <w:pPr>
              <w:jc w:val="center"/>
            </w:pPr>
            <w:r w:rsidRPr="008153DB">
              <w:t>3mth</w:t>
            </w:r>
          </w:p>
        </w:tc>
        <w:tc>
          <w:tcPr>
            <w:tcW w:w="992" w:type="dxa"/>
            <w:tcBorders>
              <w:top w:val="nil"/>
              <w:left w:val="nil"/>
              <w:bottom w:val="nil"/>
              <w:right w:val="nil"/>
            </w:tcBorders>
            <w:shd w:val="clear" w:color="auto" w:fill="auto"/>
            <w:noWrap/>
            <w:vAlign w:val="bottom"/>
            <w:hideMark/>
          </w:tcPr>
          <w:p w14:paraId="702A2965" w14:textId="77777777" w:rsidR="00421D81" w:rsidRPr="008153DB" w:rsidRDefault="00421D81" w:rsidP="00F51BBE"/>
        </w:tc>
      </w:tr>
      <w:tr w:rsidR="00421D81" w14:paraId="5726868E" w14:textId="77777777" w:rsidTr="00F51BBE">
        <w:trPr>
          <w:trHeight w:val="255"/>
        </w:trPr>
        <w:tc>
          <w:tcPr>
            <w:tcW w:w="280" w:type="dxa"/>
            <w:tcBorders>
              <w:top w:val="nil"/>
              <w:left w:val="single" w:sz="8" w:space="0" w:color="auto"/>
              <w:bottom w:val="nil"/>
              <w:right w:val="nil"/>
            </w:tcBorders>
            <w:shd w:val="clear" w:color="auto" w:fill="auto"/>
            <w:noWrap/>
            <w:vAlign w:val="bottom"/>
            <w:hideMark/>
          </w:tcPr>
          <w:p w14:paraId="6A51283F" w14:textId="77777777" w:rsidR="00421D81" w:rsidRDefault="00421D81" w:rsidP="00F51BBE">
            <w:r>
              <w:t> </w:t>
            </w:r>
          </w:p>
        </w:tc>
        <w:tc>
          <w:tcPr>
            <w:tcW w:w="3828" w:type="dxa"/>
            <w:tcBorders>
              <w:top w:val="nil"/>
              <w:left w:val="nil"/>
              <w:bottom w:val="nil"/>
              <w:right w:val="nil"/>
            </w:tcBorders>
            <w:shd w:val="clear" w:color="auto" w:fill="auto"/>
            <w:noWrap/>
            <w:vAlign w:val="bottom"/>
            <w:hideMark/>
          </w:tcPr>
          <w:p w14:paraId="4681E3BC" w14:textId="77777777" w:rsidR="00421D81" w:rsidRPr="008153DB" w:rsidRDefault="00421D81" w:rsidP="00F51BBE">
            <w:r w:rsidRPr="008153DB">
              <w:t>Netherlands</w:t>
            </w:r>
          </w:p>
        </w:tc>
        <w:tc>
          <w:tcPr>
            <w:tcW w:w="785" w:type="dxa"/>
            <w:tcBorders>
              <w:top w:val="nil"/>
              <w:left w:val="single" w:sz="8" w:space="0" w:color="auto"/>
              <w:bottom w:val="nil"/>
              <w:right w:val="nil"/>
            </w:tcBorders>
            <w:shd w:val="clear" w:color="auto" w:fill="auto"/>
            <w:noWrap/>
            <w:vAlign w:val="bottom"/>
            <w:hideMark/>
          </w:tcPr>
          <w:p w14:paraId="000A7DE4" w14:textId="77777777" w:rsidR="00421D81" w:rsidRPr="008153DB" w:rsidRDefault="00421D81" w:rsidP="00F51BBE">
            <w:r w:rsidRPr="008153DB">
              <w:t>AAA</w:t>
            </w:r>
          </w:p>
        </w:tc>
        <w:tc>
          <w:tcPr>
            <w:tcW w:w="602" w:type="dxa"/>
            <w:tcBorders>
              <w:top w:val="nil"/>
              <w:left w:val="nil"/>
              <w:bottom w:val="nil"/>
              <w:right w:val="nil"/>
            </w:tcBorders>
            <w:shd w:val="clear" w:color="auto" w:fill="auto"/>
            <w:noWrap/>
            <w:vAlign w:val="bottom"/>
            <w:hideMark/>
          </w:tcPr>
          <w:p w14:paraId="2D8C3818" w14:textId="77777777" w:rsidR="00421D81" w:rsidRPr="008153DB" w:rsidRDefault="00421D81" w:rsidP="00F51BBE"/>
        </w:tc>
        <w:tc>
          <w:tcPr>
            <w:tcW w:w="712" w:type="dxa"/>
            <w:tcBorders>
              <w:top w:val="nil"/>
              <w:left w:val="nil"/>
              <w:bottom w:val="nil"/>
              <w:right w:val="nil"/>
            </w:tcBorders>
            <w:shd w:val="clear" w:color="auto" w:fill="auto"/>
            <w:noWrap/>
            <w:vAlign w:val="bottom"/>
            <w:hideMark/>
          </w:tcPr>
          <w:p w14:paraId="7750C742" w14:textId="77777777" w:rsidR="00421D81" w:rsidRPr="008153DB" w:rsidRDefault="00421D81" w:rsidP="00F51BBE"/>
        </w:tc>
        <w:tc>
          <w:tcPr>
            <w:tcW w:w="717" w:type="dxa"/>
            <w:tcBorders>
              <w:top w:val="nil"/>
              <w:left w:val="nil"/>
              <w:bottom w:val="nil"/>
              <w:right w:val="single" w:sz="8" w:space="0" w:color="auto"/>
            </w:tcBorders>
            <w:shd w:val="clear" w:color="auto" w:fill="auto"/>
            <w:noWrap/>
            <w:vAlign w:val="bottom"/>
            <w:hideMark/>
          </w:tcPr>
          <w:p w14:paraId="70F934F2" w14:textId="77777777" w:rsidR="00421D81" w:rsidRPr="008153DB" w:rsidRDefault="00421D81" w:rsidP="00F51BBE">
            <w:pPr>
              <w:jc w:val="right"/>
            </w:pPr>
            <w:r w:rsidRPr="008153DB">
              <w:t> </w:t>
            </w:r>
          </w:p>
        </w:tc>
        <w:tc>
          <w:tcPr>
            <w:tcW w:w="1016" w:type="dxa"/>
            <w:tcBorders>
              <w:top w:val="nil"/>
              <w:left w:val="nil"/>
              <w:bottom w:val="nil"/>
              <w:right w:val="nil"/>
            </w:tcBorders>
            <w:shd w:val="clear" w:color="auto" w:fill="auto"/>
            <w:noWrap/>
            <w:vAlign w:val="bottom"/>
            <w:hideMark/>
          </w:tcPr>
          <w:p w14:paraId="23711F6D" w14:textId="77777777" w:rsidR="00421D81" w:rsidRPr="008153DB" w:rsidRDefault="00421D81" w:rsidP="00F51BBE">
            <w:pPr>
              <w:jc w:val="center"/>
            </w:pPr>
            <w:r>
              <w:t>20</w:t>
            </w:r>
          </w:p>
        </w:tc>
        <w:tc>
          <w:tcPr>
            <w:tcW w:w="1175" w:type="dxa"/>
            <w:tcBorders>
              <w:top w:val="nil"/>
              <w:left w:val="single" w:sz="8" w:space="0" w:color="auto"/>
              <w:bottom w:val="nil"/>
              <w:right w:val="single" w:sz="8" w:space="0" w:color="auto"/>
            </w:tcBorders>
            <w:shd w:val="clear" w:color="auto" w:fill="auto"/>
            <w:noWrap/>
            <w:vAlign w:val="bottom"/>
            <w:hideMark/>
          </w:tcPr>
          <w:p w14:paraId="45CF67A6" w14:textId="77777777" w:rsidR="00421D81" w:rsidRPr="008153DB" w:rsidRDefault="00421D81" w:rsidP="00F51BBE">
            <w:pPr>
              <w:jc w:val="center"/>
            </w:pPr>
            <w:r w:rsidRPr="008153DB">
              <w:t>3mth</w:t>
            </w:r>
          </w:p>
        </w:tc>
        <w:tc>
          <w:tcPr>
            <w:tcW w:w="992" w:type="dxa"/>
            <w:tcBorders>
              <w:top w:val="nil"/>
              <w:left w:val="nil"/>
              <w:bottom w:val="nil"/>
              <w:right w:val="nil"/>
            </w:tcBorders>
            <w:shd w:val="clear" w:color="auto" w:fill="auto"/>
            <w:noWrap/>
            <w:vAlign w:val="bottom"/>
            <w:hideMark/>
          </w:tcPr>
          <w:p w14:paraId="40C816FC" w14:textId="77777777" w:rsidR="00421D81" w:rsidRPr="008153DB" w:rsidRDefault="00421D81" w:rsidP="00F51BBE"/>
        </w:tc>
      </w:tr>
      <w:tr w:rsidR="00421D81" w14:paraId="79E342D9" w14:textId="77777777" w:rsidTr="00F51BBE">
        <w:trPr>
          <w:trHeight w:val="255"/>
        </w:trPr>
        <w:tc>
          <w:tcPr>
            <w:tcW w:w="280" w:type="dxa"/>
            <w:tcBorders>
              <w:top w:val="nil"/>
              <w:left w:val="single" w:sz="8" w:space="0" w:color="auto"/>
              <w:bottom w:val="nil"/>
              <w:right w:val="nil"/>
            </w:tcBorders>
            <w:shd w:val="clear" w:color="auto" w:fill="auto"/>
            <w:noWrap/>
            <w:vAlign w:val="bottom"/>
            <w:hideMark/>
          </w:tcPr>
          <w:p w14:paraId="7C04DA96" w14:textId="77777777" w:rsidR="00421D81" w:rsidRDefault="00421D81" w:rsidP="00F51BBE">
            <w:r>
              <w:t> </w:t>
            </w:r>
          </w:p>
        </w:tc>
        <w:tc>
          <w:tcPr>
            <w:tcW w:w="3828" w:type="dxa"/>
            <w:tcBorders>
              <w:top w:val="nil"/>
              <w:left w:val="nil"/>
              <w:bottom w:val="nil"/>
              <w:right w:val="nil"/>
            </w:tcBorders>
            <w:shd w:val="clear" w:color="auto" w:fill="auto"/>
            <w:noWrap/>
            <w:vAlign w:val="bottom"/>
            <w:hideMark/>
          </w:tcPr>
          <w:p w14:paraId="6142A700" w14:textId="77777777" w:rsidR="00421D81" w:rsidRPr="008153DB" w:rsidRDefault="00421D81" w:rsidP="00F51BBE">
            <w:r w:rsidRPr="008153DB">
              <w:t>Singapore</w:t>
            </w:r>
          </w:p>
        </w:tc>
        <w:tc>
          <w:tcPr>
            <w:tcW w:w="785" w:type="dxa"/>
            <w:tcBorders>
              <w:top w:val="nil"/>
              <w:left w:val="single" w:sz="8" w:space="0" w:color="auto"/>
              <w:bottom w:val="nil"/>
              <w:right w:val="nil"/>
            </w:tcBorders>
            <w:shd w:val="clear" w:color="auto" w:fill="auto"/>
            <w:noWrap/>
            <w:vAlign w:val="bottom"/>
            <w:hideMark/>
          </w:tcPr>
          <w:p w14:paraId="550D843D" w14:textId="77777777" w:rsidR="00421D81" w:rsidRPr="008153DB" w:rsidRDefault="00421D81" w:rsidP="00F51BBE">
            <w:r w:rsidRPr="008153DB">
              <w:t>AAA</w:t>
            </w:r>
          </w:p>
        </w:tc>
        <w:tc>
          <w:tcPr>
            <w:tcW w:w="602" w:type="dxa"/>
            <w:tcBorders>
              <w:top w:val="nil"/>
              <w:left w:val="nil"/>
              <w:bottom w:val="nil"/>
              <w:right w:val="nil"/>
            </w:tcBorders>
            <w:shd w:val="clear" w:color="auto" w:fill="auto"/>
            <w:noWrap/>
            <w:vAlign w:val="bottom"/>
            <w:hideMark/>
          </w:tcPr>
          <w:p w14:paraId="0296FED1" w14:textId="77777777" w:rsidR="00421D81" w:rsidRPr="008153DB" w:rsidRDefault="00421D81" w:rsidP="00F51BBE"/>
        </w:tc>
        <w:tc>
          <w:tcPr>
            <w:tcW w:w="712" w:type="dxa"/>
            <w:tcBorders>
              <w:top w:val="nil"/>
              <w:left w:val="nil"/>
              <w:bottom w:val="nil"/>
              <w:right w:val="nil"/>
            </w:tcBorders>
            <w:shd w:val="clear" w:color="auto" w:fill="auto"/>
            <w:noWrap/>
            <w:vAlign w:val="bottom"/>
            <w:hideMark/>
          </w:tcPr>
          <w:p w14:paraId="75BA458E" w14:textId="77777777" w:rsidR="00421D81" w:rsidRPr="008153DB" w:rsidRDefault="00421D81" w:rsidP="00F51BBE"/>
        </w:tc>
        <w:tc>
          <w:tcPr>
            <w:tcW w:w="717" w:type="dxa"/>
            <w:tcBorders>
              <w:top w:val="nil"/>
              <w:left w:val="nil"/>
              <w:bottom w:val="nil"/>
              <w:right w:val="single" w:sz="8" w:space="0" w:color="auto"/>
            </w:tcBorders>
            <w:shd w:val="clear" w:color="auto" w:fill="auto"/>
            <w:noWrap/>
            <w:vAlign w:val="bottom"/>
            <w:hideMark/>
          </w:tcPr>
          <w:p w14:paraId="060B4A2F" w14:textId="77777777" w:rsidR="00421D81" w:rsidRPr="008153DB" w:rsidRDefault="00421D81" w:rsidP="00F51BBE">
            <w:pPr>
              <w:jc w:val="right"/>
            </w:pPr>
            <w:r w:rsidRPr="008153DB">
              <w:t> </w:t>
            </w:r>
          </w:p>
        </w:tc>
        <w:tc>
          <w:tcPr>
            <w:tcW w:w="1016" w:type="dxa"/>
            <w:tcBorders>
              <w:top w:val="nil"/>
              <w:left w:val="nil"/>
              <w:bottom w:val="nil"/>
              <w:right w:val="nil"/>
            </w:tcBorders>
            <w:shd w:val="clear" w:color="auto" w:fill="auto"/>
            <w:noWrap/>
            <w:vAlign w:val="bottom"/>
            <w:hideMark/>
          </w:tcPr>
          <w:p w14:paraId="7A299F59" w14:textId="77777777" w:rsidR="00421D81" w:rsidRPr="008153DB" w:rsidRDefault="00421D81" w:rsidP="00F51BBE">
            <w:pPr>
              <w:jc w:val="center"/>
            </w:pPr>
            <w:r>
              <w:t>20</w:t>
            </w:r>
          </w:p>
        </w:tc>
        <w:tc>
          <w:tcPr>
            <w:tcW w:w="1175" w:type="dxa"/>
            <w:tcBorders>
              <w:top w:val="nil"/>
              <w:left w:val="single" w:sz="8" w:space="0" w:color="auto"/>
              <w:bottom w:val="nil"/>
              <w:right w:val="single" w:sz="8" w:space="0" w:color="auto"/>
            </w:tcBorders>
            <w:shd w:val="clear" w:color="auto" w:fill="auto"/>
            <w:noWrap/>
            <w:vAlign w:val="bottom"/>
            <w:hideMark/>
          </w:tcPr>
          <w:p w14:paraId="29D314F7" w14:textId="77777777" w:rsidR="00421D81" w:rsidRPr="008153DB" w:rsidRDefault="00421D81" w:rsidP="00F51BBE">
            <w:pPr>
              <w:jc w:val="center"/>
            </w:pPr>
            <w:r w:rsidRPr="008153DB">
              <w:t>3mth</w:t>
            </w:r>
          </w:p>
        </w:tc>
        <w:tc>
          <w:tcPr>
            <w:tcW w:w="992" w:type="dxa"/>
            <w:tcBorders>
              <w:top w:val="nil"/>
              <w:left w:val="nil"/>
              <w:bottom w:val="nil"/>
              <w:right w:val="nil"/>
            </w:tcBorders>
            <w:shd w:val="clear" w:color="auto" w:fill="auto"/>
            <w:noWrap/>
            <w:vAlign w:val="bottom"/>
            <w:hideMark/>
          </w:tcPr>
          <w:p w14:paraId="21D8167B" w14:textId="77777777" w:rsidR="00421D81" w:rsidRPr="008153DB" w:rsidRDefault="00421D81" w:rsidP="00F51BBE"/>
        </w:tc>
      </w:tr>
      <w:tr w:rsidR="00421D81" w14:paraId="57E5464B" w14:textId="77777777" w:rsidTr="00F51BBE">
        <w:trPr>
          <w:trHeight w:val="255"/>
        </w:trPr>
        <w:tc>
          <w:tcPr>
            <w:tcW w:w="280" w:type="dxa"/>
            <w:tcBorders>
              <w:top w:val="nil"/>
              <w:left w:val="single" w:sz="8" w:space="0" w:color="auto"/>
              <w:bottom w:val="nil"/>
              <w:right w:val="nil"/>
            </w:tcBorders>
            <w:shd w:val="clear" w:color="auto" w:fill="auto"/>
            <w:noWrap/>
            <w:vAlign w:val="bottom"/>
            <w:hideMark/>
          </w:tcPr>
          <w:p w14:paraId="1E887AB1" w14:textId="77777777" w:rsidR="00421D81" w:rsidRDefault="00421D81" w:rsidP="00F51BBE">
            <w:r>
              <w:t> </w:t>
            </w:r>
          </w:p>
        </w:tc>
        <w:tc>
          <w:tcPr>
            <w:tcW w:w="3828" w:type="dxa"/>
            <w:tcBorders>
              <w:top w:val="nil"/>
              <w:left w:val="nil"/>
              <w:bottom w:val="nil"/>
              <w:right w:val="nil"/>
            </w:tcBorders>
            <w:shd w:val="clear" w:color="auto" w:fill="auto"/>
            <w:noWrap/>
            <w:vAlign w:val="bottom"/>
            <w:hideMark/>
          </w:tcPr>
          <w:p w14:paraId="74D79584" w14:textId="77777777" w:rsidR="00421D81" w:rsidRPr="008153DB" w:rsidRDefault="00421D81" w:rsidP="00F51BBE">
            <w:r w:rsidRPr="008153DB">
              <w:t>Sweden</w:t>
            </w:r>
          </w:p>
        </w:tc>
        <w:tc>
          <w:tcPr>
            <w:tcW w:w="785" w:type="dxa"/>
            <w:tcBorders>
              <w:top w:val="nil"/>
              <w:left w:val="single" w:sz="8" w:space="0" w:color="auto"/>
              <w:bottom w:val="nil"/>
              <w:right w:val="nil"/>
            </w:tcBorders>
            <w:shd w:val="clear" w:color="auto" w:fill="auto"/>
            <w:noWrap/>
            <w:vAlign w:val="bottom"/>
            <w:hideMark/>
          </w:tcPr>
          <w:p w14:paraId="0D8FD228" w14:textId="77777777" w:rsidR="00421D81" w:rsidRPr="008153DB" w:rsidRDefault="00421D81" w:rsidP="00F51BBE">
            <w:r w:rsidRPr="008153DB">
              <w:t>AAA</w:t>
            </w:r>
          </w:p>
        </w:tc>
        <w:tc>
          <w:tcPr>
            <w:tcW w:w="602" w:type="dxa"/>
            <w:tcBorders>
              <w:top w:val="nil"/>
              <w:left w:val="nil"/>
              <w:bottom w:val="nil"/>
              <w:right w:val="nil"/>
            </w:tcBorders>
            <w:shd w:val="clear" w:color="auto" w:fill="auto"/>
            <w:noWrap/>
            <w:vAlign w:val="bottom"/>
            <w:hideMark/>
          </w:tcPr>
          <w:p w14:paraId="617DFCE8" w14:textId="77777777" w:rsidR="00421D81" w:rsidRPr="008153DB" w:rsidRDefault="00421D81" w:rsidP="00F51BBE"/>
        </w:tc>
        <w:tc>
          <w:tcPr>
            <w:tcW w:w="712" w:type="dxa"/>
            <w:tcBorders>
              <w:top w:val="nil"/>
              <w:left w:val="nil"/>
              <w:bottom w:val="nil"/>
              <w:right w:val="nil"/>
            </w:tcBorders>
            <w:shd w:val="clear" w:color="auto" w:fill="auto"/>
            <w:noWrap/>
            <w:vAlign w:val="bottom"/>
            <w:hideMark/>
          </w:tcPr>
          <w:p w14:paraId="395C28D9" w14:textId="77777777" w:rsidR="00421D81" w:rsidRPr="008153DB" w:rsidRDefault="00421D81" w:rsidP="00F51BBE"/>
        </w:tc>
        <w:tc>
          <w:tcPr>
            <w:tcW w:w="717" w:type="dxa"/>
            <w:tcBorders>
              <w:top w:val="nil"/>
              <w:left w:val="nil"/>
              <w:bottom w:val="nil"/>
              <w:right w:val="single" w:sz="8" w:space="0" w:color="auto"/>
            </w:tcBorders>
            <w:shd w:val="clear" w:color="auto" w:fill="auto"/>
            <w:noWrap/>
            <w:vAlign w:val="bottom"/>
            <w:hideMark/>
          </w:tcPr>
          <w:p w14:paraId="1F97DB22" w14:textId="77777777" w:rsidR="00421D81" w:rsidRPr="008153DB" w:rsidRDefault="00421D81" w:rsidP="00F51BBE">
            <w:pPr>
              <w:jc w:val="right"/>
            </w:pPr>
            <w:r w:rsidRPr="008153DB">
              <w:t> </w:t>
            </w:r>
          </w:p>
        </w:tc>
        <w:tc>
          <w:tcPr>
            <w:tcW w:w="1016" w:type="dxa"/>
            <w:tcBorders>
              <w:top w:val="nil"/>
              <w:left w:val="nil"/>
              <w:bottom w:val="nil"/>
              <w:right w:val="nil"/>
            </w:tcBorders>
            <w:shd w:val="clear" w:color="auto" w:fill="auto"/>
            <w:noWrap/>
            <w:vAlign w:val="bottom"/>
            <w:hideMark/>
          </w:tcPr>
          <w:p w14:paraId="1FBE7A13" w14:textId="77777777" w:rsidR="00421D81" w:rsidRPr="008153DB" w:rsidRDefault="00421D81" w:rsidP="00F51BBE">
            <w:pPr>
              <w:jc w:val="center"/>
            </w:pPr>
            <w:r>
              <w:t>20</w:t>
            </w:r>
          </w:p>
        </w:tc>
        <w:tc>
          <w:tcPr>
            <w:tcW w:w="1175" w:type="dxa"/>
            <w:tcBorders>
              <w:top w:val="nil"/>
              <w:left w:val="single" w:sz="8" w:space="0" w:color="auto"/>
              <w:bottom w:val="nil"/>
              <w:right w:val="single" w:sz="8" w:space="0" w:color="auto"/>
            </w:tcBorders>
            <w:shd w:val="clear" w:color="auto" w:fill="auto"/>
            <w:noWrap/>
            <w:vAlign w:val="bottom"/>
            <w:hideMark/>
          </w:tcPr>
          <w:p w14:paraId="695DF2C2" w14:textId="77777777" w:rsidR="00421D81" w:rsidRPr="008153DB" w:rsidRDefault="00421D81" w:rsidP="00F51BBE">
            <w:pPr>
              <w:jc w:val="center"/>
            </w:pPr>
            <w:r w:rsidRPr="008153DB">
              <w:t>3mth</w:t>
            </w:r>
          </w:p>
        </w:tc>
        <w:tc>
          <w:tcPr>
            <w:tcW w:w="992" w:type="dxa"/>
            <w:tcBorders>
              <w:top w:val="nil"/>
              <w:left w:val="nil"/>
              <w:bottom w:val="nil"/>
              <w:right w:val="nil"/>
            </w:tcBorders>
            <w:shd w:val="clear" w:color="auto" w:fill="auto"/>
            <w:noWrap/>
            <w:vAlign w:val="bottom"/>
            <w:hideMark/>
          </w:tcPr>
          <w:p w14:paraId="5436DDBC" w14:textId="77777777" w:rsidR="00421D81" w:rsidRPr="008153DB" w:rsidRDefault="00421D81" w:rsidP="00F51BBE"/>
        </w:tc>
      </w:tr>
      <w:tr w:rsidR="00421D81" w14:paraId="073842AD" w14:textId="77777777" w:rsidTr="00F51BBE">
        <w:trPr>
          <w:trHeight w:val="255"/>
        </w:trPr>
        <w:tc>
          <w:tcPr>
            <w:tcW w:w="280" w:type="dxa"/>
            <w:tcBorders>
              <w:top w:val="nil"/>
              <w:left w:val="single" w:sz="8" w:space="0" w:color="auto"/>
              <w:bottom w:val="nil"/>
              <w:right w:val="nil"/>
            </w:tcBorders>
            <w:shd w:val="clear" w:color="auto" w:fill="auto"/>
            <w:noWrap/>
            <w:vAlign w:val="bottom"/>
            <w:hideMark/>
          </w:tcPr>
          <w:p w14:paraId="11C692A6" w14:textId="77777777" w:rsidR="00421D81" w:rsidRDefault="00421D81" w:rsidP="00F51BBE">
            <w:r>
              <w:t> </w:t>
            </w:r>
          </w:p>
        </w:tc>
        <w:tc>
          <w:tcPr>
            <w:tcW w:w="3828" w:type="dxa"/>
            <w:tcBorders>
              <w:top w:val="nil"/>
              <w:left w:val="nil"/>
              <w:bottom w:val="nil"/>
              <w:right w:val="nil"/>
            </w:tcBorders>
            <w:shd w:val="clear" w:color="auto" w:fill="auto"/>
            <w:noWrap/>
            <w:vAlign w:val="bottom"/>
            <w:hideMark/>
          </w:tcPr>
          <w:p w14:paraId="09F4B742" w14:textId="77777777" w:rsidR="00421D81" w:rsidRPr="008153DB" w:rsidRDefault="00421D81" w:rsidP="00F51BBE">
            <w:r w:rsidRPr="008153DB">
              <w:t>Switzerland</w:t>
            </w:r>
          </w:p>
        </w:tc>
        <w:tc>
          <w:tcPr>
            <w:tcW w:w="785" w:type="dxa"/>
            <w:tcBorders>
              <w:top w:val="nil"/>
              <w:left w:val="single" w:sz="8" w:space="0" w:color="auto"/>
              <w:bottom w:val="nil"/>
              <w:right w:val="nil"/>
            </w:tcBorders>
            <w:shd w:val="clear" w:color="auto" w:fill="auto"/>
            <w:noWrap/>
            <w:vAlign w:val="bottom"/>
            <w:hideMark/>
          </w:tcPr>
          <w:p w14:paraId="0C27275C" w14:textId="77777777" w:rsidR="00421D81" w:rsidRPr="008153DB" w:rsidRDefault="00421D81" w:rsidP="00F51BBE">
            <w:r w:rsidRPr="008153DB">
              <w:t>AAA</w:t>
            </w:r>
          </w:p>
        </w:tc>
        <w:tc>
          <w:tcPr>
            <w:tcW w:w="602" w:type="dxa"/>
            <w:tcBorders>
              <w:top w:val="nil"/>
              <w:left w:val="nil"/>
              <w:bottom w:val="nil"/>
              <w:right w:val="nil"/>
            </w:tcBorders>
            <w:shd w:val="clear" w:color="auto" w:fill="auto"/>
            <w:noWrap/>
            <w:vAlign w:val="bottom"/>
            <w:hideMark/>
          </w:tcPr>
          <w:p w14:paraId="551DB9BB" w14:textId="77777777" w:rsidR="00421D81" w:rsidRPr="008153DB" w:rsidRDefault="00421D81" w:rsidP="00F51BBE"/>
        </w:tc>
        <w:tc>
          <w:tcPr>
            <w:tcW w:w="712" w:type="dxa"/>
            <w:tcBorders>
              <w:top w:val="nil"/>
              <w:left w:val="nil"/>
              <w:bottom w:val="nil"/>
              <w:right w:val="nil"/>
            </w:tcBorders>
            <w:shd w:val="clear" w:color="auto" w:fill="auto"/>
            <w:noWrap/>
            <w:vAlign w:val="bottom"/>
            <w:hideMark/>
          </w:tcPr>
          <w:p w14:paraId="706B1572" w14:textId="77777777" w:rsidR="00421D81" w:rsidRPr="008153DB" w:rsidRDefault="00421D81" w:rsidP="00F51BBE"/>
        </w:tc>
        <w:tc>
          <w:tcPr>
            <w:tcW w:w="717" w:type="dxa"/>
            <w:tcBorders>
              <w:top w:val="nil"/>
              <w:left w:val="nil"/>
              <w:bottom w:val="nil"/>
              <w:right w:val="single" w:sz="8" w:space="0" w:color="auto"/>
            </w:tcBorders>
            <w:shd w:val="clear" w:color="auto" w:fill="auto"/>
            <w:noWrap/>
            <w:vAlign w:val="bottom"/>
            <w:hideMark/>
          </w:tcPr>
          <w:p w14:paraId="5722A070" w14:textId="77777777" w:rsidR="00421D81" w:rsidRPr="008153DB" w:rsidRDefault="00421D81" w:rsidP="00F51BBE">
            <w:pPr>
              <w:jc w:val="right"/>
            </w:pPr>
            <w:r w:rsidRPr="008153DB">
              <w:t> </w:t>
            </w:r>
          </w:p>
        </w:tc>
        <w:tc>
          <w:tcPr>
            <w:tcW w:w="1016" w:type="dxa"/>
            <w:tcBorders>
              <w:top w:val="nil"/>
              <w:left w:val="nil"/>
              <w:bottom w:val="nil"/>
              <w:right w:val="nil"/>
            </w:tcBorders>
            <w:shd w:val="clear" w:color="auto" w:fill="auto"/>
            <w:noWrap/>
            <w:vAlign w:val="bottom"/>
            <w:hideMark/>
          </w:tcPr>
          <w:p w14:paraId="6671C36C" w14:textId="77777777" w:rsidR="00421D81" w:rsidRPr="008153DB" w:rsidRDefault="00421D81" w:rsidP="00F51BBE">
            <w:pPr>
              <w:jc w:val="center"/>
            </w:pPr>
            <w:r>
              <w:t>20</w:t>
            </w:r>
          </w:p>
        </w:tc>
        <w:tc>
          <w:tcPr>
            <w:tcW w:w="1175" w:type="dxa"/>
            <w:tcBorders>
              <w:top w:val="nil"/>
              <w:left w:val="single" w:sz="8" w:space="0" w:color="auto"/>
              <w:bottom w:val="nil"/>
              <w:right w:val="single" w:sz="8" w:space="0" w:color="auto"/>
            </w:tcBorders>
            <w:shd w:val="clear" w:color="auto" w:fill="auto"/>
            <w:noWrap/>
            <w:vAlign w:val="bottom"/>
            <w:hideMark/>
          </w:tcPr>
          <w:p w14:paraId="3563052A" w14:textId="77777777" w:rsidR="00421D81" w:rsidRPr="008153DB" w:rsidRDefault="00421D81" w:rsidP="00F51BBE">
            <w:pPr>
              <w:jc w:val="center"/>
            </w:pPr>
            <w:r w:rsidRPr="008153DB">
              <w:t>3mth</w:t>
            </w:r>
          </w:p>
        </w:tc>
        <w:tc>
          <w:tcPr>
            <w:tcW w:w="992" w:type="dxa"/>
            <w:tcBorders>
              <w:top w:val="nil"/>
              <w:left w:val="nil"/>
              <w:bottom w:val="nil"/>
              <w:right w:val="nil"/>
            </w:tcBorders>
            <w:shd w:val="clear" w:color="auto" w:fill="auto"/>
            <w:noWrap/>
            <w:vAlign w:val="bottom"/>
            <w:hideMark/>
          </w:tcPr>
          <w:p w14:paraId="32C9EA8F" w14:textId="77777777" w:rsidR="00421D81" w:rsidRPr="008153DB" w:rsidRDefault="00421D81" w:rsidP="00F51BBE"/>
        </w:tc>
      </w:tr>
      <w:tr w:rsidR="00421D81" w14:paraId="713EE582" w14:textId="77777777" w:rsidTr="00F51BBE">
        <w:trPr>
          <w:trHeight w:val="270"/>
        </w:trPr>
        <w:tc>
          <w:tcPr>
            <w:tcW w:w="280" w:type="dxa"/>
            <w:tcBorders>
              <w:top w:val="nil"/>
              <w:left w:val="single" w:sz="8" w:space="0" w:color="auto"/>
              <w:bottom w:val="single" w:sz="8" w:space="0" w:color="auto"/>
              <w:right w:val="nil"/>
            </w:tcBorders>
            <w:shd w:val="clear" w:color="auto" w:fill="auto"/>
            <w:noWrap/>
            <w:vAlign w:val="bottom"/>
            <w:hideMark/>
          </w:tcPr>
          <w:p w14:paraId="14628858" w14:textId="77777777" w:rsidR="00421D81" w:rsidRDefault="00421D81" w:rsidP="00F51BBE">
            <w:r>
              <w:t> </w:t>
            </w:r>
          </w:p>
        </w:tc>
        <w:tc>
          <w:tcPr>
            <w:tcW w:w="3828" w:type="dxa"/>
            <w:tcBorders>
              <w:top w:val="nil"/>
              <w:left w:val="nil"/>
              <w:bottom w:val="single" w:sz="8" w:space="0" w:color="auto"/>
              <w:right w:val="nil"/>
            </w:tcBorders>
            <w:shd w:val="clear" w:color="auto" w:fill="auto"/>
            <w:noWrap/>
            <w:vAlign w:val="bottom"/>
            <w:hideMark/>
          </w:tcPr>
          <w:p w14:paraId="231552DD" w14:textId="77777777" w:rsidR="00421D81" w:rsidRPr="008153DB" w:rsidRDefault="00421D81" w:rsidP="00F51BBE">
            <w:r w:rsidRPr="008153DB">
              <w:t>USA</w:t>
            </w:r>
          </w:p>
        </w:tc>
        <w:tc>
          <w:tcPr>
            <w:tcW w:w="785" w:type="dxa"/>
            <w:tcBorders>
              <w:top w:val="nil"/>
              <w:left w:val="single" w:sz="8" w:space="0" w:color="auto"/>
              <w:bottom w:val="single" w:sz="8" w:space="0" w:color="auto"/>
              <w:right w:val="nil"/>
            </w:tcBorders>
            <w:shd w:val="clear" w:color="auto" w:fill="auto"/>
            <w:noWrap/>
            <w:vAlign w:val="bottom"/>
            <w:hideMark/>
          </w:tcPr>
          <w:p w14:paraId="0418B949" w14:textId="77777777" w:rsidR="00421D81" w:rsidRPr="008153DB" w:rsidRDefault="00421D81" w:rsidP="00F51BBE">
            <w:r w:rsidRPr="008153DB">
              <w:t>AAA</w:t>
            </w:r>
          </w:p>
        </w:tc>
        <w:tc>
          <w:tcPr>
            <w:tcW w:w="602" w:type="dxa"/>
            <w:tcBorders>
              <w:top w:val="nil"/>
              <w:left w:val="nil"/>
              <w:bottom w:val="single" w:sz="8" w:space="0" w:color="auto"/>
              <w:right w:val="nil"/>
            </w:tcBorders>
            <w:shd w:val="clear" w:color="auto" w:fill="auto"/>
            <w:noWrap/>
            <w:vAlign w:val="bottom"/>
            <w:hideMark/>
          </w:tcPr>
          <w:p w14:paraId="4388E68F" w14:textId="77777777" w:rsidR="00421D81" w:rsidRPr="008153DB" w:rsidRDefault="00421D81" w:rsidP="00F51BBE">
            <w:pPr>
              <w:rPr>
                <w:color w:val="FF0000"/>
              </w:rPr>
            </w:pPr>
            <w:r w:rsidRPr="008153DB">
              <w:rPr>
                <w:color w:val="FF0000"/>
              </w:rPr>
              <w:t> </w:t>
            </w:r>
          </w:p>
        </w:tc>
        <w:tc>
          <w:tcPr>
            <w:tcW w:w="712" w:type="dxa"/>
            <w:tcBorders>
              <w:top w:val="nil"/>
              <w:left w:val="nil"/>
              <w:bottom w:val="single" w:sz="8" w:space="0" w:color="auto"/>
              <w:right w:val="nil"/>
            </w:tcBorders>
            <w:shd w:val="clear" w:color="auto" w:fill="auto"/>
            <w:noWrap/>
            <w:vAlign w:val="bottom"/>
            <w:hideMark/>
          </w:tcPr>
          <w:p w14:paraId="7601C8E6" w14:textId="77777777" w:rsidR="00421D81" w:rsidRPr="008153DB" w:rsidRDefault="00421D81" w:rsidP="00F51BBE">
            <w:pPr>
              <w:rPr>
                <w:color w:val="FF0000"/>
              </w:rPr>
            </w:pPr>
            <w:r w:rsidRPr="008153DB">
              <w:rPr>
                <w:color w:val="FF0000"/>
              </w:rPr>
              <w:t> </w:t>
            </w:r>
          </w:p>
        </w:tc>
        <w:tc>
          <w:tcPr>
            <w:tcW w:w="717" w:type="dxa"/>
            <w:tcBorders>
              <w:top w:val="nil"/>
              <w:left w:val="nil"/>
              <w:bottom w:val="single" w:sz="8" w:space="0" w:color="auto"/>
              <w:right w:val="single" w:sz="8" w:space="0" w:color="auto"/>
            </w:tcBorders>
            <w:shd w:val="clear" w:color="auto" w:fill="auto"/>
            <w:noWrap/>
            <w:vAlign w:val="bottom"/>
            <w:hideMark/>
          </w:tcPr>
          <w:p w14:paraId="3D850E4D" w14:textId="77777777" w:rsidR="00421D81" w:rsidRPr="008153DB" w:rsidRDefault="00421D81" w:rsidP="00F51BBE">
            <w:pPr>
              <w:rPr>
                <w:color w:val="FF0000"/>
              </w:rPr>
            </w:pPr>
            <w:r w:rsidRPr="008153DB">
              <w:rPr>
                <w:color w:val="FF0000"/>
              </w:rPr>
              <w:t> </w:t>
            </w:r>
          </w:p>
        </w:tc>
        <w:tc>
          <w:tcPr>
            <w:tcW w:w="1016" w:type="dxa"/>
            <w:tcBorders>
              <w:top w:val="nil"/>
              <w:left w:val="nil"/>
              <w:bottom w:val="single" w:sz="8" w:space="0" w:color="auto"/>
              <w:right w:val="nil"/>
            </w:tcBorders>
            <w:shd w:val="clear" w:color="auto" w:fill="auto"/>
            <w:noWrap/>
            <w:vAlign w:val="bottom"/>
            <w:hideMark/>
          </w:tcPr>
          <w:p w14:paraId="3482656F" w14:textId="77777777" w:rsidR="00421D81" w:rsidRPr="008153DB" w:rsidRDefault="00421D81" w:rsidP="00F51BBE">
            <w:pPr>
              <w:jc w:val="center"/>
            </w:pPr>
            <w:r>
              <w:t>20</w:t>
            </w:r>
          </w:p>
        </w:tc>
        <w:tc>
          <w:tcPr>
            <w:tcW w:w="1175" w:type="dxa"/>
            <w:tcBorders>
              <w:top w:val="nil"/>
              <w:left w:val="single" w:sz="8" w:space="0" w:color="auto"/>
              <w:bottom w:val="single" w:sz="8" w:space="0" w:color="auto"/>
              <w:right w:val="single" w:sz="8" w:space="0" w:color="auto"/>
            </w:tcBorders>
            <w:shd w:val="clear" w:color="auto" w:fill="auto"/>
            <w:noWrap/>
            <w:vAlign w:val="bottom"/>
            <w:hideMark/>
          </w:tcPr>
          <w:p w14:paraId="097A156A" w14:textId="77777777" w:rsidR="00421D81" w:rsidRPr="008153DB" w:rsidRDefault="00421D81" w:rsidP="00F51BBE">
            <w:pPr>
              <w:jc w:val="center"/>
            </w:pPr>
            <w:r w:rsidRPr="008153DB">
              <w:t>3mth</w:t>
            </w:r>
          </w:p>
        </w:tc>
        <w:tc>
          <w:tcPr>
            <w:tcW w:w="992" w:type="dxa"/>
            <w:tcBorders>
              <w:top w:val="nil"/>
              <w:left w:val="nil"/>
              <w:bottom w:val="nil"/>
              <w:right w:val="nil"/>
            </w:tcBorders>
            <w:shd w:val="clear" w:color="auto" w:fill="auto"/>
            <w:noWrap/>
            <w:vAlign w:val="bottom"/>
            <w:hideMark/>
          </w:tcPr>
          <w:p w14:paraId="2B943EED" w14:textId="77777777" w:rsidR="00421D81" w:rsidRPr="008153DB" w:rsidRDefault="00421D81" w:rsidP="00F51BBE"/>
        </w:tc>
      </w:tr>
    </w:tbl>
    <w:p w14:paraId="14F79D25" w14:textId="77777777" w:rsidR="00421D81" w:rsidRDefault="00421D81" w:rsidP="00421D81">
      <w:r>
        <w:t>Investments with foreign banks will only be made if they are in Sterling and it is with a British subsidiary. The minimal national credit rating for the bank must then be AAA.</w:t>
      </w:r>
    </w:p>
    <w:p w14:paraId="7A546416" w14:textId="77777777" w:rsidR="00421D81" w:rsidRDefault="00421D81" w:rsidP="00421D81">
      <w:pPr>
        <w:jc w:val="right"/>
      </w:pPr>
    </w:p>
    <w:tbl>
      <w:tblPr>
        <w:tblW w:w="8950" w:type="dxa"/>
        <w:tblInd w:w="89" w:type="dxa"/>
        <w:tblLook w:val="0000" w:firstRow="0" w:lastRow="0" w:firstColumn="0" w:lastColumn="0" w:noHBand="0" w:noVBand="0"/>
      </w:tblPr>
      <w:tblGrid>
        <w:gridCol w:w="612"/>
        <w:gridCol w:w="3518"/>
        <w:gridCol w:w="582"/>
        <w:gridCol w:w="578"/>
        <w:gridCol w:w="692"/>
        <w:gridCol w:w="841"/>
        <w:gridCol w:w="993"/>
        <w:gridCol w:w="1134"/>
      </w:tblGrid>
      <w:tr w:rsidR="00421D81" w:rsidRPr="00932616" w14:paraId="6BB802CA" w14:textId="77777777" w:rsidTr="00F51BBE">
        <w:trPr>
          <w:trHeight w:val="315"/>
        </w:trPr>
        <w:tc>
          <w:tcPr>
            <w:tcW w:w="4130" w:type="dxa"/>
            <w:gridSpan w:val="2"/>
            <w:tcBorders>
              <w:top w:val="single" w:sz="8" w:space="0" w:color="auto"/>
              <w:left w:val="single" w:sz="8" w:space="0" w:color="auto"/>
              <w:bottom w:val="nil"/>
              <w:right w:val="nil"/>
            </w:tcBorders>
            <w:shd w:val="clear" w:color="auto" w:fill="auto"/>
            <w:noWrap/>
            <w:vAlign w:val="bottom"/>
          </w:tcPr>
          <w:p w14:paraId="1290A36B" w14:textId="77777777" w:rsidR="00421D81" w:rsidRPr="00D1740E" w:rsidRDefault="00421D81" w:rsidP="00F51BBE">
            <w:pPr>
              <w:rPr>
                <w:rFonts w:eastAsia="Times New Roman"/>
                <w:b/>
                <w:bCs/>
              </w:rPr>
            </w:pPr>
            <w:r w:rsidRPr="00D1740E">
              <w:rPr>
                <w:rFonts w:eastAsia="Times New Roman"/>
                <w:b/>
                <w:bCs/>
              </w:rPr>
              <w:t>LOCAL AUTHORITIES</w:t>
            </w:r>
          </w:p>
        </w:tc>
        <w:tc>
          <w:tcPr>
            <w:tcW w:w="2693" w:type="dxa"/>
            <w:gridSpan w:val="4"/>
            <w:tcBorders>
              <w:top w:val="single" w:sz="8" w:space="0" w:color="auto"/>
              <w:left w:val="single" w:sz="8" w:space="0" w:color="auto"/>
              <w:bottom w:val="nil"/>
              <w:right w:val="single" w:sz="8" w:space="0" w:color="000000"/>
            </w:tcBorders>
            <w:shd w:val="clear" w:color="auto" w:fill="auto"/>
            <w:noWrap/>
            <w:vAlign w:val="bottom"/>
          </w:tcPr>
          <w:p w14:paraId="51DA0A6D" w14:textId="77777777" w:rsidR="00421D81" w:rsidRPr="00932616" w:rsidRDefault="00421D81" w:rsidP="00F51BBE">
            <w:pPr>
              <w:jc w:val="center"/>
              <w:rPr>
                <w:rFonts w:eastAsia="Times New Roman"/>
                <w:b/>
                <w:bCs/>
                <w:sz w:val="16"/>
                <w:szCs w:val="16"/>
              </w:rPr>
            </w:pPr>
          </w:p>
        </w:tc>
        <w:tc>
          <w:tcPr>
            <w:tcW w:w="993" w:type="dxa"/>
            <w:tcBorders>
              <w:top w:val="single" w:sz="8" w:space="0" w:color="auto"/>
              <w:left w:val="nil"/>
              <w:bottom w:val="nil"/>
              <w:right w:val="single" w:sz="8" w:space="0" w:color="auto"/>
            </w:tcBorders>
            <w:shd w:val="clear" w:color="auto" w:fill="auto"/>
            <w:noWrap/>
            <w:vAlign w:val="bottom"/>
          </w:tcPr>
          <w:p w14:paraId="34CEC72C" w14:textId="77777777" w:rsidR="00421D81" w:rsidRPr="00932616" w:rsidRDefault="00421D81" w:rsidP="00F51BBE">
            <w:pPr>
              <w:jc w:val="center"/>
              <w:rPr>
                <w:rFonts w:eastAsia="Times New Roman"/>
                <w:b/>
                <w:bCs/>
                <w:sz w:val="16"/>
                <w:szCs w:val="16"/>
              </w:rPr>
            </w:pPr>
            <w:r w:rsidRPr="00932616">
              <w:rPr>
                <w:rFonts w:eastAsia="Times New Roman"/>
                <w:b/>
                <w:bCs/>
                <w:sz w:val="16"/>
                <w:szCs w:val="16"/>
              </w:rPr>
              <w:t>LIMIT</w:t>
            </w:r>
            <w:r>
              <w:rPr>
                <w:rFonts w:eastAsia="Times New Roman"/>
                <w:b/>
                <w:bCs/>
                <w:sz w:val="16"/>
                <w:szCs w:val="16"/>
              </w:rPr>
              <w:t xml:space="preserve"> for each LA</w:t>
            </w:r>
          </w:p>
        </w:tc>
        <w:tc>
          <w:tcPr>
            <w:tcW w:w="1134" w:type="dxa"/>
            <w:tcBorders>
              <w:top w:val="single" w:sz="8" w:space="0" w:color="auto"/>
              <w:left w:val="single" w:sz="8" w:space="0" w:color="auto"/>
              <w:bottom w:val="nil"/>
              <w:right w:val="single" w:sz="8" w:space="0" w:color="auto"/>
            </w:tcBorders>
            <w:shd w:val="clear" w:color="auto" w:fill="auto"/>
            <w:noWrap/>
            <w:vAlign w:val="bottom"/>
          </w:tcPr>
          <w:p w14:paraId="7BBBB913" w14:textId="77777777" w:rsidR="00421D81" w:rsidRPr="00932616" w:rsidRDefault="00421D81" w:rsidP="00F51BBE">
            <w:pPr>
              <w:jc w:val="center"/>
              <w:rPr>
                <w:rFonts w:eastAsia="Times New Roman"/>
                <w:sz w:val="20"/>
                <w:szCs w:val="20"/>
              </w:rPr>
            </w:pPr>
          </w:p>
        </w:tc>
      </w:tr>
      <w:tr w:rsidR="00421D81" w:rsidRPr="00932616" w14:paraId="67E9762D" w14:textId="77777777" w:rsidTr="00F51BBE">
        <w:trPr>
          <w:trHeight w:val="270"/>
        </w:trPr>
        <w:tc>
          <w:tcPr>
            <w:tcW w:w="612" w:type="dxa"/>
            <w:tcBorders>
              <w:top w:val="nil"/>
              <w:left w:val="single" w:sz="8" w:space="0" w:color="auto"/>
              <w:bottom w:val="single" w:sz="8" w:space="0" w:color="auto"/>
              <w:right w:val="nil"/>
            </w:tcBorders>
            <w:shd w:val="clear" w:color="auto" w:fill="auto"/>
            <w:noWrap/>
            <w:vAlign w:val="bottom"/>
          </w:tcPr>
          <w:p w14:paraId="0D4FE703" w14:textId="77777777" w:rsidR="00421D81" w:rsidRPr="00932616" w:rsidRDefault="00421D81" w:rsidP="00F51BBE">
            <w:pPr>
              <w:rPr>
                <w:rFonts w:eastAsia="Times New Roman"/>
                <w:sz w:val="20"/>
                <w:szCs w:val="20"/>
              </w:rPr>
            </w:pPr>
            <w:r w:rsidRPr="00932616">
              <w:rPr>
                <w:rFonts w:eastAsia="Times New Roman"/>
                <w:sz w:val="20"/>
                <w:szCs w:val="20"/>
              </w:rPr>
              <w:t> </w:t>
            </w:r>
          </w:p>
        </w:tc>
        <w:tc>
          <w:tcPr>
            <w:tcW w:w="3518" w:type="dxa"/>
            <w:tcBorders>
              <w:top w:val="nil"/>
              <w:left w:val="nil"/>
              <w:bottom w:val="nil"/>
              <w:right w:val="nil"/>
            </w:tcBorders>
            <w:shd w:val="clear" w:color="auto" w:fill="auto"/>
            <w:noWrap/>
            <w:vAlign w:val="bottom"/>
          </w:tcPr>
          <w:p w14:paraId="4D5E19A8" w14:textId="77777777" w:rsidR="00421D81" w:rsidRPr="00932616" w:rsidRDefault="00421D81" w:rsidP="00F51BBE">
            <w:pPr>
              <w:rPr>
                <w:rFonts w:eastAsia="Times New Roman"/>
                <w:sz w:val="20"/>
                <w:szCs w:val="20"/>
              </w:rPr>
            </w:pPr>
          </w:p>
        </w:tc>
        <w:tc>
          <w:tcPr>
            <w:tcW w:w="582" w:type="dxa"/>
            <w:tcBorders>
              <w:top w:val="nil"/>
              <w:left w:val="single" w:sz="8" w:space="0" w:color="auto"/>
              <w:bottom w:val="single" w:sz="8" w:space="0" w:color="auto"/>
              <w:right w:val="nil"/>
            </w:tcBorders>
            <w:shd w:val="clear" w:color="auto" w:fill="auto"/>
            <w:noWrap/>
            <w:vAlign w:val="bottom"/>
          </w:tcPr>
          <w:p w14:paraId="2E0B2B62" w14:textId="77777777" w:rsidR="00421D81" w:rsidRPr="00932616" w:rsidRDefault="00421D81" w:rsidP="00F51BBE">
            <w:pPr>
              <w:rPr>
                <w:rFonts w:eastAsia="Times New Roman"/>
                <w:b/>
                <w:bCs/>
                <w:sz w:val="20"/>
                <w:szCs w:val="20"/>
              </w:rPr>
            </w:pPr>
          </w:p>
        </w:tc>
        <w:tc>
          <w:tcPr>
            <w:tcW w:w="578" w:type="dxa"/>
            <w:tcBorders>
              <w:top w:val="nil"/>
              <w:left w:val="nil"/>
              <w:bottom w:val="single" w:sz="8" w:space="0" w:color="auto"/>
              <w:right w:val="nil"/>
            </w:tcBorders>
            <w:shd w:val="clear" w:color="auto" w:fill="auto"/>
            <w:noWrap/>
            <w:vAlign w:val="bottom"/>
          </w:tcPr>
          <w:p w14:paraId="7D8C10E9" w14:textId="77777777" w:rsidR="00421D81" w:rsidRPr="00932616" w:rsidRDefault="00421D81" w:rsidP="00F51BBE">
            <w:pPr>
              <w:rPr>
                <w:rFonts w:eastAsia="Times New Roman"/>
                <w:b/>
                <w:bCs/>
                <w:sz w:val="20"/>
                <w:szCs w:val="20"/>
              </w:rPr>
            </w:pPr>
          </w:p>
        </w:tc>
        <w:tc>
          <w:tcPr>
            <w:tcW w:w="692" w:type="dxa"/>
            <w:tcBorders>
              <w:top w:val="nil"/>
              <w:left w:val="nil"/>
              <w:bottom w:val="single" w:sz="8" w:space="0" w:color="auto"/>
              <w:right w:val="nil"/>
            </w:tcBorders>
            <w:shd w:val="clear" w:color="auto" w:fill="auto"/>
            <w:noWrap/>
            <w:vAlign w:val="bottom"/>
          </w:tcPr>
          <w:p w14:paraId="0171B156" w14:textId="77777777" w:rsidR="00421D81" w:rsidRPr="00932616" w:rsidRDefault="00421D81" w:rsidP="00F51BBE">
            <w:pPr>
              <w:rPr>
                <w:rFonts w:eastAsia="Times New Roman"/>
                <w:b/>
                <w:bCs/>
                <w:sz w:val="20"/>
                <w:szCs w:val="20"/>
              </w:rPr>
            </w:pPr>
          </w:p>
        </w:tc>
        <w:tc>
          <w:tcPr>
            <w:tcW w:w="841" w:type="dxa"/>
            <w:tcBorders>
              <w:top w:val="nil"/>
              <w:left w:val="nil"/>
              <w:bottom w:val="single" w:sz="8" w:space="0" w:color="auto"/>
              <w:right w:val="single" w:sz="8" w:space="0" w:color="auto"/>
            </w:tcBorders>
            <w:shd w:val="clear" w:color="auto" w:fill="auto"/>
            <w:noWrap/>
            <w:vAlign w:val="bottom"/>
          </w:tcPr>
          <w:p w14:paraId="01ACD8EF" w14:textId="77777777" w:rsidR="00421D81" w:rsidRPr="00932616" w:rsidRDefault="00421D81" w:rsidP="00F51BBE">
            <w:pPr>
              <w:rPr>
                <w:rFonts w:eastAsia="Times New Roman"/>
                <w:b/>
                <w:bCs/>
                <w:sz w:val="20"/>
                <w:szCs w:val="20"/>
              </w:rPr>
            </w:pPr>
          </w:p>
        </w:tc>
        <w:tc>
          <w:tcPr>
            <w:tcW w:w="993" w:type="dxa"/>
            <w:tcBorders>
              <w:top w:val="nil"/>
              <w:left w:val="nil"/>
              <w:bottom w:val="nil"/>
              <w:right w:val="single" w:sz="8" w:space="0" w:color="auto"/>
            </w:tcBorders>
            <w:shd w:val="clear" w:color="auto" w:fill="auto"/>
            <w:noWrap/>
            <w:vAlign w:val="bottom"/>
          </w:tcPr>
          <w:p w14:paraId="5F0AEE23" w14:textId="77777777" w:rsidR="00421D81" w:rsidRPr="00932616" w:rsidRDefault="00421D81" w:rsidP="00F51BBE">
            <w:pPr>
              <w:jc w:val="center"/>
              <w:rPr>
                <w:rFonts w:eastAsia="Times New Roman"/>
                <w:b/>
                <w:bCs/>
                <w:sz w:val="20"/>
                <w:szCs w:val="20"/>
              </w:rPr>
            </w:pPr>
            <w:r w:rsidRPr="00932616">
              <w:rPr>
                <w:rFonts w:eastAsia="Times New Roman"/>
                <w:b/>
                <w:bCs/>
                <w:sz w:val="20"/>
                <w:szCs w:val="20"/>
              </w:rPr>
              <w:t>£000</w:t>
            </w:r>
          </w:p>
        </w:tc>
        <w:tc>
          <w:tcPr>
            <w:tcW w:w="1134" w:type="dxa"/>
            <w:tcBorders>
              <w:top w:val="nil"/>
              <w:left w:val="single" w:sz="8" w:space="0" w:color="auto"/>
              <w:bottom w:val="nil"/>
              <w:right w:val="single" w:sz="8" w:space="0" w:color="auto"/>
            </w:tcBorders>
            <w:shd w:val="clear" w:color="auto" w:fill="auto"/>
            <w:noWrap/>
            <w:vAlign w:val="bottom"/>
          </w:tcPr>
          <w:p w14:paraId="415EAB96" w14:textId="77777777" w:rsidR="00421D81" w:rsidRPr="00932616" w:rsidRDefault="00421D81" w:rsidP="00F51BBE">
            <w:pPr>
              <w:jc w:val="center"/>
              <w:rPr>
                <w:rFonts w:eastAsia="Times New Roman"/>
                <w:b/>
                <w:bCs/>
                <w:sz w:val="16"/>
                <w:szCs w:val="16"/>
              </w:rPr>
            </w:pPr>
            <w:r w:rsidRPr="00932616">
              <w:rPr>
                <w:rFonts w:eastAsia="Times New Roman"/>
                <w:b/>
                <w:bCs/>
                <w:sz w:val="16"/>
                <w:szCs w:val="16"/>
              </w:rPr>
              <w:t>PERIOD</w:t>
            </w:r>
          </w:p>
        </w:tc>
      </w:tr>
      <w:tr w:rsidR="00421D81" w:rsidRPr="00932616" w14:paraId="118C03BB" w14:textId="77777777" w:rsidTr="00F51BBE">
        <w:trPr>
          <w:trHeight w:val="270"/>
        </w:trPr>
        <w:tc>
          <w:tcPr>
            <w:tcW w:w="612" w:type="dxa"/>
            <w:tcBorders>
              <w:top w:val="nil"/>
              <w:left w:val="single" w:sz="8" w:space="0" w:color="auto"/>
              <w:bottom w:val="single" w:sz="8" w:space="0" w:color="auto"/>
              <w:right w:val="nil"/>
            </w:tcBorders>
            <w:shd w:val="clear" w:color="auto" w:fill="auto"/>
            <w:noWrap/>
            <w:vAlign w:val="bottom"/>
          </w:tcPr>
          <w:p w14:paraId="026790A4" w14:textId="77777777" w:rsidR="00421D81" w:rsidRPr="00932616" w:rsidRDefault="00421D81" w:rsidP="00F51BBE">
            <w:pPr>
              <w:rPr>
                <w:rFonts w:eastAsia="Times New Roman"/>
                <w:sz w:val="20"/>
                <w:szCs w:val="20"/>
              </w:rPr>
            </w:pPr>
            <w:r w:rsidRPr="00932616">
              <w:rPr>
                <w:rFonts w:eastAsia="Times New Roman"/>
                <w:sz w:val="20"/>
                <w:szCs w:val="20"/>
              </w:rPr>
              <w:t> </w:t>
            </w:r>
          </w:p>
        </w:tc>
        <w:tc>
          <w:tcPr>
            <w:tcW w:w="3518" w:type="dxa"/>
            <w:tcBorders>
              <w:top w:val="single" w:sz="8" w:space="0" w:color="auto"/>
              <w:left w:val="nil"/>
              <w:bottom w:val="single" w:sz="8" w:space="0" w:color="auto"/>
              <w:right w:val="nil"/>
            </w:tcBorders>
            <w:shd w:val="clear" w:color="auto" w:fill="auto"/>
            <w:noWrap/>
            <w:vAlign w:val="bottom"/>
          </w:tcPr>
          <w:p w14:paraId="5A249375" w14:textId="77777777" w:rsidR="00421D81" w:rsidRPr="00D1740E" w:rsidRDefault="00421D81" w:rsidP="00F51BBE">
            <w:pPr>
              <w:rPr>
                <w:rFonts w:eastAsia="Times New Roman"/>
              </w:rPr>
            </w:pPr>
            <w:r>
              <w:rPr>
                <w:rFonts w:eastAsia="Times New Roman"/>
              </w:rPr>
              <w:t>All</w:t>
            </w:r>
            <w:r w:rsidRPr="00D1740E">
              <w:rPr>
                <w:rFonts w:eastAsia="Times New Roman"/>
              </w:rPr>
              <w:t xml:space="preserve"> Local Authorities</w:t>
            </w:r>
            <w:r>
              <w:rPr>
                <w:rFonts w:eastAsia="Times New Roman"/>
              </w:rPr>
              <w:t>**</w:t>
            </w:r>
          </w:p>
        </w:tc>
        <w:tc>
          <w:tcPr>
            <w:tcW w:w="582" w:type="dxa"/>
            <w:tcBorders>
              <w:top w:val="nil"/>
              <w:left w:val="single" w:sz="8" w:space="0" w:color="auto"/>
              <w:bottom w:val="single" w:sz="8" w:space="0" w:color="auto"/>
              <w:right w:val="nil"/>
            </w:tcBorders>
            <w:shd w:val="clear" w:color="auto" w:fill="auto"/>
            <w:noWrap/>
            <w:vAlign w:val="bottom"/>
          </w:tcPr>
          <w:p w14:paraId="4839CBF8" w14:textId="77777777" w:rsidR="00421D81" w:rsidRPr="00932616" w:rsidRDefault="00421D81" w:rsidP="00F51BBE">
            <w:pPr>
              <w:rPr>
                <w:rFonts w:eastAsia="Times New Roman"/>
                <w:sz w:val="20"/>
                <w:szCs w:val="20"/>
              </w:rPr>
            </w:pPr>
            <w:r w:rsidRPr="00932616">
              <w:rPr>
                <w:rFonts w:eastAsia="Times New Roman"/>
                <w:sz w:val="20"/>
                <w:szCs w:val="20"/>
              </w:rPr>
              <w:t> </w:t>
            </w:r>
          </w:p>
        </w:tc>
        <w:tc>
          <w:tcPr>
            <w:tcW w:w="578" w:type="dxa"/>
            <w:tcBorders>
              <w:top w:val="nil"/>
              <w:left w:val="nil"/>
              <w:bottom w:val="single" w:sz="8" w:space="0" w:color="auto"/>
              <w:right w:val="nil"/>
            </w:tcBorders>
            <w:shd w:val="clear" w:color="auto" w:fill="auto"/>
            <w:noWrap/>
            <w:vAlign w:val="bottom"/>
          </w:tcPr>
          <w:p w14:paraId="6C52B91D" w14:textId="77777777" w:rsidR="00421D81" w:rsidRPr="00932616" w:rsidRDefault="00421D81" w:rsidP="00F51BBE">
            <w:pPr>
              <w:rPr>
                <w:rFonts w:eastAsia="Times New Roman"/>
                <w:sz w:val="20"/>
                <w:szCs w:val="20"/>
              </w:rPr>
            </w:pPr>
            <w:r w:rsidRPr="00932616">
              <w:rPr>
                <w:rFonts w:eastAsia="Times New Roman"/>
                <w:sz w:val="20"/>
                <w:szCs w:val="20"/>
              </w:rPr>
              <w:t> </w:t>
            </w:r>
          </w:p>
        </w:tc>
        <w:tc>
          <w:tcPr>
            <w:tcW w:w="692" w:type="dxa"/>
            <w:tcBorders>
              <w:top w:val="nil"/>
              <w:left w:val="nil"/>
              <w:bottom w:val="single" w:sz="8" w:space="0" w:color="auto"/>
              <w:right w:val="nil"/>
            </w:tcBorders>
            <w:shd w:val="clear" w:color="auto" w:fill="auto"/>
            <w:noWrap/>
            <w:vAlign w:val="bottom"/>
          </w:tcPr>
          <w:p w14:paraId="3C948D70" w14:textId="77777777" w:rsidR="00421D81" w:rsidRPr="00932616" w:rsidRDefault="00421D81" w:rsidP="00F51BBE">
            <w:pPr>
              <w:rPr>
                <w:rFonts w:eastAsia="Times New Roman"/>
                <w:sz w:val="20"/>
                <w:szCs w:val="20"/>
              </w:rPr>
            </w:pPr>
            <w:r w:rsidRPr="00932616">
              <w:rPr>
                <w:rFonts w:eastAsia="Times New Roman"/>
                <w:sz w:val="20"/>
                <w:szCs w:val="20"/>
              </w:rPr>
              <w:t> </w:t>
            </w:r>
          </w:p>
        </w:tc>
        <w:tc>
          <w:tcPr>
            <w:tcW w:w="841" w:type="dxa"/>
            <w:tcBorders>
              <w:top w:val="nil"/>
              <w:left w:val="nil"/>
              <w:bottom w:val="single" w:sz="8" w:space="0" w:color="auto"/>
              <w:right w:val="single" w:sz="8" w:space="0" w:color="auto"/>
            </w:tcBorders>
            <w:shd w:val="clear" w:color="auto" w:fill="auto"/>
            <w:noWrap/>
            <w:vAlign w:val="bottom"/>
          </w:tcPr>
          <w:p w14:paraId="2A02DDED" w14:textId="77777777" w:rsidR="00421D81" w:rsidRPr="00932616" w:rsidRDefault="00421D81" w:rsidP="00F51BBE">
            <w:pPr>
              <w:rPr>
                <w:rFonts w:eastAsia="Times New Roman"/>
                <w:sz w:val="20"/>
                <w:szCs w:val="20"/>
              </w:rPr>
            </w:pPr>
            <w:r w:rsidRPr="00932616">
              <w:rPr>
                <w:rFonts w:eastAsia="Times New Roman"/>
                <w:sz w:val="20"/>
                <w:szCs w:val="20"/>
              </w:rPr>
              <w:t> </w:t>
            </w:r>
          </w:p>
        </w:tc>
        <w:tc>
          <w:tcPr>
            <w:tcW w:w="993" w:type="dxa"/>
            <w:tcBorders>
              <w:top w:val="single" w:sz="4" w:space="0" w:color="auto"/>
              <w:left w:val="nil"/>
              <w:bottom w:val="single" w:sz="8" w:space="0" w:color="auto"/>
              <w:right w:val="single" w:sz="8" w:space="0" w:color="auto"/>
            </w:tcBorders>
            <w:shd w:val="clear" w:color="auto" w:fill="auto"/>
            <w:noWrap/>
            <w:vAlign w:val="bottom"/>
          </w:tcPr>
          <w:p w14:paraId="4B089793" w14:textId="77777777" w:rsidR="00421D81" w:rsidRPr="00932616" w:rsidRDefault="00421D81" w:rsidP="00F51BBE">
            <w:pPr>
              <w:jc w:val="center"/>
              <w:rPr>
                <w:rFonts w:eastAsia="Times New Roman"/>
                <w:sz w:val="20"/>
                <w:szCs w:val="20"/>
              </w:rPr>
            </w:pPr>
            <w:r>
              <w:rPr>
                <w:rFonts w:eastAsia="Times New Roman"/>
                <w:sz w:val="20"/>
                <w:szCs w:val="20"/>
              </w:rPr>
              <w:t>30</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bottom"/>
          </w:tcPr>
          <w:p w14:paraId="23ABD160" w14:textId="77777777" w:rsidR="00421D81" w:rsidRPr="00932616" w:rsidRDefault="00421D81" w:rsidP="00F51BBE">
            <w:pPr>
              <w:jc w:val="center"/>
              <w:rPr>
                <w:rFonts w:eastAsia="Times New Roman"/>
                <w:sz w:val="16"/>
                <w:szCs w:val="16"/>
              </w:rPr>
            </w:pPr>
            <w:r>
              <w:rPr>
                <w:rFonts w:eastAsia="Times New Roman"/>
                <w:sz w:val="16"/>
                <w:szCs w:val="16"/>
              </w:rPr>
              <w:t>1 year</w:t>
            </w:r>
            <w:r w:rsidRPr="00932616">
              <w:rPr>
                <w:rFonts w:eastAsia="Times New Roman"/>
                <w:sz w:val="16"/>
                <w:szCs w:val="16"/>
              </w:rPr>
              <w:t>+</w:t>
            </w:r>
          </w:p>
        </w:tc>
      </w:tr>
    </w:tbl>
    <w:p w14:paraId="4377C4B8" w14:textId="77777777" w:rsidR="00421D81" w:rsidRDefault="00421D81" w:rsidP="00421D81"/>
    <w:p w14:paraId="64C2B1FD" w14:textId="77777777" w:rsidR="00421D81" w:rsidRDefault="00421D81" w:rsidP="00421D81">
      <w:r>
        <w:t>** Local authorities may be subject to lower limits throughout the year if they are deemed to be under severe financial stress.</w:t>
      </w:r>
    </w:p>
    <w:p w14:paraId="1C332D60" w14:textId="77777777" w:rsidR="00421D81" w:rsidRDefault="00421D81" w:rsidP="00421D81"/>
    <w:p w14:paraId="72607604" w14:textId="77777777" w:rsidR="00421D81" w:rsidRDefault="00421D81" w:rsidP="00421D81"/>
    <w:tbl>
      <w:tblPr>
        <w:tblW w:w="8950" w:type="dxa"/>
        <w:tblInd w:w="89" w:type="dxa"/>
        <w:tblLook w:val="0000" w:firstRow="0" w:lastRow="0" w:firstColumn="0" w:lastColumn="0" w:noHBand="0" w:noVBand="0"/>
      </w:tblPr>
      <w:tblGrid>
        <w:gridCol w:w="612"/>
        <w:gridCol w:w="3518"/>
        <w:gridCol w:w="582"/>
        <w:gridCol w:w="672"/>
        <w:gridCol w:w="692"/>
        <w:gridCol w:w="841"/>
        <w:gridCol w:w="993"/>
        <w:gridCol w:w="1134"/>
      </w:tblGrid>
      <w:tr w:rsidR="00421D81" w:rsidRPr="00932616" w14:paraId="38B53718" w14:textId="77777777" w:rsidTr="00F51BBE">
        <w:trPr>
          <w:trHeight w:val="315"/>
        </w:trPr>
        <w:tc>
          <w:tcPr>
            <w:tcW w:w="4130" w:type="dxa"/>
            <w:gridSpan w:val="2"/>
            <w:tcBorders>
              <w:top w:val="single" w:sz="8" w:space="0" w:color="auto"/>
              <w:left w:val="single" w:sz="8" w:space="0" w:color="auto"/>
              <w:bottom w:val="nil"/>
              <w:right w:val="nil"/>
            </w:tcBorders>
            <w:shd w:val="clear" w:color="auto" w:fill="auto"/>
            <w:noWrap/>
            <w:vAlign w:val="bottom"/>
          </w:tcPr>
          <w:p w14:paraId="799C75DB" w14:textId="77777777" w:rsidR="00421D81" w:rsidRPr="00D1740E" w:rsidRDefault="00421D81" w:rsidP="00F51BBE">
            <w:pPr>
              <w:rPr>
                <w:rFonts w:eastAsia="Times New Roman"/>
                <w:b/>
                <w:bCs/>
              </w:rPr>
            </w:pPr>
            <w:r>
              <w:rPr>
                <w:rFonts w:eastAsia="Times New Roman"/>
                <w:b/>
                <w:bCs/>
              </w:rPr>
              <w:lastRenderedPageBreak/>
              <w:t>Money Market funds</w:t>
            </w:r>
          </w:p>
        </w:tc>
        <w:tc>
          <w:tcPr>
            <w:tcW w:w="2693" w:type="dxa"/>
            <w:gridSpan w:val="4"/>
            <w:tcBorders>
              <w:top w:val="single" w:sz="8" w:space="0" w:color="auto"/>
              <w:left w:val="single" w:sz="8" w:space="0" w:color="auto"/>
              <w:bottom w:val="nil"/>
              <w:right w:val="single" w:sz="8" w:space="0" w:color="000000"/>
            </w:tcBorders>
            <w:shd w:val="clear" w:color="auto" w:fill="auto"/>
            <w:noWrap/>
            <w:vAlign w:val="bottom"/>
          </w:tcPr>
          <w:p w14:paraId="02623CE3" w14:textId="77777777" w:rsidR="00421D81" w:rsidRPr="00932616" w:rsidRDefault="00421D81" w:rsidP="00F51BBE">
            <w:pPr>
              <w:jc w:val="center"/>
              <w:rPr>
                <w:rFonts w:eastAsia="Times New Roman"/>
                <w:b/>
                <w:bCs/>
                <w:sz w:val="16"/>
                <w:szCs w:val="16"/>
              </w:rPr>
            </w:pPr>
          </w:p>
        </w:tc>
        <w:tc>
          <w:tcPr>
            <w:tcW w:w="993" w:type="dxa"/>
            <w:tcBorders>
              <w:top w:val="single" w:sz="8" w:space="0" w:color="auto"/>
              <w:left w:val="nil"/>
              <w:bottom w:val="nil"/>
              <w:right w:val="single" w:sz="8" w:space="0" w:color="auto"/>
            </w:tcBorders>
            <w:shd w:val="clear" w:color="auto" w:fill="auto"/>
            <w:noWrap/>
            <w:vAlign w:val="bottom"/>
          </w:tcPr>
          <w:p w14:paraId="0DC67A5A" w14:textId="77777777" w:rsidR="00421D81" w:rsidRPr="00932616" w:rsidRDefault="00421D81" w:rsidP="00F51BBE">
            <w:pPr>
              <w:jc w:val="center"/>
              <w:rPr>
                <w:rFonts w:eastAsia="Times New Roman"/>
                <w:b/>
                <w:bCs/>
                <w:sz w:val="16"/>
                <w:szCs w:val="16"/>
              </w:rPr>
            </w:pPr>
            <w:r w:rsidRPr="00932616">
              <w:rPr>
                <w:rFonts w:eastAsia="Times New Roman"/>
                <w:b/>
                <w:bCs/>
                <w:sz w:val="16"/>
                <w:szCs w:val="16"/>
              </w:rPr>
              <w:t>LIMIT</w:t>
            </w:r>
          </w:p>
        </w:tc>
        <w:tc>
          <w:tcPr>
            <w:tcW w:w="1134" w:type="dxa"/>
            <w:tcBorders>
              <w:top w:val="single" w:sz="8" w:space="0" w:color="auto"/>
              <w:left w:val="single" w:sz="8" w:space="0" w:color="auto"/>
              <w:bottom w:val="nil"/>
              <w:right w:val="single" w:sz="8" w:space="0" w:color="auto"/>
            </w:tcBorders>
            <w:shd w:val="clear" w:color="auto" w:fill="auto"/>
            <w:noWrap/>
            <w:vAlign w:val="bottom"/>
          </w:tcPr>
          <w:p w14:paraId="125096C8" w14:textId="77777777" w:rsidR="00421D81" w:rsidRPr="00932616" w:rsidRDefault="00421D81" w:rsidP="00F51BBE">
            <w:pPr>
              <w:jc w:val="center"/>
              <w:rPr>
                <w:rFonts w:eastAsia="Times New Roman"/>
                <w:sz w:val="20"/>
                <w:szCs w:val="20"/>
              </w:rPr>
            </w:pPr>
          </w:p>
        </w:tc>
      </w:tr>
      <w:tr w:rsidR="00421D81" w:rsidRPr="00932616" w14:paraId="26174586" w14:textId="77777777" w:rsidTr="00F51BBE">
        <w:trPr>
          <w:trHeight w:val="270"/>
        </w:trPr>
        <w:tc>
          <w:tcPr>
            <w:tcW w:w="612" w:type="dxa"/>
            <w:tcBorders>
              <w:top w:val="nil"/>
              <w:left w:val="single" w:sz="8" w:space="0" w:color="auto"/>
              <w:bottom w:val="single" w:sz="8" w:space="0" w:color="auto"/>
              <w:right w:val="nil"/>
            </w:tcBorders>
            <w:shd w:val="clear" w:color="auto" w:fill="auto"/>
            <w:noWrap/>
            <w:vAlign w:val="bottom"/>
          </w:tcPr>
          <w:p w14:paraId="1B0F75A7" w14:textId="77777777" w:rsidR="00421D81" w:rsidRPr="00932616" w:rsidRDefault="00421D81" w:rsidP="00F51BBE">
            <w:pPr>
              <w:rPr>
                <w:rFonts w:eastAsia="Times New Roman"/>
                <w:sz w:val="20"/>
                <w:szCs w:val="20"/>
              </w:rPr>
            </w:pPr>
            <w:r w:rsidRPr="00932616">
              <w:rPr>
                <w:rFonts w:eastAsia="Times New Roman"/>
                <w:sz w:val="20"/>
                <w:szCs w:val="20"/>
              </w:rPr>
              <w:t> </w:t>
            </w:r>
          </w:p>
        </w:tc>
        <w:tc>
          <w:tcPr>
            <w:tcW w:w="3518" w:type="dxa"/>
            <w:tcBorders>
              <w:top w:val="nil"/>
              <w:left w:val="nil"/>
              <w:bottom w:val="nil"/>
              <w:right w:val="nil"/>
            </w:tcBorders>
            <w:shd w:val="clear" w:color="auto" w:fill="auto"/>
            <w:noWrap/>
            <w:vAlign w:val="bottom"/>
          </w:tcPr>
          <w:p w14:paraId="3B214AA8" w14:textId="77777777" w:rsidR="00421D81" w:rsidRPr="00932616" w:rsidRDefault="00421D81" w:rsidP="00F51BBE">
            <w:pPr>
              <w:rPr>
                <w:rFonts w:eastAsia="Times New Roman"/>
                <w:sz w:val="20"/>
                <w:szCs w:val="20"/>
              </w:rPr>
            </w:pPr>
          </w:p>
        </w:tc>
        <w:tc>
          <w:tcPr>
            <w:tcW w:w="582" w:type="dxa"/>
            <w:tcBorders>
              <w:top w:val="nil"/>
              <w:left w:val="single" w:sz="8" w:space="0" w:color="auto"/>
              <w:bottom w:val="single" w:sz="8" w:space="0" w:color="auto"/>
              <w:right w:val="nil"/>
            </w:tcBorders>
            <w:shd w:val="clear" w:color="auto" w:fill="auto"/>
            <w:noWrap/>
            <w:vAlign w:val="bottom"/>
          </w:tcPr>
          <w:p w14:paraId="0739D159" w14:textId="77777777" w:rsidR="00421D81" w:rsidRPr="00932616" w:rsidRDefault="00421D81" w:rsidP="00F51BBE">
            <w:pPr>
              <w:rPr>
                <w:rFonts w:eastAsia="Times New Roman"/>
                <w:b/>
                <w:bCs/>
                <w:sz w:val="20"/>
                <w:szCs w:val="20"/>
              </w:rPr>
            </w:pPr>
          </w:p>
        </w:tc>
        <w:tc>
          <w:tcPr>
            <w:tcW w:w="578" w:type="dxa"/>
            <w:tcBorders>
              <w:top w:val="nil"/>
              <w:left w:val="nil"/>
              <w:bottom w:val="single" w:sz="8" w:space="0" w:color="auto"/>
              <w:right w:val="nil"/>
            </w:tcBorders>
            <w:shd w:val="clear" w:color="auto" w:fill="auto"/>
            <w:noWrap/>
            <w:vAlign w:val="bottom"/>
          </w:tcPr>
          <w:p w14:paraId="5020ED4B" w14:textId="77777777" w:rsidR="00421D81" w:rsidRPr="00932616" w:rsidRDefault="00421D81" w:rsidP="00F51BBE">
            <w:pPr>
              <w:rPr>
                <w:rFonts w:eastAsia="Times New Roman"/>
                <w:b/>
                <w:bCs/>
                <w:sz w:val="20"/>
                <w:szCs w:val="20"/>
              </w:rPr>
            </w:pPr>
          </w:p>
        </w:tc>
        <w:tc>
          <w:tcPr>
            <w:tcW w:w="692" w:type="dxa"/>
            <w:tcBorders>
              <w:top w:val="nil"/>
              <w:left w:val="nil"/>
              <w:bottom w:val="single" w:sz="8" w:space="0" w:color="auto"/>
              <w:right w:val="nil"/>
            </w:tcBorders>
            <w:shd w:val="clear" w:color="auto" w:fill="auto"/>
            <w:noWrap/>
            <w:vAlign w:val="bottom"/>
          </w:tcPr>
          <w:p w14:paraId="1A3C254C" w14:textId="77777777" w:rsidR="00421D81" w:rsidRPr="00932616" w:rsidRDefault="00421D81" w:rsidP="00F51BBE">
            <w:pPr>
              <w:rPr>
                <w:rFonts w:eastAsia="Times New Roman"/>
                <w:b/>
                <w:bCs/>
                <w:sz w:val="20"/>
                <w:szCs w:val="20"/>
              </w:rPr>
            </w:pPr>
          </w:p>
        </w:tc>
        <w:tc>
          <w:tcPr>
            <w:tcW w:w="841" w:type="dxa"/>
            <w:tcBorders>
              <w:top w:val="nil"/>
              <w:left w:val="nil"/>
              <w:bottom w:val="single" w:sz="8" w:space="0" w:color="auto"/>
              <w:right w:val="single" w:sz="8" w:space="0" w:color="auto"/>
            </w:tcBorders>
            <w:shd w:val="clear" w:color="auto" w:fill="auto"/>
            <w:noWrap/>
            <w:vAlign w:val="bottom"/>
          </w:tcPr>
          <w:p w14:paraId="106FA04A" w14:textId="77777777" w:rsidR="00421D81" w:rsidRPr="00932616" w:rsidRDefault="00421D81" w:rsidP="00F51BBE">
            <w:pPr>
              <w:rPr>
                <w:rFonts w:eastAsia="Times New Roman"/>
                <w:b/>
                <w:bCs/>
                <w:sz w:val="20"/>
                <w:szCs w:val="20"/>
              </w:rPr>
            </w:pPr>
          </w:p>
        </w:tc>
        <w:tc>
          <w:tcPr>
            <w:tcW w:w="993" w:type="dxa"/>
            <w:tcBorders>
              <w:top w:val="nil"/>
              <w:left w:val="nil"/>
              <w:bottom w:val="nil"/>
              <w:right w:val="single" w:sz="8" w:space="0" w:color="auto"/>
            </w:tcBorders>
            <w:shd w:val="clear" w:color="auto" w:fill="auto"/>
            <w:noWrap/>
            <w:vAlign w:val="bottom"/>
          </w:tcPr>
          <w:p w14:paraId="2564FBE5" w14:textId="77777777" w:rsidR="00421D81" w:rsidRPr="00932616" w:rsidRDefault="00421D81" w:rsidP="00F51BBE">
            <w:pPr>
              <w:jc w:val="center"/>
              <w:rPr>
                <w:rFonts w:eastAsia="Times New Roman"/>
                <w:b/>
                <w:bCs/>
                <w:sz w:val="20"/>
                <w:szCs w:val="20"/>
              </w:rPr>
            </w:pPr>
            <w:r w:rsidRPr="00932616">
              <w:rPr>
                <w:rFonts w:eastAsia="Times New Roman"/>
                <w:b/>
                <w:bCs/>
                <w:sz w:val="20"/>
                <w:szCs w:val="20"/>
              </w:rPr>
              <w:t>£000</w:t>
            </w:r>
          </w:p>
        </w:tc>
        <w:tc>
          <w:tcPr>
            <w:tcW w:w="1134" w:type="dxa"/>
            <w:tcBorders>
              <w:top w:val="nil"/>
              <w:left w:val="single" w:sz="8" w:space="0" w:color="auto"/>
              <w:bottom w:val="nil"/>
              <w:right w:val="single" w:sz="8" w:space="0" w:color="auto"/>
            </w:tcBorders>
            <w:shd w:val="clear" w:color="auto" w:fill="auto"/>
            <w:noWrap/>
            <w:vAlign w:val="bottom"/>
          </w:tcPr>
          <w:p w14:paraId="2E203ED5" w14:textId="77777777" w:rsidR="00421D81" w:rsidRPr="00932616" w:rsidRDefault="00421D81" w:rsidP="00F51BBE">
            <w:pPr>
              <w:jc w:val="center"/>
              <w:rPr>
                <w:rFonts w:eastAsia="Times New Roman"/>
                <w:b/>
                <w:bCs/>
                <w:sz w:val="16"/>
                <w:szCs w:val="16"/>
              </w:rPr>
            </w:pPr>
            <w:r w:rsidRPr="00932616">
              <w:rPr>
                <w:rFonts w:eastAsia="Times New Roman"/>
                <w:b/>
                <w:bCs/>
                <w:sz w:val="16"/>
                <w:szCs w:val="16"/>
              </w:rPr>
              <w:t>PERIOD</w:t>
            </w:r>
          </w:p>
        </w:tc>
      </w:tr>
      <w:tr w:rsidR="00421D81" w:rsidRPr="00932616" w14:paraId="1AF25221" w14:textId="77777777" w:rsidTr="00F51BBE">
        <w:trPr>
          <w:trHeight w:val="270"/>
        </w:trPr>
        <w:tc>
          <w:tcPr>
            <w:tcW w:w="612" w:type="dxa"/>
            <w:tcBorders>
              <w:top w:val="nil"/>
              <w:left w:val="single" w:sz="8" w:space="0" w:color="auto"/>
              <w:bottom w:val="single" w:sz="8" w:space="0" w:color="auto"/>
              <w:right w:val="nil"/>
            </w:tcBorders>
            <w:shd w:val="clear" w:color="auto" w:fill="auto"/>
            <w:noWrap/>
            <w:vAlign w:val="bottom"/>
          </w:tcPr>
          <w:p w14:paraId="65D2FED8" w14:textId="77777777" w:rsidR="00421D81" w:rsidRPr="00932616" w:rsidRDefault="00421D81" w:rsidP="00F51BBE">
            <w:pPr>
              <w:rPr>
                <w:rFonts w:eastAsia="Times New Roman"/>
                <w:sz w:val="20"/>
                <w:szCs w:val="20"/>
              </w:rPr>
            </w:pPr>
            <w:r w:rsidRPr="00932616">
              <w:rPr>
                <w:rFonts w:eastAsia="Times New Roman"/>
                <w:sz w:val="20"/>
                <w:szCs w:val="20"/>
              </w:rPr>
              <w:t> </w:t>
            </w:r>
          </w:p>
        </w:tc>
        <w:tc>
          <w:tcPr>
            <w:tcW w:w="3518" w:type="dxa"/>
            <w:tcBorders>
              <w:top w:val="single" w:sz="8" w:space="0" w:color="auto"/>
              <w:left w:val="nil"/>
              <w:bottom w:val="single" w:sz="8" w:space="0" w:color="auto"/>
              <w:right w:val="nil"/>
            </w:tcBorders>
            <w:shd w:val="clear" w:color="auto" w:fill="auto"/>
            <w:noWrap/>
            <w:vAlign w:val="bottom"/>
          </w:tcPr>
          <w:p w14:paraId="6A878426" w14:textId="77777777" w:rsidR="00421D81" w:rsidRPr="00D1740E" w:rsidRDefault="00421D81" w:rsidP="00F51BBE">
            <w:pPr>
              <w:rPr>
                <w:rFonts w:eastAsia="Times New Roman"/>
              </w:rPr>
            </w:pPr>
            <w:r>
              <w:rPr>
                <w:rFonts w:eastAsia="Times New Roman"/>
              </w:rPr>
              <w:t xml:space="preserve">All </w:t>
            </w:r>
          </w:p>
        </w:tc>
        <w:tc>
          <w:tcPr>
            <w:tcW w:w="582" w:type="dxa"/>
            <w:tcBorders>
              <w:top w:val="nil"/>
              <w:left w:val="single" w:sz="8" w:space="0" w:color="auto"/>
              <w:bottom w:val="single" w:sz="8" w:space="0" w:color="auto"/>
              <w:right w:val="nil"/>
            </w:tcBorders>
            <w:shd w:val="clear" w:color="auto" w:fill="auto"/>
            <w:noWrap/>
            <w:vAlign w:val="bottom"/>
          </w:tcPr>
          <w:p w14:paraId="6BE5A448" w14:textId="77777777" w:rsidR="00421D81" w:rsidRPr="00932616" w:rsidRDefault="00421D81" w:rsidP="00F51BBE">
            <w:pPr>
              <w:rPr>
                <w:rFonts w:eastAsia="Times New Roman"/>
                <w:sz w:val="20"/>
                <w:szCs w:val="20"/>
              </w:rPr>
            </w:pPr>
            <w:r w:rsidRPr="00932616">
              <w:rPr>
                <w:rFonts w:eastAsia="Times New Roman"/>
                <w:sz w:val="20"/>
                <w:szCs w:val="20"/>
              </w:rPr>
              <w:t> </w:t>
            </w:r>
          </w:p>
        </w:tc>
        <w:tc>
          <w:tcPr>
            <w:tcW w:w="578" w:type="dxa"/>
            <w:tcBorders>
              <w:top w:val="nil"/>
              <w:left w:val="nil"/>
              <w:bottom w:val="single" w:sz="8" w:space="0" w:color="auto"/>
              <w:right w:val="nil"/>
            </w:tcBorders>
            <w:shd w:val="clear" w:color="auto" w:fill="auto"/>
            <w:noWrap/>
            <w:vAlign w:val="bottom"/>
          </w:tcPr>
          <w:p w14:paraId="63DC4F5F" w14:textId="77777777" w:rsidR="00421D81" w:rsidRPr="00932616" w:rsidRDefault="00421D81" w:rsidP="00F51BBE">
            <w:pPr>
              <w:rPr>
                <w:rFonts w:eastAsia="Times New Roman"/>
                <w:sz w:val="20"/>
                <w:szCs w:val="20"/>
              </w:rPr>
            </w:pPr>
            <w:r w:rsidRPr="00932616">
              <w:rPr>
                <w:rFonts w:eastAsia="Times New Roman"/>
                <w:sz w:val="20"/>
                <w:szCs w:val="20"/>
              </w:rPr>
              <w:t> </w:t>
            </w:r>
            <w:r>
              <w:rPr>
                <w:rFonts w:eastAsia="Times New Roman"/>
                <w:sz w:val="20"/>
                <w:szCs w:val="20"/>
              </w:rPr>
              <w:t>AAA</w:t>
            </w:r>
          </w:p>
        </w:tc>
        <w:tc>
          <w:tcPr>
            <w:tcW w:w="692" w:type="dxa"/>
            <w:tcBorders>
              <w:top w:val="nil"/>
              <w:left w:val="nil"/>
              <w:bottom w:val="single" w:sz="8" w:space="0" w:color="auto"/>
              <w:right w:val="nil"/>
            </w:tcBorders>
            <w:shd w:val="clear" w:color="auto" w:fill="auto"/>
            <w:noWrap/>
            <w:vAlign w:val="bottom"/>
          </w:tcPr>
          <w:p w14:paraId="15DDDB09" w14:textId="77777777" w:rsidR="00421D81" w:rsidRPr="00932616" w:rsidRDefault="00421D81" w:rsidP="00F51BBE">
            <w:pPr>
              <w:rPr>
                <w:rFonts w:eastAsia="Times New Roman"/>
                <w:sz w:val="20"/>
                <w:szCs w:val="20"/>
              </w:rPr>
            </w:pPr>
            <w:r w:rsidRPr="00932616">
              <w:rPr>
                <w:rFonts w:eastAsia="Times New Roman"/>
                <w:sz w:val="20"/>
                <w:szCs w:val="20"/>
              </w:rPr>
              <w:t> </w:t>
            </w:r>
          </w:p>
        </w:tc>
        <w:tc>
          <w:tcPr>
            <w:tcW w:w="841" w:type="dxa"/>
            <w:tcBorders>
              <w:top w:val="nil"/>
              <w:left w:val="nil"/>
              <w:bottom w:val="single" w:sz="8" w:space="0" w:color="auto"/>
              <w:right w:val="single" w:sz="8" w:space="0" w:color="auto"/>
            </w:tcBorders>
            <w:shd w:val="clear" w:color="auto" w:fill="auto"/>
            <w:noWrap/>
            <w:vAlign w:val="bottom"/>
          </w:tcPr>
          <w:p w14:paraId="7B28B4D8" w14:textId="77777777" w:rsidR="00421D81" w:rsidRPr="00932616" w:rsidRDefault="00421D81" w:rsidP="00F51BBE">
            <w:pPr>
              <w:rPr>
                <w:rFonts w:eastAsia="Times New Roman"/>
                <w:sz w:val="20"/>
                <w:szCs w:val="20"/>
              </w:rPr>
            </w:pPr>
            <w:r w:rsidRPr="00932616">
              <w:rPr>
                <w:rFonts w:eastAsia="Times New Roman"/>
                <w:sz w:val="20"/>
                <w:szCs w:val="20"/>
              </w:rPr>
              <w:t> </w:t>
            </w:r>
          </w:p>
        </w:tc>
        <w:tc>
          <w:tcPr>
            <w:tcW w:w="993" w:type="dxa"/>
            <w:tcBorders>
              <w:top w:val="single" w:sz="4" w:space="0" w:color="auto"/>
              <w:left w:val="nil"/>
              <w:bottom w:val="single" w:sz="8" w:space="0" w:color="auto"/>
              <w:right w:val="single" w:sz="8" w:space="0" w:color="auto"/>
            </w:tcBorders>
            <w:shd w:val="clear" w:color="auto" w:fill="auto"/>
            <w:noWrap/>
            <w:vAlign w:val="bottom"/>
          </w:tcPr>
          <w:p w14:paraId="63AEB4BC" w14:textId="77777777" w:rsidR="00421D81" w:rsidRPr="00932616" w:rsidRDefault="00421D81" w:rsidP="00F51BBE">
            <w:pPr>
              <w:jc w:val="center"/>
              <w:rPr>
                <w:rFonts w:eastAsia="Times New Roman"/>
                <w:sz w:val="20"/>
                <w:szCs w:val="20"/>
              </w:rPr>
            </w:pPr>
            <w:r>
              <w:rPr>
                <w:rFonts w:eastAsia="Times New Roman"/>
                <w:sz w:val="20"/>
                <w:szCs w:val="20"/>
              </w:rPr>
              <w:t>30</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bottom"/>
          </w:tcPr>
          <w:p w14:paraId="40586A49" w14:textId="77777777" w:rsidR="00421D81" w:rsidRPr="00932616" w:rsidRDefault="00421D81" w:rsidP="00F51BBE">
            <w:pPr>
              <w:jc w:val="center"/>
              <w:rPr>
                <w:rFonts w:eastAsia="Times New Roman"/>
                <w:sz w:val="16"/>
                <w:szCs w:val="16"/>
              </w:rPr>
            </w:pPr>
            <w:r>
              <w:rPr>
                <w:rFonts w:eastAsia="Times New Roman"/>
                <w:sz w:val="16"/>
                <w:szCs w:val="16"/>
              </w:rPr>
              <w:t>&lt;1 year</w:t>
            </w:r>
          </w:p>
        </w:tc>
      </w:tr>
    </w:tbl>
    <w:p w14:paraId="5D458D22" w14:textId="77777777" w:rsidR="00421D81" w:rsidRDefault="00421D81" w:rsidP="00421D81"/>
    <w:p w14:paraId="504446B0" w14:textId="77777777" w:rsidR="00421D81" w:rsidRDefault="00421D81" w:rsidP="00421D81"/>
    <w:p w14:paraId="6658B902" w14:textId="77777777" w:rsidR="00421D81" w:rsidRDefault="00421D81" w:rsidP="00421D81">
      <w:r>
        <w:t>Long Term Ratings AAA to DDD the best quality to junk bonds</w:t>
      </w:r>
    </w:p>
    <w:p w14:paraId="74BE7138" w14:textId="77777777" w:rsidR="00421D81" w:rsidRDefault="00421D81" w:rsidP="00421D81">
      <w:r>
        <w:t>Short Term Ratings F1+ to F3 the safest to the riskier</w:t>
      </w:r>
    </w:p>
    <w:p w14:paraId="490A55F9" w14:textId="77777777" w:rsidR="00421D81" w:rsidRDefault="00421D81" w:rsidP="00421D81">
      <w:r>
        <w:t>Viability Rating aaa to bbb as its title suggests</w:t>
      </w:r>
    </w:p>
    <w:p w14:paraId="2C910933" w14:textId="77777777" w:rsidR="00421D81" w:rsidRDefault="00421D81" w:rsidP="00421D81">
      <w:r>
        <w:t>Support Rating 1 to 5 how well backed by sovereign nation</w:t>
      </w:r>
    </w:p>
    <w:p w14:paraId="531AB7E7" w14:textId="77777777" w:rsidR="00421D81" w:rsidRDefault="00421D81" w:rsidP="00421D81">
      <w:r>
        <w:t>Local Authorities are assumed to have the same ratings as UK Government.</w:t>
      </w:r>
    </w:p>
    <w:p w14:paraId="430DF29B" w14:textId="77777777" w:rsidR="00421D81" w:rsidRDefault="00421D81" w:rsidP="00421D81">
      <w:pPr>
        <w:ind w:left="719" w:hanging="719"/>
        <w:jc w:val="right"/>
        <w:rPr>
          <w:b/>
        </w:rPr>
      </w:pPr>
    </w:p>
    <w:p w14:paraId="09210E69" w14:textId="77777777" w:rsidR="00DF6DDC" w:rsidRDefault="00DF6DDC" w:rsidP="00421D81">
      <w:pPr>
        <w:ind w:left="719" w:hanging="719"/>
        <w:jc w:val="right"/>
        <w:rPr>
          <w:b/>
        </w:rPr>
      </w:pPr>
    </w:p>
    <w:p w14:paraId="54328D69" w14:textId="77777777" w:rsidR="00DF6DDC" w:rsidRDefault="00DF6DDC">
      <w:pPr>
        <w:rPr>
          <w:b/>
        </w:rPr>
      </w:pPr>
      <w:r>
        <w:rPr>
          <w:b/>
        </w:rPr>
        <w:br w:type="page"/>
      </w:r>
    </w:p>
    <w:p w14:paraId="3267E8FC" w14:textId="77777777" w:rsidR="00DF6DDC" w:rsidRDefault="00DF6DDC" w:rsidP="00421D81">
      <w:pPr>
        <w:ind w:left="719" w:hanging="719"/>
        <w:jc w:val="right"/>
        <w:rPr>
          <w:b/>
        </w:rPr>
      </w:pPr>
    </w:p>
    <w:p w14:paraId="5761DE57" w14:textId="77777777" w:rsidR="00421D81" w:rsidRDefault="00421D81" w:rsidP="00421D81">
      <w:pPr>
        <w:ind w:left="719" w:hanging="719"/>
        <w:jc w:val="right"/>
        <w:rPr>
          <w:b/>
        </w:rPr>
      </w:pPr>
    </w:p>
    <w:p w14:paraId="609BA4CB" w14:textId="77777777" w:rsidR="00421D81" w:rsidRDefault="00421D81" w:rsidP="00421D81">
      <w:pPr>
        <w:ind w:left="719" w:hanging="719"/>
        <w:jc w:val="right"/>
        <w:rPr>
          <w:b/>
        </w:rPr>
      </w:pPr>
      <w:r w:rsidRPr="004C21F7">
        <w:rPr>
          <w:b/>
        </w:rPr>
        <w:t xml:space="preserve">APPENDIX </w:t>
      </w:r>
      <w:r>
        <w:rPr>
          <w:b/>
        </w:rPr>
        <w:t>D</w:t>
      </w:r>
    </w:p>
    <w:p w14:paraId="4E0DDCE2" w14:textId="77777777" w:rsidR="00421D81" w:rsidRDefault="00421D81" w:rsidP="00421D81">
      <w:pPr>
        <w:ind w:left="719" w:hanging="719"/>
        <w:jc w:val="right"/>
        <w:rPr>
          <w:b/>
        </w:rPr>
      </w:pPr>
    </w:p>
    <w:p w14:paraId="04DF9B7A" w14:textId="77777777" w:rsidR="00421D81" w:rsidRDefault="00421D81" w:rsidP="00421D81"/>
    <w:tbl>
      <w:tblPr>
        <w:tblW w:w="9314" w:type="dxa"/>
        <w:tblLook w:val="04A0" w:firstRow="1" w:lastRow="0" w:firstColumn="1" w:lastColumn="0" w:noHBand="0" w:noVBand="1"/>
      </w:tblPr>
      <w:tblGrid>
        <w:gridCol w:w="1512"/>
        <w:gridCol w:w="3384"/>
        <w:gridCol w:w="1491"/>
        <w:gridCol w:w="1073"/>
        <w:gridCol w:w="1854"/>
      </w:tblGrid>
      <w:tr w:rsidR="00421D81" w:rsidRPr="0094727B" w14:paraId="46762EB1" w14:textId="77777777" w:rsidTr="00F51BBE">
        <w:trPr>
          <w:trHeight w:val="215"/>
        </w:trPr>
        <w:tc>
          <w:tcPr>
            <w:tcW w:w="1512" w:type="dxa"/>
            <w:tcBorders>
              <w:top w:val="nil"/>
              <w:left w:val="nil"/>
              <w:bottom w:val="nil"/>
              <w:right w:val="nil"/>
            </w:tcBorders>
            <w:shd w:val="clear" w:color="000000" w:fill="FFFFFF"/>
            <w:noWrap/>
            <w:vAlign w:val="bottom"/>
            <w:hideMark/>
          </w:tcPr>
          <w:p w14:paraId="115C54D7" w14:textId="77777777" w:rsidR="00421D81" w:rsidRPr="0094727B" w:rsidRDefault="00421D81" w:rsidP="00F51BBE">
            <w:pPr>
              <w:rPr>
                <w:rFonts w:ascii="Calibri" w:eastAsia="Times New Roman" w:hAnsi="Calibri" w:cs="Calibri"/>
                <w:b/>
                <w:bCs/>
                <w:color w:val="000000"/>
              </w:rPr>
            </w:pPr>
            <w:r w:rsidRPr="0094727B">
              <w:rPr>
                <w:rFonts w:ascii="Calibri" w:eastAsia="Times New Roman" w:hAnsi="Calibri" w:cs="Calibri"/>
                <w:b/>
                <w:bCs/>
                <w:color w:val="000000"/>
              </w:rPr>
              <w:t> </w:t>
            </w:r>
          </w:p>
        </w:tc>
        <w:tc>
          <w:tcPr>
            <w:tcW w:w="4875" w:type="dxa"/>
            <w:gridSpan w:val="2"/>
            <w:tcBorders>
              <w:top w:val="nil"/>
              <w:left w:val="nil"/>
              <w:bottom w:val="nil"/>
              <w:right w:val="nil"/>
            </w:tcBorders>
            <w:shd w:val="clear" w:color="000000" w:fill="FFFFFF"/>
            <w:noWrap/>
            <w:vAlign w:val="bottom"/>
            <w:hideMark/>
          </w:tcPr>
          <w:p w14:paraId="1E2F7474" w14:textId="77777777" w:rsidR="00421D81" w:rsidRPr="0094727B" w:rsidRDefault="00421D81" w:rsidP="00F51BBE">
            <w:pPr>
              <w:rPr>
                <w:rFonts w:ascii="Calibri" w:eastAsia="Times New Roman" w:hAnsi="Calibri" w:cs="Calibri"/>
                <w:b/>
                <w:bCs/>
                <w:color w:val="000000"/>
              </w:rPr>
            </w:pPr>
            <w:r w:rsidRPr="0094727B">
              <w:rPr>
                <w:rFonts w:ascii="Calibri" w:eastAsia="Times New Roman" w:hAnsi="Calibri" w:cs="Calibri"/>
                <w:b/>
                <w:bCs/>
                <w:color w:val="000000"/>
              </w:rPr>
              <w:t>INVESTMENTS AS AT 24/02/21</w:t>
            </w:r>
          </w:p>
        </w:tc>
        <w:tc>
          <w:tcPr>
            <w:tcW w:w="1073" w:type="dxa"/>
            <w:tcBorders>
              <w:top w:val="nil"/>
              <w:left w:val="nil"/>
              <w:bottom w:val="nil"/>
              <w:right w:val="nil"/>
            </w:tcBorders>
            <w:shd w:val="clear" w:color="000000" w:fill="FFFFFF"/>
            <w:noWrap/>
            <w:vAlign w:val="bottom"/>
            <w:hideMark/>
          </w:tcPr>
          <w:p w14:paraId="1D935066" w14:textId="77777777" w:rsidR="00421D81" w:rsidRPr="0094727B" w:rsidRDefault="00421D81" w:rsidP="00F51BBE">
            <w:pPr>
              <w:rPr>
                <w:rFonts w:ascii="Calibri" w:eastAsia="Times New Roman" w:hAnsi="Calibri" w:cs="Calibri"/>
                <w:color w:val="000000"/>
              </w:rPr>
            </w:pPr>
            <w:r w:rsidRPr="0094727B">
              <w:rPr>
                <w:rFonts w:ascii="Calibri" w:eastAsia="Times New Roman" w:hAnsi="Calibri" w:cs="Calibri"/>
                <w:color w:val="000000"/>
              </w:rPr>
              <w:t> </w:t>
            </w:r>
          </w:p>
        </w:tc>
        <w:tc>
          <w:tcPr>
            <w:tcW w:w="1854" w:type="dxa"/>
            <w:tcBorders>
              <w:top w:val="nil"/>
              <w:left w:val="nil"/>
              <w:bottom w:val="nil"/>
              <w:right w:val="nil"/>
            </w:tcBorders>
            <w:shd w:val="clear" w:color="000000" w:fill="FFFFFF"/>
            <w:noWrap/>
            <w:vAlign w:val="bottom"/>
            <w:hideMark/>
          </w:tcPr>
          <w:p w14:paraId="37800CC2" w14:textId="77777777" w:rsidR="00421D81" w:rsidRPr="0094727B" w:rsidRDefault="00421D81" w:rsidP="00F51BBE">
            <w:pPr>
              <w:rPr>
                <w:rFonts w:ascii="Calibri" w:eastAsia="Times New Roman" w:hAnsi="Calibri" w:cs="Calibri"/>
                <w:color w:val="000000"/>
              </w:rPr>
            </w:pPr>
            <w:r w:rsidRPr="0094727B">
              <w:rPr>
                <w:rFonts w:ascii="Calibri" w:eastAsia="Times New Roman" w:hAnsi="Calibri" w:cs="Calibri"/>
                <w:color w:val="000000"/>
              </w:rPr>
              <w:t> </w:t>
            </w:r>
          </w:p>
        </w:tc>
      </w:tr>
      <w:tr w:rsidR="00421D81" w:rsidRPr="0094727B" w14:paraId="587E3355" w14:textId="77777777" w:rsidTr="00F51BBE">
        <w:trPr>
          <w:trHeight w:val="215"/>
        </w:trPr>
        <w:tc>
          <w:tcPr>
            <w:tcW w:w="1512" w:type="dxa"/>
            <w:tcBorders>
              <w:top w:val="nil"/>
              <w:left w:val="nil"/>
              <w:bottom w:val="single" w:sz="4" w:space="0" w:color="auto"/>
              <w:right w:val="nil"/>
            </w:tcBorders>
            <w:shd w:val="clear" w:color="000000" w:fill="FFFFFF"/>
            <w:noWrap/>
            <w:vAlign w:val="bottom"/>
            <w:hideMark/>
          </w:tcPr>
          <w:p w14:paraId="3EEA0954" w14:textId="77777777" w:rsidR="00421D81" w:rsidRPr="0094727B" w:rsidRDefault="00421D81" w:rsidP="00F51BBE">
            <w:pPr>
              <w:rPr>
                <w:rFonts w:ascii="Calibri" w:eastAsia="Times New Roman" w:hAnsi="Calibri" w:cs="Calibri"/>
                <w:color w:val="000000"/>
              </w:rPr>
            </w:pPr>
            <w:r w:rsidRPr="0094727B">
              <w:rPr>
                <w:rFonts w:ascii="Calibri" w:eastAsia="Times New Roman" w:hAnsi="Calibri" w:cs="Calibri"/>
                <w:color w:val="000000"/>
              </w:rPr>
              <w:t> </w:t>
            </w:r>
          </w:p>
        </w:tc>
        <w:tc>
          <w:tcPr>
            <w:tcW w:w="3384" w:type="dxa"/>
            <w:tcBorders>
              <w:top w:val="nil"/>
              <w:left w:val="nil"/>
              <w:bottom w:val="single" w:sz="4" w:space="0" w:color="auto"/>
              <w:right w:val="nil"/>
            </w:tcBorders>
            <w:shd w:val="clear" w:color="000000" w:fill="FFFFFF"/>
            <w:noWrap/>
            <w:vAlign w:val="bottom"/>
            <w:hideMark/>
          </w:tcPr>
          <w:p w14:paraId="3374AADE" w14:textId="77777777" w:rsidR="00421D81" w:rsidRPr="0094727B" w:rsidRDefault="00421D81" w:rsidP="00F51BBE">
            <w:pPr>
              <w:rPr>
                <w:rFonts w:ascii="Calibri" w:eastAsia="Times New Roman" w:hAnsi="Calibri" w:cs="Calibri"/>
                <w:color w:val="000000"/>
              </w:rPr>
            </w:pPr>
            <w:r w:rsidRPr="0094727B">
              <w:rPr>
                <w:rFonts w:ascii="Calibri" w:eastAsia="Times New Roman" w:hAnsi="Calibri" w:cs="Calibri"/>
                <w:color w:val="000000"/>
              </w:rPr>
              <w:t> </w:t>
            </w:r>
          </w:p>
        </w:tc>
        <w:tc>
          <w:tcPr>
            <w:tcW w:w="1490" w:type="dxa"/>
            <w:tcBorders>
              <w:top w:val="nil"/>
              <w:left w:val="nil"/>
              <w:bottom w:val="single" w:sz="4" w:space="0" w:color="auto"/>
              <w:right w:val="nil"/>
            </w:tcBorders>
            <w:shd w:val="clear" w:color="000000" w:fill="FFFFFF"/>
            <w:noWrap/>
            <w:vAlign w:val="bottom"/>
            <w:hideMark/>
          </w:tcPr>
          <w:p w14:paraId="1DCBC7D7" w14:textId="77777777" w:rsidR="00421D81" w:rsidRPr="0094727B" w:rsidRDefault="00421D81" w:rsidP="00F51BBE">
            <w:pPr>
              <w:rPr>
                <w:rFonts w:ascii="Calibri" w:eastAsia="Times New Roman" w:hAnsi="Calibri" w:cs="Calibri"/>
                <w:color w:val="000000"/>
              </w:rPr>
            </w:pPr>
            <w:r w:rsidRPr="0094727B">
              <w:rPr>
                <w:rFonts w:ascii="Calibri" w:eastAsia="Times New Roman" w:hAnsi="Calibri" w:cs="Calibri"/>
                <w:color w:val="000000"/>
              </w:rPr>
              <w:t> </w:t>
            </w:r>
          </w:p>
        </w:tc>
        <w:tc>
          <w:tcPr>
            <w:tcW w:w="1073" w:type="dxa"/>
            <w:tcBorders>
              <w:top w:val="nil"/>
              <w:left w:val="nil"/>
              <w:bottom w:val="single" w:sz="4" w:space="0" w:color="auto"/>
              <w:right w:val="nil"/>
            </w:tcBorders>
            <w:shd w:val="clear" w:color="000000" w:fill="FFFFFF"/>
            <w:noWrap/>
            <w:vAlign w:val="bottom"/>
            <w:hideMark/>
          </w:tcPr>
          <w:p w14:paraId="2DBE37A2" w14:textId="77777777" w:rsidR="00421D81" w:rsidRPr="0094727B" w:rsidRDefault="00421D81" w:rsidP="00F51BBE">
            <w:pPr>
              <w:rPr>
                <w:rFonts w:ascii="Calibri" w:eastAsia="Times New Roman" w:hAnsi="Calibri" w:cs="Calibri"/>
                <w:color w:val="000000"/>
              </w:rPr>
            </w:pPr>
            <w:r w:rsidRPr="0094727B">
              <w:rPr>
                <w:rFonts w:ascii="Calibri" w:eastAsia="Times New Roman" w:hAnsi="Calibri" w:cs="Calibri"/>
                <w:color w:val="000000"/>
              </w:rPr>
              <w:t> </w:t>
            </w:r>
          </w:p>
        </w:tc>
        <w:tc>
          <w:tcPr>
            <w:tcW w:w="1854" w:type="dxa"/>
            <w:tcBorders>
              <w:top w:val="nil"/>
              <w:left w:val="nil"/>
              <w:bottom w:val="single" w:sz="4" w:space="0" w:color="auto"/>
              <w:right w:val="nil"/>
            </w:tcBorders>
            <w:shd w:val="clear" w:color="000000" w:fill="FFFFFF"/>
            <w:noWrap/>
            <w:vAlign w:val="bottom"/>
            <w:hideMark/>
          </w:tcPr>
          <w:p w14:paraId="756901FD" w14:textId="77777777" w:rsidR="00421D81" w:rsidRPr="0094727B" w:rsidRDefault="00421D81" w:rsidP="00F51BBE">
            <w:pPr>
              <w:rPr>
                <w:rFonts w:ascii="Calibri" w:eastAsia="Times New Roman" w:hAnsi="Calibri" w:cs="Calibri"/>
                <w:color w:val="000000"/>
              </w:rPr>
            </w:pPr>
            <w:r w:rsidRPr="0094727B">
              <w:rPr>
                <w:rFonts w:ascii="Calibri" w:eastAsia="Times New Roman" w:hAnsi="Calibri" w:cs="Calibri"/>
                <w:color w:val="000000"/>
              </w:rPr>
              <w:t> </w:t>
            </w:r>
          </w:p>
        </w:tc>
      </w:tr>
      <w:tr w:rsidR="00421D81" w:rsidRPr="0094727B" w14:paraId="47DFAE81" w14:textId="77777777" w:rsidTr="00F51BBE">
        <w:trPr>
          <w:trHeight w:val="215"/>
        </w:trPr>
        <w:tc>
          <w:tcPr>
            <w:tcW w:w="1512" w:type="dxa"/>
            <w:tcBorders>
              <w:top w:val="nil"/>
              <w:left w:val="single" w:sz="4" w:space="0" w:color="auto"/>
              <w:bottom w:val="nil"/>
              <w:right w:val="single" w:sz="4" w:space="0" w:color="auto"/>
            </w:tcBorders>
            <w:shd w:val="clear" w:color="000000" w:fill="FFFFFF"/>
            <w:noWrap/>
            <w:vAlign w:val="bottom"/>
            <w:hideMark/>
          </w:tcPr>
          <w:p w14:paraId="7C84176C" w14:textId="77777777" w:rsidR="00421D81" w:rsidRPr="0094727B" w:rsidRDefault="00421D81" w:rsidP="00F51BBE">
            <w:pPr>
              <w:rPr>
                <w:rFonts w:ascii="Calibri" w:eastAsia="Times New Roman" w:hAnsi="Calibri" w:cs="Calibri"/>
                <w:b/>
                <w:bCs/>
                <w:color w:val="000000"/>
              </w:rPr>
            </w:pPr>
            <w:r w:rsidRPr="0094727B">
              <w:rPr>
                <w:rFonts w:ascii="Calibri" w:eastAsia="Times New Roman" w:hAnsi="Calibri" w:cs="Calibri"/>
                <w:b/>
                <w:bCs/>
                <w:color w:val="000000"/>
              </w:rPr>
              <w:t>Maturity</w:t>
            </w:r>
          </w:p>
        </w:tc>
        <w:tc>
          <w:tcPr>
            <w:tcW w:w="3384" w:type="dxa"/>
            <w:tcBorders>
              <w:top w:val="nil"/>
              <w:left w:val="nil"/>
              <w:bottom w:val="nil"/>
              <w:right w:val="single" w:sz="4" w:space="0" w:color="auto"/>
            </w:tcBorders>
            <w:shd w:val="clear" w:color="000000" w:fill="FFFFFF"/>
            <w:noWrap/>
            <w:vAlign w:val="bottom"/>
            <w:hideMark/>
          </w:tcPr>
          <w:p w14:paraId="72837860" w14:textId="77777777" w:rsidR="00421D81" w:rsidRPr="0094727B" w:rsidRDefault="00421D81" w:rsidP="00F51BBE">
            <w:pPr>
              <w:rPr>
                <w:rFonts w:ascii="Calibri" w:eastAsia="Times New Roman" w:hAnsi="Calibri" w:cs="Calibri"/>
                <w:b/>
                <w:bCs/>
                <w:color w:val="000000"/>
              </w:rPr>
            </w:pPr>
            <w:r w:rsidRPr="0094727B">
              <w:rPr>
                <w:rFonts w:ascii="Calibri" w:eastAsia="Times New Roman" w:hAnsi="Calibri" w:cs="Calibri"/>
                <w:b/>
                <w:bCs/>
                <w:color w:val="000000"/>
              </w:rPr>
              <w:t>Borrower</w:t>
            </w:r>
          </w:p>
        </w:tc>
        <w:tc>
          <w:tcPr>
            <w:tcW w:w="1490" w:type="dxa"/>
            <w:tcBorders>
              <w:top w:val="nil"/>
              <w:left w:val="nil"/>
              <w:bottom w:val="nil"/>
              <w:right w:val="single" w:sz="4" w:space="0" w:color="auto"/>
            </w:tcBorders>
            <w:shd w:val="clear" w:color="000000" w:fill="FFFFFF"/>
            <w:noWrap/>
            <w:vAlign w:val="bottom"/>
            <w:hideMark/>
          </w:tcPr>
          <w:p w14:paraId="38ADFBAD" w14:textId="77777777" w:rsidR="00421D81" w:rsidRPr="0094727B" w:rsidRDefault="00421D81" w:rsidP="00F51BBE">
            <w:pPr>
              <w:rPr>
                <w:rFonts w:ascii="Calibri" w:eastAsia="Times New Roman" w:hAnsi="Calibri" w:cs="Calibri"/>
                <w:b/>
                <w:bCs/>
                <w:color w:val="000000"/>
              </w:rPr>
            </w:pPr>
            <w:r w:rsidRPr="0094727B">
              <w:rPr>
                <w:rFonts w:ascii="Calibri" w:eastAsia="Times New Roman" w:hAnsi="Calibri" w:cs="Calibri"/>
                <w:b/>
                <w:bCs/>
                <w:color w:val="000000"/>
              </w:rPr>
              <w:t>Principal</w:t>
            </w:r>
          </w:p>
        </w:tc>
        <w:tc>
          <w:tcPr>
            <w:tcW w:w="1073" w:type="dxa"/>
            <w:tcBorders>
              <w:top w:val="nil"/>
              <w:left w:val="nil"/>
              <w:bottom w:val="nil"/>
              <w:right w:val="single" w:sz="4" w:space="0" w:color="auto"/>
            </w:tcBorders>
            <w:shd w:val="clear" w:color="000000" w:fill="FFFFFF"/>
            <w:noWrap/>
            <w:vAlign w:val="bottom"/>
            <w:hideMark/>
          </w:tcPr>
          <w:p w14:paraId="059CFEFB" w14:textId="77777777" w:rsidR="00421D81" w:rsidRPr="0094727B" w:rsidRDefault="00421D81" w:rsidP="00F51BBE">
            <w:pPr>
              <w:jc w:val="center"/>
              <w:rPr>
                <w:rFonts w:ascii="Calibri" w:eastAsia="Times New Roman" w:hAnsi="Calibri" w:cs="Calibri"/>
                <w:b/>
                <w:bCs/>
                <w:color w:val="000000"/>
              </w:rPr>
            </w:pPr>
            <w:r w:rsidRPr="0094727B">
              <w:rPr>
                <w:rFonts w:ascii="Calibri" w:eastAsia="Times New Roman" w:hAnsi="Calibri" w:cs="Calibri"/>
                <w:b/>
                <w:bCs/>
                <w:color w:val="000000"/>
              </w:rPr>
              <w:t>Rate</w:t>
            </w:r>
          </w:p>
        </w:tc>
        <w:tc>
          <w:tcPr>
            <w:tcW w:w="1854" w:type="dxa"/>
            <w:tcBorders>
              <w:top w:val="nil"/>
              <w:left w:val="nil"/>
              <w:bottom w:val="nil"/>
              <w:right w:val="single" w:sz="4" w:space="0" w:color="auto"/>
            </w:tcBorders>
            <w:shd w:val="clear" w:color="000000" w:fill="FFFFFF"/>
            <w:noWrap/>
            <w:vAlign w:val="bottom"/>
            <w:hideMark/>
          </w:tcPr>
          <w:p w14:paraId="72EEA292" w14:textId="77777777" w:rsidR="00421D81" w:rsidRPr="0094727B" w:rsidRDefault="00421D81" w:rsidP="00F51BBE">
            <w:pPr>
              <w:rPr>
                <w:rFonts w:ascii="Calibri" w:eastAsia="Times New Roman" w:hAnsi="Calibri" w:cs="Calibri"/>
                <w:b/>
                <w:bCs/>
                <w:color w:val="000000"/>
              </w:rPr>
            </w:pPr>
            <w:r w:rsidRPr="0094727B">
              <w:rPr>
                <w:rFonts w:ascii="Calibri" w:eastAsia="Times New Roman" w:hAnsi="Calibri" w:cs="Calibri"/>
                <w:b/>
                <w:bCs/>
                <w:color w:val="000000"/>
              </w:rPr>
              <w:t>Rating</w:t>
            </w:r>
          </w:p>
        </w:tc>
      </w:tr>
      <w:tr w:rsidR="00421D81" w:rsidRPr="0094727B" w14:paraId="34A3656A" w14:textId="77777777" w:rsidTr="00F51BBE">
        <w:trPr>
          <w:trHeight w:val="215"/>
        </w:trPr>
        <w:tc>
          <w:tcPr>
            <w:tcW w:w="1512" w:type="dxa"/>
            <w:tcBorders>
              <w:top w:val="nil"/>
              <w:left w:val="single" w:sz="4" w:space="0" w:color="auto"/>
              <w:bottom w:val="single" w:sz="4" w:space="0" w:color="auto"/>
              <w:right w:val="single" w:sz="4" w:space="0" w:color="auto"/>
            </w:tcBorders>
            <w:shd w:val="clear" w:color="000000" w:fill="FFFFFF"/>
            <w:noWrap/>
            <w:vAlign w:val="bottom"/>
            <w:hideMark/>
          </w:tcPr>
          <w:p w14:paraId="6B366141" w14:textId="77777777" w:rsidR="00421D81" w:rsidRPr="0094727B" w:rsidRDefault="00421D81" w:rsidP="00F51BBE">
            <w:pPr>
              <w:rPr>
                <w:rFonts w:ascii="Calibri" w:eastAsia="Times New Roman" w:hAnsi="Calibri" w:cs="Calibri"/>
                <w:color w:val="000000"/>
              </w:rPr>
            </w:pPr>
            <w:r w:rsidRPr="0094727B">
              <w:rPr>
                <w:rFonts w:ascii="Calibri" w:eastAsia="Times New Roman" w:hAnsi="Calibri" w:cs="Calibri"/>
                <w:color w:val="000000"/>
              </w:rPr>
              <w:t> </w:t>
            </w:r>
          </w:p>
        </w:tc>
        <w:tc>
          <w:tcPr>
            <w:tcW w:w="3384" w:type="dxa"/>
            <w:tcBorders>
              <w:top w:val="nil"/>
              <w:left w:val="nil"/>
              <w:bottom w:val="single" w:sz="4" w:space="0" w:color="auto"/>
              <w:right w:val="single" w:sz="4" w:space="0" w:color="auto"/>
            </w:tcBorders>
            <w:shd w:val="clear" w:color="000000" w:fill="FFFFFF"/>
            <w:noWrap/>
            <w:vAlign w:val="bottom"/>
            <w:hideMark/>
          </w:tcPr>
          <w:p w14:paraId="203DE504" w14:textId="77777777" w:rsidR="00421D81" w:rsidRPr="0094727B" w:rsidRDefault="00421D81" w:rsidP="00F51BBE">
            <w:pPr>
              <w:rPr>
                <w:rFonts w:ascii="Calibri" w:eastAsia="Times New Roman" w:hAnsi="Calibri" w:cs="Calibri"/>
                <w:color w:val="000000"/>
              </w:rPr>
            </w:pPr>
            <w:r w:rsidRPr="0094727B">
              <w:rPr>
                <w:rFonts w:ascii="Calibri" w:eastAsia="Times New Roman" w:hAnsi="Calibri" w:cs="Calibri"/>
                <w:color w:val="000000"/>
              </w:rPr>
              <w:t> </w:t>
            </w:r>
          </w:p>
        </w:tc>
        <w:tc>
          <w:tcPr>
            <w:tcW w:w="1490" w:type="dxa"/>
            <w:tcBorders>
              <w:top w:val="nil"/>
              <w:left w:val="nil"/>
              <w:bottom w:val="single" w:sz="4" w:space="0" w:color="auto"/>
              <w:right w:val="single" w:sz="4" w:space="0" w:color="auto"/>
            </w:tcBorders>
            <w:shd w:val="clear" w:color="000000" w:fill="FFFFFF"/>
            <w:noWrap/>
            <w:vAlign w:val="bottom"/>
            <w:hideMark/>
          </w:tcPr>
          <w:p w14:paraId="01877B3C" w14:textId="77777777" w:rsidR="00421D81" w:rsidRPr="0094727B" w:rsidRDefault="00421D81" w:rsidP="00F51BBE">
            <w:pPr>
              <w:jc w:val="center"/>
              <w:rPr>
                <w:rFonts w:ascii="Calibri" w:eastAsia="Times New Roman" w:hAnsi="Calibri" w:cs="Calibri"/>
                <w:color w:val="000000"/>
              </w:rPr>
            </w:pPr>
            <w:r w:rsidRPr="0094727B">
              <w:rPr>
                <w:rFonts w:ascii="Calibri" w:eastAsia="Times New Roman" w:hAnsi="Calibri" w:cs="Calibri"/>
                <w:color w:val="000000"/>
              </w:rPr>
              <w:t>£</w:t>
            </w:r>
          </w:p>
        </w:tc>
        <w:tc>
          <w:tcPr>
            <w:tcW w:w="1073" w:type="dxa"/>
            <w:tcBorders>
              <w:top w:val="nil"/>
              <w:left w:val="nil"/>
              <w:bottom w:val="single" w:sz="4" w:space="0" w:color="auto"/>
              <w:right w:val="single" w:sz="4" w:space="0" w:color="auto"/>
            </w:tcBorders>
            <w:shd w:val="clear" w:color="000000" w:fill="FFFFFF"/>
            <w:noWrap/>
            <w:vAlign w:val="bottom"/>
            <w:hideMark/>
          </w:tcPr>
          <w:p w14:paraId="458F69CA" w14:textId="77777777" w:rsidR="00421D81" w:rsidRPr="0094727B" w:rsidRDefault="00421D81" w:rsidP="00F51BBE">
            <w:pPr>
              <w:jc w:val="center"/>
              <w:rPr>
                <w:rFonts w:ascii="Calibri" w:eastAsia="Times New Roman" w:hAnsi="Calibri" w:cs="Calibri"/>
                <w:color w:val="000000"/>
              </w:rPr>
            </w:pPr>
            <w:r w:rsidRPr="0094727B">
              <w:rPr>
                <w:rFonts w:ascii="Calibri" w:eastAsia="Times New Roman" w:hAnsi="Calibri" w:cs="Calibri"/>
                <w:color w:val="000000"/>
              </w:rPr>
              <w:t>%</w:t>
            </w:r>
          </w:p>
        </w:tc>
        <w:tc>
          <w:tcPr>
            <w:tcW w:w="1854" w:type="dxa"/>
            <w:tcBorders>
              <w:top w:val="nil"/>
              <w:left w:val="nil"/>
              <w:bottom w:val="single" w:sz="4" w:space="0" w:color="auto"/>
              <w:right w:val="single" w:sz="4" w:space="0" w:color="auto"/>
            </w:tcBorders>
            <w:shd w:val="clear" w:color="000000" w:fill="FFFFFF"/>
            <w:noWrap/>
            <w:vAlign w:val="bottom"/>
            <w:hideMark/>
          </w:tcPr>
          <w:p w14:paraId="29DA3EAE" w14:textId="77777777" w:rsidR="00421D81" w:rsidRPr="0094727B" w:rsidRDefault="00421D81" w:rsidP="00F51BBE">
            <w:pPr>
              <w:rPr>
                <w:rFonts w:ascii="Calibri" w:eastAsia="Times New Roman" w:hAnsi="Calibri" w:cs="Calibri"/>
                <w:color w:val="000000"/>
              </w:rPr>
            </w:pPr>
            <w:r w:rsidRPr="0094727B">
              <w:rPr>
                <w:rFonts w:ascii="Calibri" w:eastAsia="Times New Roman" w:hAnsi="Calibri" w:cs="Calibri"/>
                <w:color w:val="000000"/>
              </w:rPr>
              <w:t> </w:t>
            </w:r>
          </w:p>
        </w:tc>
      </w:tr>
      <w:tr w:rsidR="00421D81" w:rsidRPr="0094727B" w14:paraId="4190889B" w14:textId="77777777" w:rsidTr="00F51BBE">
        <w:trPr>
          <w:trHeight w:val="215"/>
        </w:trPr>
        <w:tc>
          <w:tcPr>
            <w:tcW w:w="1512" w:type="dxa"/>
            <w:tcBorders>
              <w:top w:val="nil"/>
              <w:left w:val="single" w:sz="4" w:space="0" w:color="auto"/>
              <w:bottom w:val="nil"/>
              <w:right w:val="single" w:sz="4" w:space="0" w:color="auto"/>
            </w:tcBorders>
            <w:shd w:val="clear" w:color="auto" w:fill="auto"/>
            <w:noWrap/>
            <w:vAlign w:val="bottom"/>
            <w:hideMark/>
          </w:tcPr>
          <w:p w14:paraId="7B7662EE" w14:textId="77777777" w:rsidR="00421D81" w:rsidRPr="0094727B" w:rsidRDefault="00421D81" w:rsidP="00F51BBE">
            <w:pPr>
              <w:jc w:val="center"/>
              <w:rPr>
                <w:rFonts w:eastAsia="Times New Roman"/>
                <w:sz w:val="20"/>
                <w:szCs w:val="20"/>
              </w:rPr>
            </w:pPr>
            <w:r w:rsidRPr="0094727B">
              <w:rPr>
                <w:rFonts w:eastAsia="Times New Roman"/>
                <w:sz w:val="20"/>
                <w:szCs w:val="20"/>
              </w:rPr>
              <w:t>05-Mar-21</w:t>
            </w:r>
          </w:p>
        </w:tc>
        <w:tc>
          <w:tcPr>
            <w:tcW w:w="3384" w:type="dxa"/>
            <w:tcBorders>
              <w:top w:val="nil"/>
              <w:left w:val="nil"/>
              <w:bottom w:val="nil"/>
              <w:right w:val="single" w:sz="4" w:space="0" w:color="auto"/>
            </w:tcBorders>
            <w:shd w:val="clear" w:color="auto" w:fill="auto"/>
            <w:noWrap/>
            <w:vAlign w:val="bottom"/>
            <w:hideMark/>
          </w:tcPr>
          <w:p w14:paraId="07BE32FC" w14:textId="77777777" w:rsidR="00421D81" w:rsidRPr="0094727B" w:rsidRDefault="00421D81" w:rsidP="00F51BBE">
            <w:pPr>
              <w:rPr>
                <w:rFonts w:eastAsia="Times New Roman"/>
                <w:sz w:val="20"/>
                <w:szCs w:val="20"/>
              </w:rPr>
            </w:pPr>
            <w:r w:rsidRPr="0094727B">
              <w:rPr>
                <w:rFonts w:eastAsia="Times New Roman"/>
                <w:sz w:val="20"/>
                <w:szCs w:val="20"/>
              </w:rPr>
              <w:t>Coventry Building Society</w:t>
            </w:r>
          </w:p>
        </w:tc>
        <w:tc>
          <w:tcPr>
            <w:tcW w:w="1490" w:type="dxa"/>
            <w:tcBorders>
              <w:top w:val="nil"/>
              <w:left w:val="nil"/>
              <w:bottom w:val="nil"/>
              <w:right w:val="single" w:sz="4" w:space="0" w:color="auto"/>
            </w:tcBorders>
            <w:shd w:val="clear" w:color="auto" w:fill="auto"/>
            <w:noWrap/>
            <w:vAlign w:val="bottom"/>
            <w:hideMark/>
          </w:tcPr>
          <w:p w14:paraId="26B69E07" w14:textId="77777777" w:rsidR="00421D81" w:rsidRPr="0094727B" w:rsidRDefault="00421D81" w:rsidP="00F51BBE">
            <w:pPr>
              <w:jc w:val="right"/>
              <w:rPr>
                <w:rFonts w:eastAsia="Times New Roman"/>
                <w:sz w:val="20"/>
                <w:szCs w:val="20"/>
              </w:rPr>
            </w:pPr>
            <w:r w:rsidRPr="0094727B">
              <w:rPr>
                <w:rFonts w:eastAsia="Times New Roman"/>
                <w:sz w:val="20"/>
                <w:szCs w:val="20"/>
              </w:rPr>
              <w:t xml:space="preserve"> 10,000,000 </w:t>
            </w:r>
          </w:p>
        </w:tc>
        <w:tc>
          <w:tcPr>
            <w:tcW w:w="1073" w:type="dxa"/>
            <w:tcBorders>
              <w:top w:val="nil"/>
              <w:left w:val="nil"/>
              <w:bottom w:val="nil"/>
              <w:right w:val="single" w:sz="4" w:space="0" w:color="auto"/>
            </w:tcBorders>
            <w:shd w:val="clear" w:color="auto" w:fill="auto"/>
            <w:noWrap/>
            <w:vAlign w:val="bottom"/>
            <w:hideMark/>
          </w:tcPr>
          <w:p w14:paraId="46D93A06" w14:textId="77777777" w:rsidR="00421D81" w:rsidRPr="0094727B" w:rsidRDefault="00421D81" w:rsidP="00F51BBE">
            <w:pPr>
              <w:rPr>
                <w:rFonts w:ascii="Calibri" w:eastAsia="Times New Roman" w:hAnsi="Calibri" w:cs="Calibri"/>
                <w:color w:val="000000"/>
              </w:rPr>
            </w:pPr>
            <w:r w:rsidRPr="0094727B">
              <w:rPr>
                <w:rFonts w:ascii="Calibri" w:eastAsia="Times New Roman" w:hAnsi="Calibri" w:cs="Calibri"/>
                <w:color w:val="000000"/>
              </w:rPr>
              <w:t xml:space="preserve">        0.02 </w:t>
            </w:r>
          </w:p>
        </w:tc>
        <w:tc>
          <w:tcPr>
            <w:tcW w:w="1854" w:type="dxa"/>
            <w:tcBorders>
              <w:top w:val="nil"/>
              <w:left w:val="nil"/>
              <w:bottom w:val="nil"/>
              <w:right w:val="single" w:sz="4" w:space="0" w:color="auto"/>
            </w:tcBorders>
            <w:shd w:val="clear" w:color="auto" w:fill="auto"/>
            <w:noWrap/>
            <w:vAlign w:val="bottom"/>
            <w:hideMark/>
          </w:tcPr>
          <w:p w14:paraId="1693DCF6" w14:textId="77777777" w:rsidR="00421D81" w:rsidRPr="0094727B" w:rsidRDefault="00421D81" w:rsidP="00F51BBE">
            <w:pPr>
              <w:rPr>
                <w:rFonts w:ascii="Calibri" w:eastAsia="Times New Roman" w:hAnsi="Calibri" w:cs="Calibri"/>
                <w:color w:val="000000"/>
              </w:rPr>
            </w:pPr>
            <w:r w:rsidRPr="0094727B">
              <w:rPr>
                <w:rFonts w:ascii="Calibri" w:eastAsia="Times New Roman" w:hAnsi="Calibri" w:cs="Calibri"/>
                <w:color w:val="000000"/>
              </w:rPr>
              <w:t>F1</w:t>
            </w:r>
          </w:p>
        </w:tc>
      </w:tr>
      <w:tr w:rsidR="00421D81" w:rsidRPr="0094727B" w14:paraId="5E96FB7A" w14:textId="77777777" w:rsidTr="00F51BBE">
        <w:trPr>
          <w:trHeight w:val="215"/>
        </w:trPr>
        <w:tc>
          <w:tcPr>
            <w:tcW w:w="1512" w:type="dxa"/>
            <w:tcBorders>
              <w:top w:val="nil"/>
              <w:left w:val="single" w:sz="4" w:space="0" w:color="auto"/>
              <w:bottom w:val="nil"/>
              <w:right w:val="single" w:sz="4" w:space="0" w:color="auto"/>
            </w:tcBorders>
            <w:shd w:val="clear" w:color="auto" w:fill="auto"/>
            <w:noWrap/>
            <w:vAlign w:val="bottom"/>
            <w:hideMark/>
          </w:tcPr>
          <w:p w14:paraId="60D587D6" w14:textId="77777777" w:rsidR="00421D81" w:rsidRPr="0094727B" w:rsidRDefault="00421D81" w:rsidP="00F51BBE">
            <w:pPr>
              <w:jc w:val="center"/>
              <w:rPr>
                <w:rFonts w:eastAsia="Times New Roman"/>
                <w:sz w:val="20"/>
                <w:szCs w:val="20"/>
              </w:rPr>
            </w:pPr>
            <w:r w:rsidRPr="0094727B">
              <w:rPr>
                <w:rFonts w:eastAsia="Times New Roman"/>
                <w:sz w:val="20"/>
                <w:szCs w:val="20"/>
              </w:rPr>
              <w:t>25-Mar-21</w:t>
            </w:r>
          </w:p>
        </w:tc>
        <w:tc>
          <w:tcPr>
            <w:tcW w:w="3384" w:type="dxa"/>
            <w:tcBorders>
              <w:top w:val="nil"/>
              <w:left w:val="nil"/>
              <w:bottom w:val="nil"/>
              <w:right w:val="single" w:sz="4" w:space="0" w:color="auto"/>
            </w:tcBorders>
            <w:shd w:val="clear" w:color="auto" w:fill="auto"/>
            <w:noWrap/>
            <w:vAlign w:val="bottom"/>
            <w:hideMark/>
          </w:tcPr>
          <w:p w14:paraId="7AC8FB4C" w14:textId="77777777" w:rsidR="00421D81" w:rsidRPr="0094727B" w:rsidRDefault="00421D81" w:rsidP="00F51BBE">
            <w:pPr>
              <w:rPr>
                <w:rFonts w:eastAsia="Times New Roman"/>
                <w:sz w:val="20"/>
                <w:szCs w:val="20"/>
              </w:rPr>
            </w:pPr>
            <w:r w:rsidRPr="0094727B">
              <w:rPr>
                <w:rFonts w:eastAsia="Times New Roman"/>
                <w:sz w:val="20"/>
                <w:szCs w:val="20"/>
              </w:rPr>
              <w:t>Isle of Wight County Council</w:t>
            </w:r>
          </w:p>
        </w:tc>
        <w:tc>
          <w:tcPr>
            <w:tcW w:w="1490" w:type="dxa"/>
            <w:tcBorders>
              <w:top w:val="nil"/>
              <w:left w:val="nil"/>
              <w:bottom w:val="nil"/>
              <w:right w:val="single" w:sz="4" w:space="0" w:color="auto"/>
            </w:tcBorders>
            <w:shd w:val="clear" w:color="auto" w:fill="auto"/>
            <w:noWrap/>
            <w:vAlign w:val="bottom"/>
            <w:hideMark/>
          </w:tcPr>
          <w:p w14:paraId="0B5D9BA8" w14:textId="77777777" w:rsidR="00421D81" w:rsidRPr="0094727B" w:rsidRDefault="00421D81" w:rsidP="00F51BBE">
            <w:pPr>
              <w:jc w:val="right"/>
              <w:rPr>
                <w:rFonts w:eastAsia="Times New Roman"/>
                <w:sz w:val="20"/>
                <w:szCs w:val="20"/>
              </w:rPr>
            </w:pPr>
            <w:r w:rsidRPr="0094727B">
              <w:rPr>
                <w:rFonts w:eastAsia="Times New Roman"/>
                <w:sz w:val="20"/>
                <w:szCs w:val="20"/>
              </w:rPr>
              <w:t xml:space="preserve"> 5,000,000 </w:t>
            </w:r>
          </w:p>
        </w:tc>
        <w:tc>
          <w:tcPr>
            <w:tcW w:w="1073" w:type="dxa"/>
            <w:tcBorders>
              <w:top w:val="nil"/>
              <w:left w:val="nil"/>
              <w:bottom w:val="nil"/>
              <w:right w:val="single" w:sz="4" w:space="0" w:color="auto"/>
            </w:tcBorders>
            <w:shd w:val="clear" w:color="auto" w:fill="auto"/>
            <w:noWrap/>
            <w:vAlign w:val="bottom"/>
            <w:hideMark/>
          </w:tcPr>
          <w:p w14:paraId="2129380D" w14:textId="77777777" w:rsidR="00421D81" w:rsidRPr="0094727B" w:rsidRDefault="00421D81" w:rsidP="00F51BBE">
            <w:pPr>
              <w:rPr>
                <w:rFonts w:ascii="Calibri" w:eastAsia="Times New Roman" w:hAnsi="Calibri" w:cs="Calibri"/>
                <w:color w:val="000000"/>
              </w:rPr>
            </w:pPr>
            <w:r w:rsidRPr="0094727B">
              <w:rPr>
                <w:rFonts w:ascii="Calibri" w:eastAsia="Times New Roman" w:hAnsi="Calibri" w:cs="Calibri"/>
                <w:color w:val="000000"/>
              </w:rPr>
              <w:t xml:space="preserve">        0.85 </w:t>
            </w:r>
          </w:p>
        </w:tc>
        <w:tc>
          <w:tcPr>
            <w:tcW w:w="1854" w:type="dxa"/>
            <w:tcBorders>
              <w:top w:val="nil"/>
              <w:left w:val="nil"/>
              <w:bottom w:val="nil"/>
              <w:right w:val="single" w:sz="4" w:space="0" w:color="auto"/>
            </w:tcBorders>
            <w:shd w:val="clear" w:color="auto" w:fill="auto"/>
            <w:noWrap/>
            <w:vAlign w:val="bottom"/>
            <w:hideMark/>
          </w:tcPr>
          <w:p w14:paraId="45581128" w14:textId="77777777" w:rsidR="00421D81" w:rsidRPr="0094727B" w:rsidRDefault="00421D81" w:rsidP="00F51BBE">
            <w:pPr>
              <w:rPr>
                <w:rFonts w:ascii="Calibri" w:eastAsia="Times New Roman" w:hAnsi="Calibri" w:cs="Calibri"/>
                <w:color w:val="000000"/>
              </w:rPr>
            </w:pPr>
            <w:r w:rsidRPr="0094727B">
              <w:rPr>
                <w:rFonts w:ascii="Calibri" w:eastAsia="Times New Roman" w:hAnsi="Calibri" w:cs="Calibri"/>
                <w:color w:val="000000"/>
              </w:rPr>
              <w:t>Local Authority</w:t>
            </w:r>
          </w:p>
        </w:tc>
      </w:tr>
      <w:tr w:rsidR="00421D81" w:rsidRPr="0094727B" w14:paraId="2497AA49" w14:textId="77777777" w:rsidTr="00F51BBE">
        <w:trPr>
          <w:trHeight w:val="215"/>
        </w:trPr>
        <w:tc>
          <w:tcPr>
            <w:tcW w:w="1512" w:type="dxa"/>
            <w:tcBorders>
              <w:top w:val="nil"/>
              <w:left w:val="single" w:sz="4" w:space="0" w:color="auto"/>
              <w:bottom w:val="nil"/>
              <w:right w:val="single" w:sz="4" w:space="0" w:color="auto"/>
            </w:tcBorders>
            <w:shd w:val="clear" w:color="auto" w:fill="auto"/>
            <w:noWrap/>
            <w:vAlign w:val="bottom"/>
            <w:hideMark/>
          </w:tcPr>
          <w:p w14:paraId="613A7041" w14:textId="77777777" w:rsidR="00421D81" w:rsidRPr="0094727B" w:rsidRDefault="00421D81" w:rsidP="00F51BBE">
            <w:pPr>
              <w:jc w:val="center"/>
              <w:rPr>
                <w:rFonts w:eastAsia="Times New Roman"/>
                <w:sz w:val="20"/>
                <w:szCs w:val="20"/>
              </w:rPr>
            </w:pPr>
            <w:r w:rsidRPr="0094727B">
              <w:rPr>
                <w:rFonts w:eastAsia="Times New Roman"/>
                <w:sz w:val="20"/>
                <w:szCs w:val="20"/>
              </w:rPr>
              <w:t>31-Mar-21</w:t>
            </w:r>
          </w:p>
        </w:tc>
        <w:tc>
          <w:tcPr>
            <w:tcW w:w="3384" w:type="dxa"/>
            <w:tcBorders>
              <w:top w:val="nil"/>
              <w:left w:val="nil"/>
              <w:bottom w:val="nil"/>
              <w:right w:val="single" w:sz="4" w:space="0" w:color="auto"/>
            </w:tcBorders>
            <w:shd w:val="clear" w:color="auto" w:fill="auto"/>
            <w:noWrap/>
            <w:vAlign w:val="bottom"/>
            <w:hideMark/>
          </w:tcPr>
          <w:p w14:paraId="19F14DE6" w14:textId="77777777" w:rsidR="00421D81" w:rsidRPr="0094727B" w:rsidRDefault="00421D81" w:rsidP="00F51BBE">
            <w:pPr>
              <w:rPr>
                <w:rFonts w:eastAsia="Times New Roman"/>
                <w:sz w:val="20"/>
                <w:szCs w:val="20"/>
              </w:rPr>
            </w:pPr>
            <w:r w:rsidRPr="0094727B">
              <w:rPr>
                <w:rFonts w:eastAsia="Times New Roman"/>
                <w:sz w:val="20"/>
                <w:szCs w:val="20"/>
              </w:rPr>
              <w:t>Oxford City Council</w:t>
            </w:r>
          </w:p>
        </w:tc>
        <w:tc>
          <w:tcPr>
            <w:tcW w:w="1490" w:type="dxa"/>
            <w:tcBorders>
              <w:top w:val="nil"/>
              <w:left w:val="nil"/>
              <w:bottom w:val="nil"/>
              <w:right w:val="single" w:sz="4" w:space="0" w:color="auto"/>
            </w:tcBorders>
            <w:shd w:val="clear" w:color="auto" w:fill="auto"/>
            <w:noWrap/>
            <w:vAlign w:val="bottom"/>
            <w:hideMark/>
          </w:tcPr>
          <w:p w14:paraId="594633B0" w14:textId="77777777" w:rsidR="00421D81" w:rsidRPr="0094727B" w:rsidRDefault="00421D81" w:rsidP="00F51BBE">
            <w:pPr>
              <w:jc w:val="right"/>
              <w:rPr>
                <w:rFonts w:eastAsia="Times New Roman"/>
                <w:sz w:val="20"/>
                <w:szCs w:val="20"/>
              </w:rPr>
            </w:pPr>
            <w:r w:rsidRPr="0094727B">
              <w:rPr>
                <w:rFonts w:eastAsia="Times New Roman"/>
                <w:sz w:val="20"/>
                <w:szCs w:val="20"/>
              </w:rPr>
              <w:t xml:space="preserve"> 5,000,000 </w:t>
            </w:r>
          </w:p>
        </w:tc>
        <w:tc>
          <w:tcPr>
            <w:tcW w:w="1073" w:type="dxa"/>
            <w:tcBorders>
              <w:top w:val="nil"/>
              <w:left w:val="nil"/>
              <w:bottom w:val="nil"/>
              <w:right w:val="single" w:sz="4" w:space="0" w:color="auto"/>
            </w:tcBorders>
            <w:shd w:val="clear" w:color="auto" w:fill="auto"/>
            <w:noWrap/>
            <w:vAlign w:val="bottom"/>
            <w:hideMark/>
          </w:tcPr>
          <w:p w14:paraId="7539DD8C" w14:textId="77777777" w:rsidR="00421D81" w:rsidRPr="0094727B" w:rsidRDefault="00421D81" w:rsidP="00F51BBE">
            <w:pPr>
              <w:rPr>
                <w:rFonts w:ascii="Calibri" w:eastAsia="Times New Roman" w:hAnsi="Calibri" w:cs="Calibri"/>
                <w:color w:val="000000"/>
              </w:rPr>
            </w:pPr>
            <w:r w:rsidRPr="0094727B">
              <w:rPr>
                <w:rFonts w:ascii="Calibri" w:eastAsia="Times New Roman" w:hAnsi="Calibri" w:cs="Calibri"/>
                <w:color w:val="000000"/>
              </w:rPr>
              <w:t xml:space="preserve">        0.05 </w:t>
            </w:r>
          </w:p>
        </w:tc>
        <w:tc>
          <w:tcPr>
            <w:tcW w:w="1854" w:type="dxa"/>
            <w:tcBorders>
              <w:top w:val="nil"/>
              <w:left w:val="nil"/>
              <w:bottom w:val="nil"/>
              <w:right w:val="single" w:sz="4" w:space="0" w:color="auto"/>
            </w:tcBorders>
            <w:shd w:val="clear" w:color="auto" w:fill="auto"/>
            <w:noWrap/>
            <w:vAlign w:val="bottom"/>
            <w:hideMark/>
          </w:tcPr>
          <w:p w14:paraId="47F5324E" w14:textId="77777777" w:rsidR="00421D81" w:rsidRPr="0094727B" w:rsidRDefault="00421D81" w:rsidP="00F51BBE">
            <w:pPr>
              <w:rPr>
                <w:rFonts w:ascii="Calibri" w:eastAsia="Times New Roman" w:hAnsi="Calibri" w:cs="Calibri"/>
                <w:color w:val="000000"/>
              </w:rPr>
            </w:pPr>
            <w:r w:rsidRPr="0094727B">
              <w:rPr>
                <w:rFonts w:ascii="Calibri" w:eastAsia="Times New Roman" w:hAnsi="Calibri" w:cs="Calibri"/>
                <w:color w:val="000000"/>
              </w:rPr>
              <w:t>Local Authority</w:t>
            </w:r>
          </w:p>
        </w:tc>
      </w:tr>
      <w:tr w:rsidR="00421D81" w:rsidRPr="0094727B" w14:paraId="052894A1" w14:textId="77777777" w:rsidTr="00F51BBE">
        <w:trPr>
          <w:trHeight w:val="215"/>
        </w:trPr>
        <w:tc>
          <w:tcPr>
            <w:tcW w:w="1512" w:type="dxa"/>
            <w:tcBorders>
              <w:top w:val="nil"/>
              <w:left w:val="single" w:sz="4" w:space="0" w:color="auto"/>
              <w:bottom w:val="nil"/>
              <w:right w:val="single" w:sz="4" w:space="0" w:color="auto"/>
            </w:tcBorders>
            <w:shd w:val="clear" w:color="auto" w:fill="auto"/>
            <w:noWrap/>
            <w:vAlign w:val="bottom"/>
            <w:hideMark/>
          </w:tcPr>
          <w:p w14:paraId="696C8517" w14:textId="77777777" w:rsidR="00421D81" w:rsidRPr="0094727B" w:rsidRDefault="00421D81" w:rsidP="00F51BBE">
            <w:pPr>
              <w:jc w:val="center"/>
              <w:rPr>
                <w:rFonts w:eastAsia="Times New Roman"/>
                <w:sz w:val="20"/>
                <w:szCs w:val="20"/>
              </w:rPr>
            </w:pPr>
            <w:r w:rsidRPr="0094727B">
              <w:rPr>
                <w:rFonts w:eastAsia="Times New Roman"/>
                <w:sz w:val="20"/>
                <w:szCs w:val="20"/>
              </w:rPr>
              <w:t>08-Apr-21</w:t>
            </w:r>
          </w:p>
        </w:tc>
        <w:tc>
          <w:tcPr>
            <w:tcW w:w="3384" w:type="dxa"/>
            <w:tcBorders>
              <w:top w:val="nil"/>
              <w:left w:val="nil"/>
              <w:bottom w:val="nil"/>
              <w:right w:val="single" w:sz="4" w:space="0" w:color="auto"/>
            </w:tcBorders>
            <w:shd w:val="clear" w:color="auto" w:fill="auto"/>
            <w:noWrap/>
            <w:vAlign w:val="bottom"/>
            <w:hideMark/>
          </w:tcPr>
          <w:p w14:paraId="033AA3A4" w14:textId="77777777" w:rsidR="00421D81" w:rsidRPr="0094727B" w:rsidRDefault="00421D81" w:rsidP="00F51BBE">
            <w:pPr>
              <w:rPr>
                <w:rFonts w:eastAsia="Times New Roman"/>
                <w:sz w:val="20"/>
                <w:szCs w:val="20"/>
              </w:rPr>
            </w:pPr>
            <w:r w:rsidRPr="0094727B">
              <w:rPr>
                <w:rFonts w:eastAsia="Times New Roman"/>
                <w:sz w:val="20"/>
                <w:szCs w:val="20"/>
              </w:rPr>
              <w:t>Leeds Building Society</w:t>
            </w:r>
          </w:p>
        </w:tc>
        <w:tc>
          <w:tcPr>
            <w:tcW w:w="1490" w:type="dxa"/>
            <w:tcBorders>
              <w:top w:val="nil"/>
              <w:left w:val="nil"/>
              <w:bottom w:val="nil"/>
              <w:right w:val="single" w:sz="4" w:space="0" w:color="auto"/>
            </w:tcBorders>
            <w:shd w:val="clear" w:color="auto" w:fill="auto"/>
            <w:noWrap/>
            <w:vAlign w:val="bottom"/>
            <w:hideMark/>
          </w:tcPr>
          <w:p w14:paraId="7BA48DB6" w14:textId="77777777" w:rsidR="00421D81" w:rsidRPr="0094727B" w:rsidRDefault="00421D81" w:rsidP="00F51BBE">
            <w:pPr>
              <w:jc w:val="right"/>
              <w:rPr>
                <w:rFonts w:eastAsia="Times New Roman"/>
                <w:sz w:val="20"/>
                <w:szCs w:val="20"/>
              </w:rPr>
            </w:pPr>
            <w:r w:rsidRPr="0094727B">
              <w:rPr>
                <w:rFonts w:eastAsia="Times New Roman"/>
                <w:sz w:val="20"/>
                <w:szCs w:val="20"/>
              </w:rPr>
              <w:t xml:space="preserve"> 10,000,000 </w:t>
            </w:r>
          </w:p>
        </w:tc>
        <w:tc>
          <w:tcPr>
            <w:tcW w:w="1073" w:type="dxa"/>
            <w:tcBorders>
              <w:top w:val="nil"/>
              <w:left w:val="nil"/>
              <w:bottom w:val="nil"/>
              <w:right w:val="single" w:sz="4" w:space="0" w:color="auto"/>
            </w:tcBorders>
            <w:shd w:val="clear" w:color="auto" w:fill="auto"/>
            <w:noWrap/>
            <w:vAlign w:val="bottom"/>
            <w:hideMark/>
          </w:tcPr>
          <w:p w14:paraId="72DD75BA" w14:textId="77777777" w:rsidR="00421D81" w:rsidRPr="0094727B" w:rsidRDefault="00421D81" w:rsidP="00F51BBE">
            <w:pPr>
              <w:rPr>
                <w:rFonts w:ascii="Calibri" w:eastAsia="Times New Roman" w:hAnsi="Calibri" w:cs="Calibri"/>
                <w:color w:val="000000"/>
              </w:rPr>
            </w:pPr>
            <w:r w:rsidRPr="0094727B">
              <w:rPr>
                <w:rFonts w:ascii="Calibri" w:eastAsia="Times New Roman" w:hAnsi="Calibri" w:cs="Calibri"/>
                <w:color w:val="000000"/>
              </w:rPr>
              <w:t xml:space="preserve">        0.02 </w:t>
            </w:r>
          </w:p>
        </w:tc>
        <w:tc>
          <w:tcPr>
            <w:tcW w:w="1854" w:type="dxa"/>
            <w:tcBorders>
              <w:top w:val="nil"/>
              <w:left w:val="nil"/>
              <w:bottom w:val="nil"/>
              <w:right w:val="single" w:sz="4" w:space="0" w:color="auto"/>
            </w:tcBorders>
            <w:shd w:val="clear" w:color="auto" w:fill="auto"/>
            <w:noWrap/>
            <w:vAlign w:val="bottom"/>
            <w:hideMark/>
          </w:tcPr>
          <w:p w14:paraId="34FA6605" w14:textId="77777777" w:rsidR="00421D81" w:rsidRPr="0094727B" w:rsidRDefault="00421D81" w:rsidP="00F51BBE">
            <w:pPr>
              <w:rPr>
                <w:rFonts w:ascii="Calibri" w:eastAsia="Times New Roman" w:hAnsi="Calibri" w:cs="Calibri"/>
                <w:color w:val="000000"/>
              </w:rPr>
            </w:pPr>
            <w:r w:rsidRPr="0094727B">
              <w:rPr>
                <w:rFonts w:ascii="Calibri" w:eastAsia="Times New Roman" w:hAnsi="Calibri" w:cs="Calibri"/>
                <w:color w:val="000000"/>
              </w:rPr>
              <w:t>F1</w:t>
            </w:r>
          </w:p>
        </w:tc>
      </w:tr>
      <w:tr w:rsidR="00421D81" w:rsidRPr="0094727B" w14:paraId="78D0496E" w14:textId="77777777" w:rsidTr="00F51BBE">
        <w:trPr>
          <w:trHeight w:val="215"/>
        </w:trPr>
        <w:tc>
          <w:tcPr>
            <w:tcW w:w="1512" w:type="dxa"/>
            <w:tcBorders>
              <w:top w:val="nil"/>
              <w:left w:val="single" w:sz="4" w:space="0" w:color="auto"/>
              <w:bottom w:val="nil"/>
              <w:right w:val="single" w:sz="4" w:space="0" w:color="auto"/>
            </w:tcBorders>
            <w:shd w:val="clear" w:color="auto" w:fill="auto"/>
            <w:noWrap/>
            <w:vAlign w:val="bottom"/>
            <w:hideMark/>
          </w:tcPr>
          <w:p w14:paraId="00DA8A8E" w14:textId="77777777" w:rsidR="00421D81" w:rsidRPr="0094727B" w:rsidRDefault="00421D81" w:rsidP="00F51BBE">
            <w:pPr>
              <w:jc w:val="center"/>
              <w:rPr>
                <w:rFonts w:eastAsia="Times New Roman"/>
                <w:sz w:val="20"/>
                <w:szCs w:val="20"/>
              </w:rPr>
            </w:pPr>
            <w:r w:rsidRPr="0094727B">
              <w:rPr>
                <w:rFonts w:eastAsia="Times New Roman"/>
                <w:sz w:val="20"/>
                <w:szCs w:val="20"/>
              </w:rPr>
              <w:t>19-Apr-21</w:t>
            </w:r>
          </w:p>
        </w:tc>
        <w:tc>
          <w:tcPr>
            <w:tcW w:w="3384" w:type="dxa"/>
            <w:tcBorders>
              <w:top w:val="nil"/>
              <w:left w:val="nil"/>
              <w:bottom w:val="nil"/>
              <w:right w:val="single" w:sz="4" w:space="0" w:color="auto"/>
            </w:tcBorders>
            <w:shd w:val="clear" w:color="auto" w:fill="auto"/>
            <w:noWrap/>
            <w:vAlign w:val="bottom"/>
            <w:hideMark/>
          </w:tcPr>
          <w:p w14:paraId="5B02278D" w14:textId="77777777" w:rsidR="00421D81" w:rsidRPr="0094727B" w:rsidRDefault="00421D81" w:rsidP="00F51BBE">
            <w:pPr>
              <w:rPr>
                <w:rFonts w:eastAsia="Times New Roman"/>
                <w:sz w:val="20"/>
                <w:szCs w:val="20"/>
              </w:rPr>
            </w:pPr>
            <w:r w:rsidRPr="0094727B">
              <w:rPr>
                <w:rFonts w:eastAsia="Times New Roman"/>
                <w:sz w:val="20"/>
                <w:szCs w:val="20"/>
              </w:rPr>
              <w:t>Slough BC</w:t>
            </w:r>
          </w:p>
        </w:tc>
        <w:tc>
          <w:tcPr>
            <w:tcW w:w="1490" w:type="dxa"/>
            <w:tcBorders>
              <w:top w:val="nil"/>
              <w:left w:val="nil"/>
              <w:bottom w:val="nil"/>
              <w:right w:val="single" w:sz="4" w:space="0" w:color="auto"/>
            </w:tcBorders>
            <w:shd w:val="clear" w:color="auto" w:fill="auto"/>
            <w:noWrap/>
            <w:vAlign w:val="bottom"/>
            <w:hideMark/>
          </w:tcPr>
          <w:p w14:paraId="7CB42E60" w14:textId="77777777" w:rsidR="00421D81" w:rsidRPr="0094727B" w:rsidRDefault="00421D81" w:rsidP="00F51BBE">
            <w:pPr>
              <w:jc w:val="right"/>
              <w:rPr>
                <w:rFonts w:eastAsia="Times New Roman"/>
                <w:sz w:val="20"/>
                <w:szCs w:val="20"/>
              </w:rPr>
            </w:pPr>
            <w:r w:rsidRPr="0094727B">
              <w:rPr>
                <w:rFonts w:eastAsia="Times New Roman"/>
                <w:sz w:val="20"/>
                <w:szCs w:val="20"/>
              </w:rPr>
              <w:t xml:space="preserve"> 5,000,000 </w:t>
            </w:r>
          </w:p>
        </w:tc>
        <w:tc>
          <w:tcPr>
            <w:tcW w:w="1073" w:type="dxa"/>
            <w:tcBorders>
              <w:top w:val="nil"/>
              <w:left w:val="nil"/>
              <w:bottom w:val="nil"/>
              <w:right w:val="single" w:sz="4" w:space="0" w:color="auto"/>
            </w:tcBorders>
            <w:shd w:val="clear" w:color="auto" w:fill="auto"/>
            <w:noWrap/>
            <w:vAlign w:val="bottom"/>
            <w:hideMark/>
          </w:tcPr>
          <w:p w14:paraId="27642298" w14:textId="77777777" w:rsidR="00421D81" w:rsidRPr="0094727B" w:rsidRDefault="00421D81" w:rsidP="00F51BBE">
            <w:pPr>
              <w:rPr>
                <w:rFonts w:ascii="Calibri" w:eastAsia="Times New Roman" w:hAnsi="Calibri" w:cs="Calibri"/>
                <w:color w:val="000000"/>
              </w:rPr>
            </w:pPr>
            <w:r w:rsidRPr="0094727B">
              <w:rPr>
                <w:rFonts w:ascii="Calibri" w:eastAsia="Times New Roman" w:hAnsi="Calibri" w:cs="Calibri"/>
                <w:color w:val="000000"/>
              </w:rPr>
              <w:t xml:space="preserve">        0.25 </w:t>
            </w:r>
          </w:p>
        </w:tc>
        <w:tc>
          <w:tcPr>
            <w:tcW w:w="1854" w:type="dxa"/>
            <w:tcBorders>
              <w:top w:val="nil"/>
              <w:left w:val="nil"/>
              <w:bottom w:val="nil"/>
              <w:right w:val="single" w:sz="4" w:space="0" w:color="auto"/>
            </w:tcBorders>
            <w:shd w:val="clear" w:color="auto" w:fill="auto"/>
            <w:noWrap/>
            <w:vAlign w:val="bottom"/>
            <w:hideMark/>
          </w:tcPr>
          <w:p w14:paraId="478FF5AA" w14:textId="77777777" w:rsidR="00421D81" w:rsidRPr="0094727B" w:rsidRDefault="00421D81" w:rsidP="00F51BBE">
            <w:pPr>
              <w:rPr>
                <w:rFonts w:ascii="Calibri" w:eastAsia="Times New Roman" w:hAnsi="Calibri" w:cs="Calibri"/>
                <w:color w:val="000000"/>
              </w:rPr>
            </w:pPr>
            <w:r w:rsidRPr="0094727B">
              <w:rPr>
                <w:rFonts w:ascii="Calibri" w:eastAsia="Times New Roman" w:hAnsi="Calibri" w:cs="Calibri"/>
                <w:color w:val="000000"/>
              </w:rPr>
              <w:t>Local Authority</w:t>
            </w:r>
          </w:p>
        </w:tc>
      </w:tr>
      <w:tr w:rsidR="00421D81" w:rsidRPr="0094727B" w14:paraId="7FF47B69" w14:textId="77777777" w:rsidTr="00F51BBE">
        <w:trPr>
          <w:trHeight w:val="215"/>
        </w:trPr>
        <w:tc>
          <w:tcPr>
            <w:tcW w:w="1512" w:type="dxa"/>
            <w:tcBorders>
              <w:top w:val="nil"/>
              <w:left w:val="single" w:sz="4" w:space="0" w:color="auto"/>
              <w:bottom w:val="nil"/>
              <w:right w:val="single" w:sz="4" w:space="0" w:color="auto"/>
            </w:tcBorders>
            <w:shd w:val="clear" w:color="auto" w:fill="auto"/>
            <w:noWrap/>
            <w:vAlign w:val="bottom"/>
            <w:hideMark/>
          </w:tcPr>
          <w:p w14:paraId="699DF685" w14:textId="77777777" w:rsidR="00421D81" w:rsidRPr="0094727B" w:rsidRDefault="00421D81" w:rsidP="00F51BBE">
            <w:pPr>
              <w:jc w:val="center"/>
              <w:rPr>
                <w:rFonts w:eastAsia="Times New Roman"/>
                <w:sz w:val="20"/>
                <w:szCs w:val="20"/>
              </w:rPr>
            </w:pPr>
            <w:r w:rsidRPr="0094727B">
              <w:rPr>
                <w:rFonts w:eastAsia="Times New Roman"/>
                <w:sz w:val="20"/>
                <w:szCs w:val="20"/>
              </w:rPr>
              <w:t>23-Apr-21</w:t>
            </w:r>
          </w:p>
        </w:tc>
        <w:tc>
          <w:tcPr>
            <w:tcW w:w="3384" w:type="dxa"/>
            <w:tcBorders>
              <w:top w:val="nil"/>
              <w:left w:val="nil"/>
              <w:bottom w:val="nil"/>
              <w:right w:val="single" w:sz="4" w:space="0" w:color="auto"/>
            </w:tcBorders>
            <w:shd w:val="clear" w:color="auto" w:fill="auto"/>
            <w:noWrap/>
            <w:vAlign w:val="bottom"/>
            <w:hideMark/>
          </w:tcPr>
          <w:p w14:paraId="6C074C5E" w14:textId="77777777" w:rsidR="00421D81" w:rsidRPr="0094727B" w:rsidRDefault="00421D81" w:rsidP="00F51BBE">
            <w:pPr>
              <w:rPr>
                <w:rFonts w:eastAsia="Times New Roman"/>
                <w:sz w:val="20"/>
                <w:szCs w:val="20"/>
              </w:rPr>
            </w:pPr>
            <w:r w:rsidRPr="0094727B">
              <w:rPr>
                <w:rFonts w:eastAsia="Times New Roman"/>
                <w:sz w:val="20"/>
                <w:szCs w:val="20"/>
              </w:rPr>
              <w:t>Surrey County Council</w:t>
            </w:r>
          </w:p>
        </w:tc>
        <w:tc>
          <w:tcPr>
            <w:tcW w:w="1490" w:type="dxa"/>
            <w:tcBorders>
              <w:top w:val="nil"/>
              <w:left w:val="nil"/>
              <w:bottom w:val="nil"/>
              <w:right w:val="single" w:sz="4" w:space="0" w:color="auto"/>
            </w:tcBorders>
            <w:shd w:val="clear" w:color="auto" w:fill="auto"/>
            <w:noWrap/>
            <w:vAlign w:val="bottom"/>
            <w:hideMark/>
          </w:tcPr>
          <w:p w14:paraId="6F099C3F" w14:textId="77777777" w:rsidR="00421D81" w:rsidRPr="0094727B" w:rsidRDefault="00421D81" w:rsidP="00F51BBE">
            <w:pPr>
              <w:jc w:val="right"/>
              <w:rPr>
                <w:rFonts w:eastAsia="Times New Roman"/>
                <w:sz w:val="20"/>
                <w:szCs w:val="20"/>
              </w:rPr>
            </w:pPr>
            <w:r w:rsidRPr="0094727B">
              <w:rPr>
                <w:rFonts w:eastAsia="Times New Roman"/>
                <w:sz w:val="20"/>
                <w:szCs w:val="20"/>
              </w:rPr>
              <w:t xml:space="preserve"> 5,000,000 </w:t>
            </w:r>
          </w:p>
        </w:tc>
        <w:tc>
          <w:tcPr>
            <w:tcW w:w="1073" w:type="dxa"/>
            <w:tcBorders>
              <w:top w:val="nil"/>
              <w:left w:val="nil"/>
              <w:bottom w:val="nil"/>
              <w:right w:val="single" w:sz="4" w:space="0" w:color="auto"/>
            </w:tcBorders>
            <w:shd w:val="clear" w:color="auto" w:fill="auto"/>
            <w:noWrap/>
            <w:vAlign w:val="bottom"/>
            <w:hideMark/>
          </w:tcPr>
          <w:p w14:paraId="5EBBFE84" w14:textId="77777777" w:rsidR="00421D81" w:rsidRPr="0094727B" w:rsidRDefault="00421D81" w:rsidP="00F51BBE">
            <w:pPr>
              <w:rPr>
                <w:rFonts w:ascii="Calibri" w:eastAsia="Times New Roman" w:hAnsi="Calibri" w:cs="Calibri"/>
                <w:color w:val="000000"/>
              </w:rPr>
            </w:pPr>
            <w:r w:rsidRPr="0094727B">
              <w:rPr>
                <w:rFonts w:ascii="Calibri" w:eastAsia="Times New Roman" w:hAnsi="Calibri" w:cs="Calibri"/>
                <w:color w:val="000000"/>
              </w:rPr>
              <w:t xml:space="preserve">        0.02 </w:t>
            </w:r>
          </w:p>
        </w:tc>
        <w:tc>
          <w:tcPr>
            <w:tcW w:w="1854" w:type="dxa"/>
            <w:tcBorders>
              <w:top w:val="nil"/>
              <w:left w:val="nil"/>
              <w:bottom w:val="nil"/>
              <w:right w:val="single" w:sz="4" w:space="0" w:color="auto"/>
            </w:tcBorders>
            <w:shd w:val="clear" w:color="auto" w:fill="auto"/>
            <w:noWrap/>
            <w:vAlign w:val="bottom"/>
            <w:hideMark/>
          </w:tcPr>
          <w:p w14:paraId="6D2001DD" w14:textId="77777777" w:rsidR="00421D81" w:rsidRPr="0094727B" w:rsidRDefault="00421D81" w:rsidP="00F51BBE">
            <w:pPr>
              <w:rPr>
                <w:rFonts w:ascii="Calibri" w:eastAsia="Times New Roman" w:hAnsi="Calibri" w:cs="Calibri"/>
                <w:color w:val="000000"/>
              </w:rPr>
            </w:pPr>
            <w:r w:rsidRPr="0094727B">
              <w:rPr>
                <w:rFonts w:ascii="Calibri" w:eastAsia="Times New Roman" w:hAnsi="Calibri" w:cs="Calibri"/>
                <w:color w:val="000000"/>
              </w:rPr>
              <w:t>Local Authority</w:t>
            </w:r>
          </w:p>
        </w:tc>
      </w:tr>
      <w:tr w:rsidR="00421D81" w:rsidRPr="0094727B" w14:paraId="0BDF1844" w14:textId="77777777" w:rsidTr="00F51BBE">
        <w:trPr>
          <w:trHeight w:val="215"/>
        </w:trPr>
        <w:tc>
          <w:tcPr>
            <w:tcW w:w="1512" w:type="dxa"/>
            <w:tcBorders>
              <w:top w:val="nil"/>
              <w:left w:val="single" w:sz="4" w:space="0" w:color="auto"/>
              <w:bottom w:val="nil"/>
              <w:right w:val="single" w:sz="4" w:space="0" w:color="auto"/>
            </w:tcBorders>
            <w:shd w:val="clear" w:color="auto" w:fill="auto"/>
            <w:noWrap/>
            <w:vAlign w:val="bottom"/>
            <w:hideMark/>
          </w:tcPr>
          <w:p w14:paraId="612F5C5C" w14:textId="77777777" w:rsidR="00421D81" w:rsidRPr="0094727B" w:rsidRDefault="00421D81" w:rsidP="00F51BBE">
            <w:pPr>
              <w:jc w:val="center"/>
              <w:rPr>
                <w:rFonts w:eastAsia="Times New Roman"/>
                <w:sz w:val="20"/>
                <w:szCs w:val="20"/>
              </w:rPr>
            </w:pPr>
            <w:r w:rsidRPr="0094727B">
              <w:rPr>
                <w:rFonts w:eastAsia="Times New Roman"/>
                <w:sz w:val="20"/>
                <w:szCs w:val="20"/>
              </w:rPr>
              <w:t>28-May-21</w:t>
            </w:r>
          </w:p>
        </w:tc>
        <w:tc>
          <w:tcPr>
            <w:tcW w:w="3384" w:type="dxa"/>
            <w:tcBorders>
              <w:top w:val="nil"/>
              <w:left w:val="nil"/>
              <w:bottom w:val="nil"/>
              <w:right w:val="single" w:sz="4" w:space="0" w:color="auto"/>
            </w:tcBorders>
            <w:shd w:val="clear" w:color="auto" w:fill="auto"/>
            <w:noWrap/>
            <w:vAlign w:val="bottom"/>
            <w:hideMark/>
          </w:tcPr>
          <w:p w14:paraId="70F720F1" w14:textId="77777777" w:rsidR="00421D81" w:rsidRPr="0094727B" w:rsidRDefault="00421D81" w:rsidP="00F51BBE">
            <w:pPr>
              <w:rPr>
                <w:rFonts w:eastAsia="Times New Roman"/>
                <w:sz w:val="20"/>
                <w:szCs w:val="20"/>
              </w:rPr>
            </w:pPr>
            <w:r w:rsidRPr="0094727B">
              <w:rPr>
                <w:rFonts w:eastAsia="Times New Roman"/>
                <w:sz w:val="20"/>
                <w:szCs w:val="20"/>
              </w:rPr>
              <w:t>Fife Council</w:t>
            </w:r>
          </w:p>
        </w:tc>
        <w:tc>
          <w:tcPr>
            <w:tcW w:w="1490" w:type="dxa"/>
            <w:tcBorders>
              <w:top w:val="nil"/>
              <w:left w:val="nil"/>
              <w:bottom w:val="nil"/>
              <w:right w:val="single" w:sz="4" w:space="0" w:color="auto"/>
            </w:tcBorders>
            <w:shd w:val="clear" w:color="auto" w:fill="auto"/>
            <w:noWrap/>
            <w:vAlign w:val="bottom"/>
            <w:hideMark/>
          </w:tcPr>
          <w:p w14:paraId="53B7B07D" w14:textId="77777777" w:rsidR="00421D81" w:rsidRPr="0094727B" w:rsidRDefault="00421D81" w:rsidP="00F51BBE">
            <w:pPr>
              <w:jc w:val="right"/>
              <w:rPr>
                <w:rFonts w:eastAsia="Times New Roman"/>
                <w:sz w:val="20"/>
                <w:szCs w:val="20"/>
              </w:rPr>
            </w:pPr>
            <w:r w:rsidRPr="0094727B">
              <w:rPr>
                <w:rFonts w:eastAsia="Times New Roman"/>
                <w:sz w:val="20"/>
                <w:szCs w:val="20"/>
              </w:rPr>
              <w:t xml:space="preserve"> 5,000,000 </w:t>
            </w:r>
          </w:p>
        </w:tc>
        <w:tc>
          <w:tcPr>
            <w:tcW w:w="1073" w:type="dxa"/>
            <w:tcBorders>
              <w:top w:val="nil"/>
              <w:left w:val="nil"/>
              <w:bottom w:val="nil"/>
              <w:right w:val="single" w:sz="4" w:space="0" w:color="auto"/>
            </w:tcBorders>
            <w:shd w:val="clear" w:color="auto" w:fill="auto"/>
            <w:noWrap/>
            <w:vAlign w:val="bottom"/>
            <w:hideMark/>
          </w:tcPr>
          <w:p w14:paraId="48FA9DD3" w14:textId="77777777" w:rsidR="00421D81" w:rsidRPr="0094727B" w:rsidRDefault="00421D81" w:rsidP="00F51BBE">
            <w:pPr>
              <w:rPr>
                <w:rFonts w:ascii="Calibri" w:eastAsia="Times New Roman" w:hAnsi="Calibri" w:cs="Calibri"/>
                <w:color w:val="000000"/>
              </w:rPr>
            </w:pPr>
            <w:r w:rsidRPr="0094727B">
              <w:rPr>
                <w:rFonts w:ascii="Calibri" w:eastAsia="Times New Roman" w:hAnsi="Calibri" w:cs="Calibri"/>
                <w:color w:val="000000"/>
              </w:rPr>
              <w:t xml:space="preserve">        0.85 </w:t>
            </w:r>
          </w:p>
        </w:tc>
        <w:tc>
          <w:tcPr>
            <w:tcW w:w="1854" w:type="dxa"/>
            <w:tcBorders>
              <w:top w:val="nil"/>
              <w:left w:val="nil"/>
              <w:bottom w:val="nil"/>
              <w:right w:val="single" w:sz="4" w:space="0" w:color="auto"/>
            </w:tcBorders>
            <w:shd w:val="clear" w:color="auto" w:fill="auto"/>
            <w:noWrap/>
            <w:vAlign w:val="bottom"/>
            <w:hideMark/>
          </w:tcPr>
          <w:p w14:paraId="51858F81" w14:textId="77777777" w:rsidR="00421D81" w:rsidRPr="0094727B" w:rsidRDefault="00421D81" w:rsidP="00F51BBE">
            <w:pPr>
              <w:rPr>
                <w:rFonts w:ascii="Calibri" w:eastAsia="Times New Roman" w:hAnsi="Calibri" w:cs="Calibri"/>
                <w:color w:val="000000"/>
              </w:rPr>
            </w:pPr>
            <w:r w:rsidRPr="0094727B">
              <w:rPr>
                <w:rFonts w:ascii="Calibri" w:eastAsia="Times New Roman" w:hAnsi="Calibri" w:cs="Calibri"/>
                <w:color w:val="000000"/>
              </w:rPr>
              <w:t>Local Authority</w:t>
            </w:r>
          </w:p>
        </w:tc>
      </w:tr>
      <w:tr w:rsidR="00421D81" w:rsidRPr="0094727B" w14:paraId="7E4FDF3B" w14:textId="77777777" w:rsidTr="00F51BBE">
        <w:trPr>
          <w:trHeight w:val="215"/>
        </w:trPr>
        <w:tc>
          <w:tcPr>
            <w:tcW w:w="1512" w:type="dxa"/>
            <w:tcBorders>
              <w:top w:val="nil"/>
              <w:left w:val="single" w:sz="4" w:space="0" w:color="auto"/>
              <w:bottom w:val="nil"/>
              <w:right w:val="single" w:sz="4" w:space="0" w:color="auto"/>
            </w:tcBorders>
            <w:shd w:val="clear" w:color="auto" w:fill="auto"/>
            <w:noWrap/>
            <w:vAlign w:val="bottom"/>
            <w:hideMark/>
          </w:tcPr>
          <w:p w14:paraId="08B2985C" w14:textId="77777777" w:rsidR="00421D81" w:rsidRPr="0094727B" w:rsidRDefault="00421D81" w:rsidP="00F51BBE">
            <w:pPr>
              <w:jc w:val="center"/>
              <w:rPr>
                <w:rFonts w:eastAsia="Times New Roman"/>
                <w:sz w:val="20"/>
                <w:szCs w:val="20"/>
              </w:rPr>
            </w:pPr>
            <w:r w:rsidRPr="0094727B">
              <w:rPr>
                <w:rFonts w:eastAsia="Times New Roman"/>
                <w:sz w:val="20"/>
                <w:szCs w:val="20"/>
              </w:rPr>
              <w:t>01-Jul-21</w:t>
            </w:r>
          </w:p>
        </w:tc>
        <w:tc>
          <w:tcPr>
            <w:tcW w:w="3384" w:type="dxa"/>
            <w:tcBorders>
              <w:top w:val="nil"/>
              <w:left w:val="nil"/>
              <w:bottom w:val="nil"/>
              <w:right w:val="single" w:sz="4" w:space="0" w:color="auto"/>
            </w:tcBorders>
            <w:shd w:val="clear" w:color="auto" w:fill="auto"/>
            <w:noWrap/>
            <w:vAlign w:val="bottom"/>
            <w:hideMark/>
          </w:tcPr>
          <w:p w14:paraId="468BC8FA" w14:textId="77777777" w:rsidR="00421D81" w:rsidRPr="0094727B" w:rsidRDefault="00421D81" w:rsidP="00F51BBE">
            <w:pPr>
              <w:rPr>
                <w:rFonts w:eastAsia="Times New Roman"/>
                <w:sz w:val="20"/>
                <w:szCs w:val="20"/>
              </w:rPr>
            </w:pPr>
            <w:r w:rsidRPr="0094727B">
              <w:rPr>
                <w:rFonts w:eastAsia="Times New Roman"/>
                <w:sz w:val="20"/>
                <w:szCs w:val="20"/>
              </w:rPr>
              <w:t>Corby Borough Council</w:t>
            </w:r>
          </w:p>
        </w:tc>
        <w:tc>
          <w:tcPr>
            <w:tcW w:w="1490" w:type="dxa"/>
            <w:tcBorders>
              <w:top w:val="nil"/>
              <w:left w:val="nil"/>
              <w:bottom w:val="nil"/>
              <w:right w:val="single" w:sz="4" w:space="0" w:color="auto"/>
            </w:tcBorders>
            <w:shd w:val="clear" w:color="auto" w:fill="auto"/>
            <w:noWrap/>
            <w:vAlign w:val="bottom"/>
            <w:hideMark/>
          </w:tcPr>
          <w:p w14:paraId="7BAA0A90" w14:textId="77777777" w:rsidR="00421D81" w:rsidRPr="0094727B" w:rsidRDefault="00421D81" w:rsidP="00F51BBE">
            <w:pPr>
              <w:jc w:val="right"/>
              <w:rPr>
                <w:rFonts w:eastAsia="Times New Roman"/>
                <w:sz w:val="20"/>
                <w:szCs w:val="20"/>
              </w:rPr>
            </w:pPr>
            <w:r w:rsidRPr="0094727B">
              <w:rPr>
                <w:rFonts w:eastAsia="Times New Roman"/>
                <w:sz w:val="20"/>
                <w:szCs w:val="20"/>
              </w:rPr>
              <w:t xml:space="preserve"> 5,000,000 </w:t>
            </w:r>
          </w:p>
        </w:tc>
        <w:tc>
          <w:tcPr>
            <w:tcW w:w="1073" w:type="dxa"/>
            <w:tcBorders>
              <w:top w:val="nil"/>
              <w:left w:val="nil"/>
              <w:bottom w:val="nil"/>
              <w:right w:val="single" w:sz="4" w:space="0" w:color="auto"/>
            </w:tcBorders>
            <w:shd w:val="clear" w:color="auto" w:fill="auto"/>
            <w:noWrap/>
            <w:vAlign w:val="bottom"/>
            <w:hideMark/>
          </w:tcPr>
          <w:p w14:paraId="45643E28" w14:textId="77777777" w:rsidR="00421D81" w:rsidRPr="0094727B" w:rsidRDefault="00421D81" w:rsidP="00F51BBE">
            <w:pPr>
              <w:rPr>
                <w:rFonts w:ascii="Calibri" w:eastAsia="Times New Roman" w:hAnsi="Calibri" w:cs="Calibri"/>
                <w:color w:val="000000"/>
              </w:rPr>
            </w:pPr>
            <w:r w:rsidRPr="0094727B">
              <w:rPr>
                <w:rFonts w:ascii="Calibri" w:eastAsia="Times New Roman" w:hAnsi="Calibri" w:cs="Calibri"/>
                <w:color w:val="000000"/>
              </w:rPr>
              <w:t xml:space="preserve">        0.06 </w:t>
            </w:r>
          </w:p>
        </w:tc>
        <w:tc>
          <w:tcPr>
            <w:tcW w:w="1854" w:type="dxa"/>
            <w:tcBorders>
              <w:top w:val="nil"/>
              <w:left w:val="nil"/>
              <w:bottom w:val="nil"/>
              <w:right w:val="single" w:sz="4" w:space="0" w:color="auto"/>
            </w:tcBorders>
            <w:shd w:val="clear" w:color="auto" w:fill="auto"/>
            <w:noWrap/>
            <w:vAlign w:val="bottom"/>
            <w:hideMark/>
          </w:tcPr>
          <w:p w14:paraId="31B16A83" w14:textId="77777777" w:rsidR="00421D81" w:rsidRPr="0094727B" w:rsidRDefault="00421D81" w:rsidP="00F51BBE">
            <w:pPr>
              <w:rPr>
                <w:rFonts w:ascii="Calibri" w:eastAsia="Times New Roman" w:hAnsi="Calibri" w:cs="Calibri"/>
                <w:color w:val="000000"/>
              </w:rPr>
            </w:pPr>
            <w:r w:rsidRPr="0094727B">
              <w:rPr>
                <w:rFonts w:ascii="Calibri" w:eastAsia="Times New Roman" w:hAnsi="Calibri" w:cs="Calibri"/>
                <w:color w:val="000000"/>
              </w:rPr>
              <w:t>Local Authority</w:t>
            </w:r>
          </w:p>
        </w:tc>
      </w:tr>
      <w:tr w:rsidR="00421D81" w:rsidRPr="0094727B" w14:paraId="16A8811D" w14:textId="77777777" w:rsidTr="00F51BBE">
        <w:trPr>
          <w:trHeight w:val="215"/>
        </w:trPr>
        <w:tc>
          <w:tcPr>
            <w:tcW w:w="1512" w:type="dxa"/>
            <w:tcBorders>
              <w:top w:val="nil"/>
              <w:left w:val="single" w:sz="4" w:space="0" w:color="auto"/>
              <w:bottom w:val="nil"/>
              <w:right w:val="single" w:sz="4" w:space="0" w:color="auto"/>
            </w:tcBorders>
            <w:shd w:val="clear" w:color="auto" w:fill="auto"/>
            <w:noWrap/>
            <w:vAlign w:val="bottom"/>
            <w:hideMark/>
          </w:tcPr>
          <w:p w14:paraId="5933CAC0" w14:textId="77777777" w:rsidR="00421D81" w:rsidRPr="0094727B" w:rsidRDefault="00421D81" w:rsidP="00F51BBE">
            <w:pPr>
              <w:jc w:val="center"/>
              <w:rPr>
                <w:rFonts w:eastAsia="Times New Roman"/>
                <w:sz w:val="20"/>
                <w:szCs w:val="20"/>
              </w:rPr>
            </w:pPr>
            <w:r w:rsidRPr="0094727B">
              <w:rPr>
                <w:rFonts w:eastAsia="Times New Roman"/>
                <w:sz w:val="20"/>
                <w:szCs w:val="20"/>
              </w:rPr>
              <w:t>05-Jul-21</w:t>
            </w:r>
          </w:p>
        </w:tc>
        <w:tc>
          <w:tcPr>
            <w:tcW w:w="3384" w:type="dxa"/>
            <w:tcBorders>
              <w:top w:val="nil"/>
              <w:left w:val="nil"/>
              <w:bottom w:val="nil"/>
              <w:right w:val="single" w:sz="4" w:space="0" w:color="auto"/>
            </w:tcBorders>
            <w:shd w:val="clear" w:color="auto" w:fill="auto"/>
            <w:noWrap/>
            <w:vAlign w:val="bottom"/>
            <w:hideMark/>
          </w:tcPr>
          <w:p w14:paraId="32F60C61" w14:textId="77777777" w:rsidR="00421D81" w:rsidRPr="0094727B" w:rsidRDefault="00421D81" w:rsidP="00F51BBE">
            <w:pPr>
              <w:rPr>
                <w:rFonts w:eastAsia="Times New Roman"/>
                <w:sz w:val="20"/>
                <w:szCs w:val="20"/>
              </w:rPr>
            </w:pPr>
            <w:r w:rsidRPr="0094727B">
              <w:rPr>
                <w:rFonts w:eastAsia="Times New Roman"/>
                <w:sz w:val="20"/>
                <w:szCs w:val="20"/>
              </w:rPr>
              <w:t>London Borough of Croydon</w:t>
            </w:r>
          </w:p>
        </w:tc>
        <w:tc>
          <w:tcPr>
            <w:tcW w:w="1490" w:type="dxa"/>
            <w:tcBorders>
              <w:top w:val="nil"/>
              <w:left w:val="nil"/>
              <w:bottom w:val="nil"/>
              <w:right w:val="single" w:sz="4" w:space="0" w:color="auto"/>
            </w:tcBorders>
            <w:shd w:val="clear" w:color="auto" w:fill="auto"/>
            <w:noWrap/>
            <w:vAlign w:val="bottom"/>
            <w:hideMark/>
          </w:tcPr>
          <w:p w14:paraId="2445BCE8" w14:textId="77777777" w:rsidR="00421D81" w:rsidRPr="0094727B" w:rsidRDefault="00421D81" w:rsidP="00F51BBE">
            <w:pPr>
              <w:jc w:val="right"/>
              <w:rPr>
                <w:rFonts w:eastAsia="Times New Roman"/>
                <w:sz w:val="20"/>
                <w:szCs w:val="20"/>
              </w:rPr>
            </w:pPr>
            <w:r w:rsidRPr="0094727B">
              <w:rPr>
                <w:rFonts w:eastAsia="Times New Roman"/>
                <w:sz w:val="20"/>
                <w:szCs w:val="20"/>
              </w:rPr>
              <w:t xml:space="preserve"> 10,000,000 </w:t>
            </w:r>
          </w:p>
        </w:tc>
        <w:tc>
          <w:tcPr>
            <w:tcW w:w="1073" w:type="dxa"/>
            <w:tcBorders>
              <w:top w:val="nil"/>
              <w:left w:val="nil"/>
              <w:bottom w:val="nil"/>
              <w:right w:val="single" w:sz="4" w:space="0" w:color="auto"/>
            </w:tcBorders>
            <w:shd w:val="clear" w:color="auto" w:fill="auto"/>
            <w:noWrap/>
            <w:vAlign w:val="bottom"/>
            <w:hideMark/>
          </w:tcPr>
          <w:p w14:paraId="226CD7B1" w14:textId="77777777" w:rsidR="00421D81" w:rsidRPr="0094727B" w:rsidRDefault="00421D81" w:rsidP="00F51BBE">
            <w:pPr>
              <w:rPr>
                <w:rFonts w:ascii="Calibri" w:eastAsia="Times New Roman" w:hAnsi="Calibri" w:cs="Calibri"/>
                <w:color w:val="000000"/>
              </w:rPr>
            </w:pPr>
            <w:r w:rsidRPr="0094727B">
              <w:rPr>
                <w:rFonts w:ascii="Calibri" w:eastAsia="Times New Roman" w:hAnsi="Calibri" w:cs="Calibri"/>
                <w:color w:val="000000"/>
              </w:rPr>
              <w:t xml:space="preserve">        0.90 </w:t>
            </w:r>
          </w:p>
        </w:tc>
        <w:tc>
          <w:tcPr>
            <w:tcW w:w="1854" w:type="dxa"/>
            <w:tcBorders>
              <w:top w:val="nil"/>
              <w:left w:val="nil"/>
              <w:bottom w:val="nil"/>
              <w:right w:val="single" w:sz="4" w:space="0" w:color="auto"/>
            </w:tcBorders>
            <w:shd w:val="clear" w:color="auto" w:fill="auto"/>
            <w:noWrap/>
            <w:vAlign w:val="bottom"/>
            <w:hideMark/>
          </w:tcPr>
          <w:p w14:paraId="449B58BF" w14:textId="77777777" w:rsidR="00421D81" w:rsidRPr="0094727B" w:rsidRDefault="00421D81" w:rsidP="00F51BBE">
            <w:pPr>
              <w:rPr>
                <w:rFonts w:ascii="Calibri" w:eastAsia="Times New Roman" w:hAnsi="Calibri" w:cs="Calibri"/>
                <w:color w:val="000000"/>
              </w:rPr>
            </w:pPr>
            <w:r w:rsidRPr="0094727B">
              <w:rPr>
                <w:rFonts w:ascii="Calibri" w:eastAsia="Times New Roman" w:hAnsi="Calibri" w:cs="Calibri"/>
                <w:color w:val="000000"/>
              </w:rPr>
              <w:t>Local Authority</w:t>
            </w:r>
          </w:p>
        </w:tc>
      </w:tr>
      <w:tr w:rsidR="00421D81" w:rsidRPr="0094727B" w14:paraId="369657A8" w14:textId="77777777" w:rsidTr="00F51BBE">
        <w:trPr>
          <w:trHeight w:val="215"/>
        </w:trPr>
        <w:tc>
          <w:tcPr>
            <w:tcW w:w="1512" w:type="dxa"/>
            <w:tcBorders>
              <w:top w:val="nil"/>
              <w:left w:val="single" w:sz="4" w:space="0" w:color="auto"/>
              <w:bottom w:val="nil"/>
              <w:right w:val="single" w:sz="4" w:space="0" w:color="auto"/>
            </w:tcBorders>
            <w:shd w:val="clear" w:color="auto" w:fill="auto"/>
            <w:noWrap/>
            <w:vAlign w:val="bottom"/>
            <w:hideMark/>
          </w:tcPr>
          <w:p w14:paraId="596DF453" w14:textId="77777777" w:rsidR="00421D81" w:rsidRPr="0094727B" w:rsidRDefault="00421D81" w:rsidP="00F51BBE">
            <w:pPr>
              <w:jc w:val="center"/>
              <w:rPr>
                <w:rFonts w:eastAsia="Times New Roman"/>
                <w:sz w:val="20"/>
                <w:szCs w:val="20"/>
              </w:rPr>
            </w:pPr>
            <w:r w:rsidRPr="0094727B">
              <w:rPr>
                <w:rFonts w:eastAsia="Times New Roman"/>
                <w:sz w:val="20"/>
                <w:szCs w:val="20"/>
              </w:rPr>
              <w:t>13-Aug-21</w:t>
            </w:r>
          </w:p>
        </w:tc>
        <w:tc>
          <w:tcPr>
            <w:tcW w:w="3384" w:type="dxa"/>
            <w:tcBorders>
              <w:top w:val="nil"/>
              <w:left w:val="nil"/>
              <w:bottom w:val="nil"/>
              <w:right w:val="single" w:sz="4" w:space="0" w:color="auto"/>
            </w:tcBorders>
            <w:shd w:val="clear" w:color="auto" w:fill="auto"/>
            <w:noWrap/>
            <w:vAlign w:val="bottom"/>
            <w:hideMark/>
          </w:tcPr>
          <w:p w14:paraId="6A42F63B" w14:textId="77777777" w:rsidR="00421D81" w:rsidRPr="0094727B" w:rsidRDefault="00421D81" w:rsidP="00F51BBE">
            <w:pPr>
              <w:rPr>
                <w:rFonts w:eastAsia="Times New Roman"/>
                <w:sz w:val="20"/>
                <w:szCs w:val="20"/>
              </w:rPr>
            </w:pPr>
            <w:r w:rsidRPr="0094727B">
              <w:rPr>
                <w:rFonts w:eastAsia="Times New Roman"/>
                <w:sz w:val="20"/>
                <w:szCs w:val="20"/>
              </w:rPr>
              <w:t>Staffordshire Moorlands DC</w:t>
            </w:r>
          </w:p>
        </w:tc>
        <w:tc>
          <w:tcPr>
            <w:tcW w:w="1490" w:type="dxa"/>
            <w:tcBorders>
              <w:top w:val="nil"/>
              <w:left w:val="nil"/>
              <w:bottom w:val="nil"/>
              <w:right w:val="single" w:sz="4" w:space="0" w:color="auto"/>
            </w:tcBorders>
            <w:shd w:val="clear" w:color="auto" w:fill="auto"/>
            <w:noWrap/>
            <w:vAlign w:val="bottom"/>
            <w:hideMark/>
          </w:tcPr>
          <w:p w14:paraId="25ED2CB9" w14:textId="77777777" w:rsidR="00421D81" w:rsidRPr="0094727B" w:rsidRDefault="00421D81" w:rsidP="00F51BBE">
            <w:pPr>
              <w:jc w:val="right"/>
              <w:rPr>
                <w:rFonts w:eastAsia="Times New Roman"/>
                <w:sz w:val="20"/>
                <w:szCs w:val="20"/>
              </w:rPr>
            </w:pPr>
            <w:r w:rsidRPr="0094727B">
              <w:rPr>
                <w:rFonts w:eastAsia="Times New Roman"/>
                <w:sz w:val="20"/>
                <w:szCs w:val="20"/>
              </w:rPr>
              <w:t xml:space="preserve"> 1,000,000 </w:t>
            </w:r>
          </w:p>
        </w:tc>
        <w:tc>
          <w:tcPr>
            <w:tcW w:w="1073" w:type="dxa"/>
            <w:tcBorders>
              <w:top w:val="nil"/>
              <w:left w:val="nil"/>
              <w:bottom w:val="nil"/>
              <w:right w:val="single" w:sz="4" w:space="0" w:color="auto"/>
            </w:tcBorders>
            <w:shd w:val="clear" w:color="auto" w:fill="auto"/>
            <w:noWrap/>
            <w:vAlign w:val="bottom"/>
            <w:hideMark/>
          </w:tcPr>
          <w:p w14:paraId="16D96F48" w14:textId="77777777" w:rsidR="00421D81" w:rsidRPr="0094727B" w:rsidRDefault="00421D81" w:rsidP="00F51BBE">
            <w:pPr>
              <w:rPr>
                <w:rFonts w:ascii="Calibri" w:eastAsia="Times New Roman" w:hAnsi="Calibri" w:cs="Calibri"/>
                <w:color w:val="000000"/>
              </w:rPr>
            </w:pPr>
            <w:r w:rsidRPr="0094727B">
              <w:rPr>
                <w:rFonts w:ascii="Calibri" w:eastAsia="Times New Roman" w:hAnsi="Calibri" w:cs="Calibri"/>
                <w:color w:val="000000"/>
              </w:rPr>
              <w:t xml:space="preserve">        0.40 </w:t>
            </w:r>
          </w:p>
        </w:tc>
        <w:tc>
          <w:tcPr>
            <w:tcW w:w="1854" w:type="dxa"/>
            <w:tcBorders>
              <w:top w:val="nil"/>
              <w:left w:val="nil"/>
              <w:bottom w:val="nil"/>
              <w:right w:val="single" w:sz="4" w:space="0" w:color="auto"/>
            </w:tcBorders>
            <w:shd w:val="clear" w:color="auto" w:fill="auto"/>
            <w:noWrap/>
            <w:vAlign w:val="bottom"/>
            <w:hideMark/>
          </w:tcPr>
          <w:p w14:paraId="2E8EC7DE" w14:textId="77777777" w:rsidR="00421D81" w:rsidRPr="0094727B" w:rsidRDefault="00421D81" w:rsidP="00F51BBE">
            <w:pPr>
              <w:rPr>
                <w:rFonts w:ascii="Calibri" w:eastAsia="Times New Roman" w:hAnsi="Calibri" w:cs="Calibri"/>
                <w:color w:val="000000"/>
              </w:rPr>
            </w:pPr>
            <w:r w:rsidRPr="0094727B">
              <w:rPr>
                <w:rFonts w:ascii="Calibri" w:eastAsia="Times New Roman" w:hAnsi="Calibri" w:cs="Calibri"/>
                <w:color w:val="000000"/>
              </w:rPr>
              <w:t>Local Authority</w:t>
            </w:r>
          </w:p>
        </w:tc>
      </w:tr>
      <w:tr w:rsidR="00421D81" w:rsidRPr="0094727B" w14:paraId="32DF40B1" w14:textId="77777777" w:rsidTr="00F51BBE">
        <w:trPr>
          <w:trHeight w:val="215"/>
        </w:trPr>
        <w:tc>
          <w:tcPr>
            <w:tcW w:w="1512" w:type="dxa"/>
            <w:tcBorders>
              <w:top w:val="nil"/>
              <w:left w:val="single" w:sz="4" w:space="0" w:color="auto"/>
              <w:bottom w:val="nil"/>
              <w:right w:val="single" w:sz="4" w:space="0" w:color="auto"/>
            </w:tcBorders>
            <w:shd w:val="clear" w:color="auto" w:fill="auto"/>
            <w:noWrap/>
            <w:vAlign w:val="bottom"/>
            <w:hideMark/>
          </w:tcPr>
          <w:p w14:paraId="40AD90DD" w14:textId="77777777" w:rsidR="00421D81" w:rsidRPr="0094727B" w:rsidRDefault="00421D81" w:rsidP="00F51BBE">
            <w:pPr>
              <w:jc w:val="center"/>
              <w:rPr>
                <w:rFonts w:eastAsia="Times New Roman"/>
                <w:sz w:val="20"/>
                <w:szCs w:val="20"/>
              </w:rPr>
            </w:pPr>
            <w:r w:rsidRPr="0094727B">
              <w:rPr>
                <w:rFonts w:eastAsia="Times New Roman"/>
                <w:sz w:val="20"/>
                <w:szCs w:val="20"/>
              </w:rPr>
              <w:t>25-Mar-22</w:t>
            </w:r>
          </w:p>
        </w:tc>
        <w:tc>
          <w:tcPr>
            <w:tcW w:w="3384" w:type="dxa"/>
            <w:tcBorders>
              <w:top w:val="nil"/>
              <w:left w:val="nil"/>
              <w:bottom w:val="nil"/>
              <w:right w:val="single" w:sz="4" w:space="0" w:color="auto"/>
            </w:tcBorders>
            <w:shd w:val="clear" w:color="auto" w:fill="auto"/>
            <w:noWrap/>
            <w:vAlign w:val="bottom"/>
            <w:hideMark/>
          </w:tcPr>
          <w:p w14:paraId="5D9B370A" w14:textId="77777777" w:rsidR="00421D81" w:rsidRPr="0094727B" w:rsidRDefault="00421D81" w:rsidP="00F51BBE">
            <w:pPr>
              <w:rPr>
                <w:rFonts w:eastAsia="Times New Roman"/>
                <w:sz w:val="20"/>
                <w:szCs w:val="20"/>
              </w:rPr>
            </w:pPr>
            <w:r w:rsidRPr="0094727B">
              <w:rPr>
                <w:rFonts w:eastAsia="Times New Roman"/>
                <w:sz w:val="20"/>
                <w:szCs w:val="20"/>
              </w:rPr>
              <w:t>Wokingham BC</w:t>
            </w:r>
          </w:p>
        </w:tc>
        <w:tc>
          <w:tcPr>
            <w:tcW w:w="1490" w:type="dxa"/>
            <w:tcBorders>
              <w:top w:val="nil"/>
              <w:left w:val="nil"/>
              <w:bottom w:val="nil"/>
              <w:right w:val="single" w:sz="4" w:space="0" w:color="auto"/>
            </w:tcBorders>
            <w:shd w:val="clear" w:color="auto" w:fill="auto"/>
            <w:noWrap/>
            <w:vAlign w:val="bottom"/>
            <w:hideMark/>
          </w:tcPr>
          <w:p w14:paraId="269B62C9" w14:textId="77777777" w:rsidR="00421D81" w:rsidRPr="0094727B" w:rsidRDefault="00421D81" w:rsidP="00F51BBE">
            <w:pPr>
              <w:jc w:val="right"/>
              <w:rPr>
                <w:rFonts w:eastAsia="Times New Roman"/>
                <w:sz w:val="20"/>
                <w:szCs w:val="20"/>
              </w:rPr>
            </w:pPr>
            <w:r w:rsidRPr="0094727B">
              <w:rPr>
                <w:rFonts w:eastAsia="Times New Roman"/>
                <w:sz w:val="20"/>
                <w:szCs w:val="20"/>
              </w:rPr>
              <w:t xml:space="preserve"> 5,000,000 </w:t>
            </w:r>
          </w:p>
        </w:tc>
        <w:tc>
          <w:tcPr>
            <w:tcW w:w="1073" w:type="dxa"/>
            <w:tcBorders>
              <w:top w:val="nil"/>
              <w:left w:val="nil"/>
              <w:bottom w:val="nil"/>
              <w:right w:val="single" w:sz="4" w:space="0" w:color="auto"/>
            </w:tcBorders>
            <w:shd w:val="clear" w:color="auto" w:fill="auto"/>
            <w:noWrap/>
            <w:vAlign w:val="bottom"/>
            <w:hideMark/>
          </w:tcPr>
          <w:p w14:paraId="32297EEE" w14:textId="77777777" w:rsidR="00421D81" w:rsidRPr="0094727B" w:rsidRDefault="00421D81" w:rsidP="00F51BBE">
            <w:pPr>
              <w:rPr>
                <w:rFonts w:ascii="Calibri" w:eastAsia="Times New Roman" w:hAnsi="Calibri" w:cs="Calibri"/>
                <w:color w:val="000000"/>
              </w:rPr>
            </w:pPr>
            <w:r w:rsidRPr="0094727B">
              <w:rPr>
                <w:rFonts w:ascii="Calibri" w:eastAsia="Times New Roman" w:hAnsi="Calibri" w:cs="Calibri"/>
                <w:color w:val="000000"/>
              </w:rPr>
              <w:t xml:space="preserve">        1.45 </w:t>
            </w:r>
          </w:p>
        </w:tc>
        <w:tc>
          <w:tcPr>
            <w:tcW w:w="1854" w:type="dxa"/>
            <w:tcBorders>
              <w:top w:val="nil"/>
              <w:left w:val="nil"/>
              <w:bottom w:val="nil"/>
              <w:right w:val="single" w:sz="4" w:space="0" w:color="auto"/>
            </w:tcBorders>
            <w:shd w:val="clear" w:color="auto" w:fill="auto"/>
            <w:noWrap/>
            <w:vAlign w:val="bottom"/>
            <w:hideMark/>
          </w:tcPr>
          <w:p w14:paraId="7CF735FE" w14:textId="77777777" w:rsidR="00421D81" w:rsidRPr="0094727B" w:rsidRDefault="00421D81" w:rsidP="00F51BBE">
            <w:pPr>
              <w:rPr>
                <w:rFonts w:ascii="Calibri" w:eastAsia="Times New Roman" w:hAnsi="Calibri" w:cs="Calibri"/>
                <w:color w:val="000000"/>
              </w:rPr>
            </w:pPr>
            <w:r w:rsidRPr="0094727B">
              <w:rPr>
                <w:rFonts w:ascii="Calibri" w:eastAsia="Times New Roman" w:hAnsi="Calibri" w:cs="Calibri"/>
                <w:color w:val="000000"/>
              </w:rPr>
              <w:t>Local Authority</w:t>
            </w:r>
          </w:p>
        </w:tc>
      </w:tr>
      <w:tr w:rsidR="00421D81" w:rsidRPr="0094727B" w14:paraId="38753D78" w14:textId="77777777" w:rsidTr="00F51BBE">
        <w:trPr>
          <w:trHeight w:val="215"/>
        </w:trPr>
        <w:tc>
          <w:tcPr>
            <w:tcW w:w="1512" w:type="dxa"/>
            <w:tcBorders>
              <w:top w:val="nil"/>
              <w:left w:val="single" w:sz="4" w:space="0" w:color="auto"/>
              <w:bottom w:val="nil"/>
              <w:right w:val="single" w:sz="4" w:space="0" w:color="auto"/>
            </w:tcBorders>
            <w:shd w:val="clear" w:color="auto" w:fill="auto"/>
            <w:noWrap/>
            <w:vAlign w:val="bottom"/>
            <w:hideMark/>
          </w:tcPr>
          <w:p w14:paraId="39C1A409" w14:textId="77777777" w:rsidR="00421D81" w:rsidRPr="0094727B" w:rsidRDefault="00421D81" w:rsidP="00F51BBE">
            <w:pPr>
              <w:jc w:val="center"/>
              <w:rPr>
                <w:rFonts w:eastAsia="Times New Roman"/>
                <w:sz w:val="20"/>
                <w:szCs w:val="20"/>
              </w:rPr>
            </w:pPr>
            <w:r w:rsidRPr="0094727B">
              <w:rPr>
                <w:rFonts w:eastAsia="Times New Roman"/>
                <w:sz w:val="20"/>
                <w:szCs w:val="20"/>
              </w:rPr>
              <w:t>07-Jul-23</w:t>
            </w:r>
          </w:p>
        </w:tc>
        <w:tc>
          <w:tcPr>
            <w:tcW w:w="3384" w:type="dxa"/>
            <w:tcBorders>
              <w:top w:val="nil"/>
              <w:left w:val="nil"/>
              <w:bottom w:val="nil"/>
              <w:right w:val="single" w:sz="4" w:space="0" w:color="auto"/>
            </w:tcBorders>
            <w:shd w:val="clear" w:color="auto" w:fill="auto"/>
            <w:noWrap/>
            <w:vAlign w:val="bottom"/>
            <w:hideMark/>
          </w:tcPr>
          <w:p w14:paraId="54BED006" w14:textId="77777777" w:rsidR="00421D81" w:rsidRPr="0094727B" w:rsidRDefault="00421D81" w:rsidP="00F51BBE">
            <w:pPr>
              <w:rPr>
                <w:rFonts w:eastAsia="Times New Roman"/>
                <w:sz w:val="20"/>
                <w:szCs w:val="20"/>
              </w:rPr>
            </w:pPr>
            <w:r w:rsidRPr="0094727B">
              <w:rPr>
                <w:rFonts w:eastAsia="Times New Roman"/>
                <w:sz w:val="20"/>
                <w:szCs w:val="20"/>
              </w:rPr>
              <w:t>Dudley MBC</w:t>
            </w:r>
          </w:p>
        </w:tc>
        <w:tc>
          <w:tcPr>
            <w:tcW w:w="1490" w:type="dxa"/>
            <w:tcBorders>
              <w:top w:val="nil"/>
              <w:left w:val="nil"/>
              <w:bottom w:val="nil"/>
              <w:right w:val="single" w:sz="4" w:space="0" w:color="auto"/>
            </w:tcBorders>
            <w:shd w:val="clear" w:color="auto" w:fill="auto"/>
            <w:noWrap/>
            <w:vAlign w:val="bottom"/>
            <w:hideMark/>
          </w:tcPr>
          <w:p w14:paraId="373F5F74" w14:textId="77777777" w:rsidR="00421D81" w:rsidRPr="0094727B" w:rsidRDefault="00421D81" w:rsidP="00F51BBE">
            <w:pPr>
              <w:jc w:val="right"/>
              <w:rPr>
                <w:rFonts w:eastAsia="Times New Roman"/>
                <w:sz w:val="20"/>
                <w:szCs w:val="20"/>
              </w:rPr>
            </w:pPr>
            <w:r w:rsidRPr="0094727B">
              <w:rPr>
                <w:rFonts w:eastAsia="Times New Roman"/>
                <w:sz w:val="20"/>
                <w:szCs w:val="20"/>
              </w:rPr>
              <w:t xml:space="preserve"> 10,000,000 </w:t>
            </w:r>
          </w:p>
        </w:tc>
        <w:tc>
          <w:tcPr>
            <w:tcW w:w="1073" w:type="dxa"/>
            <w:tcBorders>
              <w:top w:val="nil"/>
              <w:left w:val="nil"/>
              <w:bottom w:val="nil"/>
              <w:right w:val="single" w:sz="4" w:space="0" w:color="auto"/>
            </w:tcBorders>
            <w:shd w:val="clear" w:color="auto" w:fill="auto"/>
            <w:noWrap/>
            <w:vAlign w:val="bottom"/>
            <w:hideMark/>
          </w:tcPr>
          <w:p w14:paraId="153DC6DA" w14:textId="77777777" w:rsidR="00421D81" w:rsidRPr="0094727B" w:rsidRDefault="00421D81" w:rsidP="00F51BBE">
            <w:pPr>
              <w:rPr>
                <w:rFonts w:ascii="Calibri" w:eastAsia="Times New Roman" w:hAnsi="Calibri" w:cs="Calibri"/>
                <w:color w:val="000000"/>
              </w:rPr>
            </w:pPr>
            <w:r w:rsidRPr="0094727B">
              <w:rPr>
                <w:rFonts w:ascii="Calibri" w:eastAsia="Times New Roman" w:hAnsi="Calibri" w:cs="Calibri"/>
                <w:color w:val="000000"/>
              </w:rPr>
              <w:t xml:space="preserve">        1.70 </w:t>
            </w:r>
          </w:p>
        </w:tc>
        <w:tc>
          <w:tcPr>
            <w:tcW w:w="1854" w:type="dxa"/>
            <w:tcBorders>
              <w:top w:val="nil"/>
              <w:left w:val="nil"/>
              <w:bottom w:val="nil"/>
              <w:right w:val="single" w:sz="4" w:space="0" w:color="auto"/>
            </w:tcBorders>
            <w:shd w:val="clear" w:color="auto" w:fill="auto"/>
            <w:noWrap/>
            <w:vAlign w:val="bottom"/>
            <w:hideMark/>
          </w:tcPr>
          <w:p w14:paraId="7E024746" w14:textId="77777777" w:rsidR="00421D81" w:rsidRPr="0094727B" w:rsidRDefault="00421D81" w:rsidP="00F51BBE">
            <w:pPr>
              <w:rPr>
                <w:rFonts w:ascii="Calibri" w:eastAsia="Times New Roman" w:hAnsi="Calibri" w:cs="Calibri"/>
                <w:color w:val="000000"/>
              </w:rPr>
            </w:pPr>
            <w:r w:rsidRPr="0094727B">
              <w:rPr>
                <w:rFonts w:ascii="Calibri" w:eastAsia="Times New Roman" w:hAnsi="Calibri" w:cs="Calibri"/>
                <w:color w:val="000000"/>
              </w:rPr>
              <w:t>Local Authority</w:t>
            </w:r>
          </w:p>
        </w:tc>
      </w:tr>
      <w:tr w:rsidR="00421D81" w:rsidRPr="0094727B" w14:paraId="2A76B8A1" w14:textId="77777777" w:rsidTr="00F51BBE">
        <w:trPr>
          <w:trHeight w:val="215"/>
        </w:trPr>
        <w:tc>
          <w:tcPr>
            <w:tcW w:w="1512" w:type="dxa"/>
            <w:tcBorders>
              <w:top w:val="nil"/>
              <w:left w:val="single" w:sz="4" w:space="0" w:color="auto"/>
              <w:bottom w:val="nil"/>
              <w:right w:val="single" w:sz="4" w:space="0" w:color="auto"/>
            </w:tcBorders>
            <w:shd w:val="clear" w:color="000000" w:fill="FFFFFF"/>
            <w:noWrap/>
            <w:vAlign w:val="bottom"/>
            <w:hideMark/>
          </w:tcPr>
          <w:p w14:paraId="04C3F3F2" w14:textId="77777777" w:rsidR="00421D81" w:rsidRPr="0094727B" w:rsidRDefault="00421D81" w:rsidP="00F51BBE">
            <w:pPr>
              <w:rPr>
                <w:rFonts w:ascii="Calibri" w:eastAsia="Times New Roman" w:hAnsi="Calibri" w:cs="Calibri"/>
                <w:color w:val="000000"/>
              </w:rPr>
            </w:pPr>
            <w:r w:rsidRPr="0094727B">
              <w:rPr>
                <w:rFonts w:ascii="Calibri" w:eastAsia="Times New Roman" w:hAnsi="Calibri" w:cs="Calibri"/>
                <w:color w:val="000000"/>
              </w:rPr>
              <w:t> </w:t>
            </w:r>
          </w:p>
        </w:tc>
        <w:tc>
          <w:tcPr>
            <w:tcW w:w="3384" w:type="dxa"/>
            <w:tcBorders>
              <w:top w:val="nil"/>
              <w:left w:val="nil"/>
              <w:bottom w:val="nil"/>
              <w:right w:val="single" w:sz="4" w:space="0" w:color="auto"/>
            </w:tcBorders>
            <w:shd w:val="clear" w:color="000000" w:fill="FFFFFF"/>
            <w:noWrap/>
            <w:vAlign w:val="bottom"/>
            <w:hideMark/>
          </w:tcPr>
          <w:p w14:paraId="6C724C19" w14:textId="77777777" w:rsidR="00421D81" w:rsidRPr="0094727B" w:rsidRDefault="00421D81" w:rsidP="00F51BBE">
            <w:pPr>
              <w:rPr>
                <w:rFonts w:ascii="Calibri" w:eastAsia="Times New Roman" w:hAnsi="Calibri" w:cs="Calibri"/>
                <w:color w:val="000000"/>
              </w:rPr>
            </w:pPr>
            <w:r w:rsidRPr="0094727B">
              <w:rPr>
                <w:rFonts w:ascii="Calibri" w:eastAsia="Times New Roman" w:hAnsi="Calibri" w:cs="Calibri"/>
                <w:color w:val="000000"/>
              </w:rPr>
              <w:t> </w:t>
            </w:r>
          </w:p>
        </w:tc>
        <w:tc>
          <w:tcPr>
            <w:tcW w:w="1490" w:type="dxa"/>
            <w:tcBorders>
              <w:top w:val="nil"/>
              <w:left w:val="nil"/>
              <w:bottom w:val="nil"/>
              <w:right w:val="single" w:sz="4" w:space="0" w:color="auto"/>
            </w:tcBorders>
            <w:shd w:val="clear" w:color="000000" w:fill="FFFFFF"/>
            <w:noWrap/>
            <w:vAlign w:val="bottom"/>
            <w:hideMark/>
          </w:tcPr>
          <w:p w14:paraId="77DE5C55" w14:textId="77777777" w:rsidR="00421D81" w:rsidRPr="0094727B" w:rsidRDefault="00421D81" w:rsidP="00F51BBE">
            <w:pPr>
              <w:rPr>
                <w:rFonts w:ascii="Calibri" w:eastAsia="Times New Roman" w:hAnsi="Calibri" w:cs="Calibri"/>
                <w:color w:val="000000"/>
              </w:rPr>
            </w:pPr>
            <w:r w:rsidRPr="0094727B">
              <w:rPr>
                <w:rFonts w:ascii="Calibri" w:eastAsia="Times New Roman" w:hAnsi="Calibri" w:cs="Calibri"/>
                <w:color w:val="000000"/>
              </w:rPr>
              <w:t> </w:t>
            </w:r>
          </w:p>
        </w:tc>
        <w:tc>
          <w:tcPr>
            <w:tcW w:w="1073" w:type="dxa"/>
            <w:tcBorders>
              <w:top w:val="nil"/>
              <w:left w:val="nil"/>
              <w:bottom w:val="nil"/>
              <w:right w:val="single" w:sz="4" w:space="0" w:color="auto"/>
            </w:tcBorders>
            <w:shd w:val="clear" w:color="000000" w:fill="FFFFFF"/>
            <w:noWrap/>
            <w:vAlign w:val="bottom"/>
            <w:hideMark/>
          </w:tcPr>
          <w:p w14:paraId="28890F75" w14:textId="77777777" w:rsidR="00421D81" w:rsidRPr="0094727B" w:rsidRDefault="00421D81" w:rsidP="00F51BBE">
            <w:pPr>
              <w:rPr>
                <w:rFonts w:ascii="Calibri" w:eastAsia="Times New Roman" w:hAnsi="Calibri" w:cs="Calibri"/>
                <w:color w:val="000000"/>
              </w:rPr>
            </w:pPr>
            <w:r w:rsidRPr="0094727B">
              <w:rPr>
                <w:rFonts w:ascii="Calibri" w:eastAsia="Times New Roman" w:hAnsi="Calibri" w:cs="Calibri"/>
                <w:color w:val="000000"/>
              </w:rPr>
              <w:t> </w:t>
            </w:r>
          </w:p>
        </w:tc>
        <w:tc>
          <w:tcPr>
            <w:tcW w:w="1854" w:type="dxa"/>
            <w:tcBorders>
              <w:top w:val="nil"/>
              <w:left w:val="nil"/>
              <w:bottom w:val="nil"/>
              <w:right w:val="single" w:sz="4" w:space="0" w:color="auto"/>
            </w:tcBorders>
            <w:shd w:val="clear" w:color="000000" w:fill="FFFFFF"/>
            <w:noWrap/>
            <w:vAlign w:val="bottom"/>
            <w:hideMark/>
          </w:tcPr>
          <w:p w14:paraId="2D22C89B" w14:textId="77777777" w:rsidR="00421D81" w:rsidRPr="0094727B" w:rsidRDefault="00421D81" w:rsidP="00F51BBE">
            <w:pPr>
              <w:rPr>
                <w:rFonts w:ascii="Calibri" w:eastAsia="Times New Roman" w:hAnsi="Calibri" w:cs="Calibri"/>
                <w:color w:val="000000"/>
              </w:rPr>
            </w:pPr>
            <w:r w:rsidRPr="0094727B">
              <w:rPr>
                <w:rFonts w:ascii="Calibri" w:eastAsia="Times New Roman" w:hAnsi="Calibri" w:cs="Calibri"/>
                <w:color w:val="000000"/>
              </w:rPr>
              <w:t> </w:t>
            </w:r>
          </w:p>
        </w:tc>
      </w:tr>
      <w:tr w:rsidR="00421D81" w:rsidRPr="0094727B" w14:paraId="393900B3" w14:textId="77777777" w:rsidTr="00F51BBE">
        <w:trPr>
          <w:trHeight w:val="215"/>
        </w:trPr>
        <w:tc>
          <w:tcPr>
            <w:tcW w:w="1512" w:type="dxa"/>
            <w:tcBorders>
              <w:top w:val="nil"/>
              <w:left w:val="single" w:sz="4" w:space="0" w:color="auto"/>
              <w:bottom w:val="nil"/>
              <w:right w:val="single" w:sz="4" w:space="0" w:color="auto"/>
            </w:tcBorders>
            <w:shd w:val="clear" w:color="000000" w:fill="FFFFFF"/>
            <w:noWrap/>
            <w:vAlign w:val="bottom"/>
            <w:hideMark/>
          </w:tcPr>
          <w:p w14:paraId="2795B58F" w14:textId="77777777" w:rsidR="00421D81" w:rsidRPr="0094727B" w:rsidRDefault="00421D81" w:rsidP="00F51BBE">
            <w:pPr>
              <w:rPr>
                <w:rFonts w:ascii="Calibri" w:eastAsia="Times New Roman" w:hAnsi="Calibri" w:cs="Calibri"/>
                <w:color w:val="000000"/>
              </w:rPr>
            </w:pPr>
            <w:r w:rsidRPr="0094727B">
              <w:rPr>
                <w:rFonts w:ascii="Calibri" w:eastAsia="Times New Roman" w:hAnsi="Calibri" w:cs="Calibri"/>
                <w:color w:val="000000"/>
              </w:rPr>
              <w:t> </w:t>
            </w:r>
          </w:p>
        </w:tc>
        <w:tc>
          <w:tcPr>
            <w:tcW w:w="3384" w:type="dxa"/>
            <w:tcBorders>
              <w:top w:val="nil"/>
              <w:left w:val="nil"/>
              <w:bottom w:val="nil"/>
              <w:right w:val="single" w:sz="4" w:space="0" w:color="auto"/>
            </w:tcBorders>
            <w:shd w:val="clear" w:color="000000" w:fill="FFFFFF"/>
            <w:noWrap/>
            <w:vAlign w:val="bottom"/>
            <w:hideMark/>
          </w:tcPr>
          <w:p w14:paraId="3562E3D9" w14:textId="77777777" w:rsidR="00421D81" w:rsidRPr="0094727B" w:rsidRDefault="00421D81" w:rsidP="00F51BBE">
            <w:pPr>
              <w:rPr>
                <w:rFonts w:eastAsia="Times New Roman"/>
                <w:b/>
                <w:bCs/>
                <w:sz w:val="20"/>
                <w:szCs w:val="20"/>
              </w:rPr>
            </w:pPr>
            <w:r w:rsidRPr="0094727B">
              <w:rPr>
                <w:rFonts w:eastAsia="Times New Roman"/>
                <w:b/>
                <w:bCs/>
                <w:sz w:val="20"/>
                <w:szCs w:val="20"/>
              </w:rPr>
              <w:t>Total</w:t>
            </w:r>
          </w:p>
        </w:tc>
        <w:tc>
          <w:tcPr>
            <w:tcW w:w="1490" w:type="dxa"/>
            <w:tcBorders>
              <w:top w:val="nil"/>
              <w:left w:val="nil"/>
              <w:bottom w:val="nil"/>
              <w:right w:val="single" w:sz="4" w:space="0" w:color="auto"/>
            </w:tcBorders>
            <w:shd w:val="clear" w:color="000000" w:fill="FFFFFF"/>
            <w:noWrap/>
            <w:vAlign w:val="bottom"/>
            <w:hideMark/>
          </w:tcPr>
          <w:p w14:paraId="2DCBDED0" w14:textId="77777777" w:rsidR="00421D81" w:rsidRPr="0094727B" w:rsidRDefault="00421D81" w:rsidP="00F51BBE">
            <w:pPr>
              <w:jc w:val="right"/>
              <w:rPr>
                <w:rFonts w:ascii="Calibri" w:eastAsia="Times New Roman" w:hAnsi="Calibri" w:cs="Calibri"/>
                <w:b/>
                <w:bCs/>
                <w:color w:val="000000"/>
              </w:rPr>
            </w:pPr>
            <w:r w:rsidRPr="0094727B">
              <w:rPr>
                <w:rFonts w:ascii="Calibri" w:eastAsia="Times New Roman" w:hAnsi="Calibri" w:cs="Calibri"/>
                <w:b/>
                <w:bCs/>
                <w:color w:val="000000"/>
              </w:rPr>
              <w:t xml:space="preserve"> 76,000,000 </w:t>
            </w:r>
          </w:p>
        </w:tc>
        <w:tc>
          <w:tcPr>
            <w:tcW w:w="1073" w:type="dxa"/>
            <w:tcBorders>
              <w:top w:val="nil"/>
              <w:left w:val="nil"/>
              <w:bottom w:val="nil"/>
              <w:right w:val="single" w:sz="4" w:space="0" w:color="auto"/>
            </w:tcBorders>
            <w:shd w:val="clear" w:color="000000" w:fill="FFFFFF"/>
            <w:noWrap/>
            <w:vAlign w:val="bottom"/>
            <w:hideMark/>
          </w:tcPr>
          <w:p w14:paraId="012FA962" w14:textId="77777777" w:rsidR="00421D81" w:rsidRPr="0094727B" w:rsidRDefault="00421D81" w:rsidP="00F51BBE">
            <w:pPr>
              <w:rPr>
                <w:rFonts w:ascii="Calibri" w:eastAsia="Times New Roman" w:hAnsi="Calibri" w:cs="Calibri"/>
                <w:color w:val="000000"/>
              </w:rPr>
            </w:pPr>
            <w:r w:rsidRPr="0094727B">
              <w:rPr>
                <w:rFonts w:ascii="Calibri" w:eastAsia="Times New Roman" w:hAnsi="Calibri" w:cs="Calibri"/>
                <w:color w:val="000000"/>
              </w:rPr>
              <w:t> </w:t>
            </w:r>
          </w:p>
        </w:tc>
        <w:tc>
          <w:tcPr>
            <w:tcW w:w="1854" w:type="dxa"/>
            <w:tcBorders>
              <w:top w:val="nil"/>
              <w:left w:val="nil"/>
              <w:bottom w:val="nil"/>
              <w:right w:val="single" w:sz="4" w:space="0" w:color="auto"/>
            </w:tcBorders>
            <w:shd w:val="clear" w:color="000000" w:fill="FFFFFF"/>
            <w:noWrap/>
            <w:vAlign w:val="bottom"/>
            <w:hideMark/>
          </w:tcPr>
          <w:p w14:paraId="1C81C396" w14:textId="77777777" w:rsidR="00421D81" w:rsidRPr="0094727B" w:rsidRDefault="00421D81" w:rsidP="00F51BBE">
            <w:pPr>
              <w:rPr>
                <w:rFonts w:ascii="Calibri" w:eastAsia="Times New Roman" w:hAnsi="Calibri" w:cs="Calibri"/>
                <w:color w:val="000000"/>
              </w:rPr>
            </w:pPr>
            <w:r w:rsidRPr="0094727B">
              <w:rPr>
                <w:rFonts w:ascii="Calibri" w:eastAsia="Times New Roman" w:hAnsi="Calibri" w:cs="Calibri"/>
                <w:color w:val="000000"/>
              </w:rPr>
              <w:t> </w:t>
            </w:r>
          </w:p>
        </w:tc>
      </w:tr>
      <w:tr w:rsidR="00421D81" w:rsidRPr="0094727B" w14:paraId="5048C57C" w14:textId="77777777" w:rsidTr="00F51BBE">
        <w:trPr>
          <w:trHeight w:val="215"/>
        </w:trPr>
        <w:tc>
          <w:tcPr>
            <w:tcW w:w="1512" w:type="dxa"/>
            <w:tcBorders>
              <w:top w:val="nil"/>
              <w:left w:val="single" w:sz="4" w:space="0" w:color="auto"/>
              <w:bottom w:val="single" w:sz="4" w:space="0" w:color="auto"/>
              <w:right w:val="single" w:sz="4" w:space="0" w:color="auto"/>
            </w:tcBorders>
            <w:shd w:val="clear" w:color="000000" w:fill="FFFFFF"/>
            <w:noWrap/>
            <w:vAlign w:val="bottom"/>
            <w:hideMark/>
          </w:tcPr>
          <w:p w14:paraId="5ADCA2A3" w14:textId="77777777" w:rsidR="00421D81" w:rsidRPr="0094727B" w:rsidRDefault="00421D81" w:rsidP="00F51BBE">
            <w:pPr>
              <w:rPr>
                <w:rFonts w:ascii="Calibri" w:eastAsia="Times New Roman" w:hAnsi="Calibri" w:cs="Calibri"/>
                <w:color w:val="000000"/>
              </w:rPr>
            </w:pPr>
            <w:r w:rsidRPr="0094727B">
              <w:rPr>
                <w:rFonts w:ascii="Calibri" w:eastAsia="Times New Roman" w:hAnsi="Calibri" w:cs="Calibri"/>
                <w:color w:val="000000"/>
              </w:rPr>
              <w:t>5 to 10 years</w:t>
            </w:r>
          </w:p>
        </w:tc>
        <w:tc>
          <w:tcPr>
            <w:tcW w:w="3384" w:type="dxa"/>
            <w:tcBorders>
              <w:top w:val="nil"/>
              <w:left w:val="nil"/>
              <w:bottom w:val="single" w:sz="4" w:space="0" w:color="auto"/>
              <w:right w:val="single" w:sz="4" w:space="0" w:color="auto"/>
            </w:tcBorders>
            <w:shd w:val="clear" w:color="000000" w:fill="FFFFFF"/>
            <w:noWrap/>
            <w:vAlign w:val="bottom"/>
            <w:hideMark/>
          </w:tcPr>
          <w:p w14:paraId="5D583402" w14:textId="77777777" w:rsidR="00421D81" w:rsidRPr="0094727B" w:rsidRDefault="00421D81" w:rsidP="00F51BBE">
            <w:pPr>
              <w:rPr>
                <w:rFonts w:eastAsia="Times New Roman"/>
                <w:sz w:val="20"/>
                <w:szCs w:val="20"/>
              </w:rPr>
            </w:pPr>
            <w:r w:rsidRPr="0094727B">
              <w:rPr>
                <w:rFonts w:eastAsia="Times New Roman"/>
                <w:sz w:val="20"/>
                <w:szCs w:val="20"/>
              </w:rPr>
              <w:t>CCLA</w:t>
            </w:r>
          </w:p>
        </w:tc>
        <w:tc>
          <w:tcPr>
            <w:tcW w:w="1490" w:type="dxa"/>
            <w:tcBorders>
              <w:top w:val="nil"/>
              <w:left w:val="nil"/>
              <w:bottom w:val="single" w:sz="4" w:space="0" w:color="auto"/>
              <w:right w:val="single" w:sz="4" w:space="0" w:color="auto"/>
            </w:tcBorders>
            <w:shd w:val="clear" w:color="000000" w:fill="FFFFFF"/>
            <w:noWrap/>
            <w:vAlign w:val="bottom"/>
            <w:hideMark/>
          </w:tcPr>
          <w:p w14:paraId="1BD0270A" w14:textId="77777777" w:rsidR="00421D81" w:rsidRPr="0094727B" w:rsidRDefault="00421D81" w:rsidP="00F51BBE">
            <w:pPr>
              <w:jc w:val="right"/>
              <w:rPr>
                <w:rFonts w:eastAsia="Times New Roman"/>
                <w:b/>
                <w:bCs/>
                <w:sz w:val="20"/>
                <w:szCs w:val="20"/>
              </w:rPr>
            </w:pPr>
            <w:r w:rsidRPr="0094727B">
              <w:rPr>
                <w:rFonts w:eastAsia="Times New Roman"/>
                <w:b/>
                <w:bCs/>
                <w:sz w:val="20"/>
                <w:szCs w:val="20"/>
              </w:rPr>
              <w:t xml:space="preserve"> 5,000,000 </w:t>
            </w:r>
          </w:p>
        </w:tc>
        <w:tc>
          <w:tcPr>
            <w:tcW w:w="1073" w:type="dxa"/>
            <w:tcBorders>
              <w:top w:val="nil"/>
              <w:left w:val="nil"/>
              <w:bottom w:val="single" w:sz="4" w:space="0" w:color="auto"/>
              <w:right w:val="single" w:sz="4" w:space="0" w:color="auto"/>
            </w:tcBorders>
            <w:shd w:val="clear" w:color="000000" w:fill="FFFFFF"/>
            <w:noWrap/>
            <w:vAlign w:val="bottom"/>
            <w:hideMark/>
          </w:tcPr>
          <w:p w14:paraId="1B767D35" w14:textId="77777777" w:rsidR="00421D81" w:rsidRPr="0094727B" w:rsidRDefault="00421D81" w:rsidP="00F51BBE">
            <w:pPr>
              <w:rPr>
                <w:rFonts w:ascii="Calibri" w:eastAsia="Times New Roman" w:hAnsi="Calibri" w:cs="Calibri"/>
                <w:color w:val="000000"/>
              </w:rPr>
            </w:pPr>
            <w:r w:rsidRPr="0094727B">
              <w:rPr>
                <w:rFonts w:ascii="Calibri" w:eastAsia="Times New Roman" w:hAnsi="Calibri" w:cs="Calibri"/>
                <w:color w:val="000000"/>
              </w:rPr>
              <w:t> </w:t>
            </w:r>
          </w:p>
        </w:tc>
        <w:tc>
          <w:tcPr>
            <w:tcW w:w="1854" w:type="dxa"/>
            <w:tcBorders>
              <w:top w:val="nil"/>
              <w:left w:val="nil"/>
              <w:bottom w:val="single" w:sz="4" w:space="0" w:color="auto"/>
              <w:right w:val="single" w:sz="4" w:space="0" w:color="auto"/>
            </w:tcBorders>
            <w:shd w:val="clear" w:color="000000" w:fill="FFFFFF"/>
            <w:noWrap/>
            <w:vAlign w:val="bottom"/>
            <w:hideMark/>
          </w:tcPr>
          <w:p w14:paraId="2BAE142D" w14:textId="77777777" w:rsidR="00421D81" w:rsidRPr="0094727B" w:rsidRDefault="00421D81" w:rsidP="00F51BBE">
            <w:pPr>
              <w:rPr>
                <w:rFonts w:ascii="Calibri" w:eastAsia="Times New Roman" w:hAnsi="Calibri" w:cs="Calibri"/>
                <w:color w:val="000000"/>
              </w:rPr>
            </w:pPr>
            <w:r w:rsidRPr="0094727B">
              <w:rPr>
                <w:rFonts w:ascii="Calibri" w:eastAsia="Times New Roman" w:hAnsi="Calibri" w:cs="Calibri"/>
                <w:color w:val="000000"/>
              </w:rPr>
              <w:t>Property Fund</w:t>
            </w:r>
          </w:p>
        </w:tc>
      </w:tr>
    </w:tbl>
    <w:p w14:paraId="12CCF64C" w14:textId="77777777" w:rsidR="00421D81" w:rsidRDefault="00421D81" w:rsidP="00421D81"/>
    <w:p w14:paraId="5C1189B0" w14:textId="77777777" w:rsidR="00421D81" w:rsidRDefault="00421D81" w:rsidP="00421D81"/>
    <w:p w14:paraId="27DC1B1A" w14:textId="77777777" w:rsidR="00421D81" w:rsidRPr="00D05A86" w:rsidRDefault="00421D81" w:rsidP="00421D81"/>
    <w:p w14:paraId="42087914" w14:textId="77777777" w:rsidR="00421D81" w:rsidRDefault="00421D81" w:rsidP="00BD1911">
      <w:pPr>
        <w:ind w:left="426" w:right="543" w:hanging="426"/>
        <w:rPr>
          <w:b/>
        </w:rPr>
      </w:pPr>
    </w:p>
    <w:sectPr w:rsidR="00421D81" w:rsidSect="009326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6B4AF" w14:textId="77777777" w:rsidR="00927D9F" w:rsidRDefault="00927D9F" w:rsidP="00927D9F">
      <w:r>
        <w:separator/>
      </w:r>
    </w:p>
  </w:endnote>
  <w:endnote w:type="continuationSeparator" w:id="0">
    <w:p w14:paraId="2ECA9D64" w14:textId="77777777" w:rsidR="00927D9F" w:rsidRDefault="00927D9F" w:rsidP="00927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liss 2 Regular">
    <w:altName w:val="Calibri"/>
    <w:panose1 w:val="00000000000000000000"/>
    <w:charset w:val="00"/>
    <w:family w:val="modern"/>
    <w:notTrueType/>
    <w:pitch w:val="variable"/>
    <w:sig w:usb0="00000087" w:usb1="00000000"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0D1BE" w14:textId="77777777" w:rsidR="00927D9F" w:rsidRDefault="00927D9F" w:rsidP="00927D9F">
      <w:r>
        <w:separator/>
      </w:r>
    </w:p>
  </w:footnote>
  <w:footnote w:type="continuationSeparator" w:id="0">
    <w:p w14:paraId="7B72194F" w14:textId="77777777" w:rsidR="00927D9F" w:rsidRDefault="00927D9F" w:rsidP="00927D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A7D37"/>
    <w:multiLevelType w:val="multilevel"/>
    <w:tmpl w:val="4D46FC38"/>
    <w:lvl w:ilvl="0">
      <w:start w:val="1"/>
      <w:numFmt w:val="lowerLetter"/>
      <w:lvlText w:val="%1)"/>
      <w:lvlJc w:val="left"/>
      <w:pPr>
        <w:tabs>
          <w:tab w:val="num" w:pos="720"/>
        </w:tabs>
        <w:ind w:left="720" w:hanging="360"/>
      </w:pPr>
    </w:lvl>
    <w:lvl w:ilvl="1">
      <w:start w:val="1"/>
      <w:numFmt w:val="upperRoman"/>
      <w:lvlText w:val="%2."/>
      <w:lvlJc w:val="right"/>
      <w:pPr>
        <w:tabs>
          <w:tab w:val="num" w:pos="1260"/>
        </w:tabs>
        <w:ind w:left="1260" w:hanging="180"/>
      </w:pPr>
    </w:lvl>
    <w:lvl w:ilvl="2">
      <w:start w:val="1"/>
      <w:numFmt w:val="upperRoman"/>
      <w:lvlText w:val="%3."/>
      <w:lvlJc w:val="right"/>
      <w:pPr>
        <w:tabs>
          <w:tab w:val="num" w:pos="1980"/>
        </w:tabs>
        <w:ind w:left="1980" w:hanging="180"/>
      </w:p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710509"/>
    <w:multiLevelType w:val="hybridMultilevel"/>
    <w:tmpl w:val="A1ACDF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F3239F"/>
    <w:multiLevelType w:val="hybridMultilevel"/>
    <w:tmpl w:val="9E84C8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211D9A"/>
    <w:multiLevelType w:val="multilevel"/>
    <w:tmpl w:val="CB8E982E"/>
    <w:lvl w:ilvl="0">
      <w:start w:val="7"/>
      <w:numFmt w:val="decimal"/>
      <w:lvlText w:val="%1"/>
      <w:lvlJc w:val="left"/>
      <w:pPr>
        <w:tabs>
          <w:tab w:val="num" w:pos="705"/>
        </w:tabs>
        <w:ind w:left="705" w:hanging="705"/>
      </w:pPr>
      <w:rPr>
        <w:rFonts w:cs="Arial"/>
      </w:rPr>
    </w:lvl>
    <w:lvl w:ilvl="1">
      <w:start w:val="1"/>
      <w:numFmt w:val="decimal"/>
      <w:lvlText w:val="%1.%2"/>
      <w:lvlJc w:val="left"/>
      <w:pPr>
        <w:tabs>
          <w:tab w:val="num" w:pos="1272"/>
        </w:tabs>
        <w:ind w:left="1272" w:hanging="705"/>
      </w:pPr>
      <w:rPr>
        <w:rFonts w:cs="Arial"/>
      </w:rPr>
    </w:lvl>
    <w:lvl w:ilvl="2">
      <w:start w:val="1"/>
      <w:numFmt w:val="decimal"/>
      <w:lvlText w:val="%1.%2.%3"/>
      <w:lvlJc w:val="left"/>
      <w:pPr>
        <w:tabs>
          <w:tab w:val="num" w:pos="1854"/>
        </w:tabs>
        <w:ind w:left="1854" w:hanging="720"/>
      </w:pPr>
      <w:rPr>
        <w:rFonts w:cs="Arial"/>
      </w:rPr>
    </w:lvl>
    <w:lvl w:ilvl="3">
      <w:start w:val="1"/>
      <w:numFmt w:val="decimal"/>
      <w:lvlText w:val="%1.%2.%3.%4"/>
      <w:lvlJc w:val="left"/>
      <w:pPr>
        <w:tabs>
          <w:tab w:val="num" w:pos="2421"/>
        </w:tabs>
        <w:ind w:left="2421" w:hanging="720"/>
      </w:pPr>
      <w:rPr>
        <w:rFonts w:cs="Arial"/>
      </w:rPr>
    </w:lvl>
    <w:lvl w:ilvl="4">
      <w:start w:val="1"/>
      <w:numFmt w:val="decimal"/>
      <w:lvlText w:val="%1.%2.%3.%4.%5"/>
      <w:lvlJc w:val="left"/>
      <w:pPr>
        <w:tabs>
          <w:tab w:val="num" w:pos="3348"/>
        </w:tabs>
        <w:ind w:left="3348" w:hanging="1080"/>
      </w:pPr>
      <w:rPr>
        <w:rFonts w:cs="Arial"/>
      </w:rPr>
    </w:lvl>
    <w:lvl w:ilvl="5">
      <w:start w:val="1"/>
      <w:numFmt w:val="decimal"/>
      <w:lvlText w:val="%1.%2.%3.%4.%5.%6"/>
      <w:lvlJc w:val="left"/>
      <w:pPr>
        <w:tabs>
          <w:tab w:val="num" w:pos="3915"/>
        </w:tabs>
        <w:ind w:left="3915" w:hanging="1080"/>
      </w:pPr>
      <w:rPr>
        <w:rFonts w:cs="Arial"/>
      </w:rPr>
    </w:lvl>
    <w:lvl w:ilvl="6">
      <w:start w:val="1"/>
      <w:numFmt w:val="decimal"/>
      <w:lvlText w:val="%1.%2.%3.%4.%5.%6.%7"/>
      <w:lvlJc w:val="left"/>
      <w:pPr>
        <w:tabs>
          <w:tab w:val="num" w:pos="4842"/>
        </w:tabs>
        <w:ind w:left="4842" w:hanging="1440"/>
      </w:pPr>
      <w:rPr>
        <w:rFonts w:cs="Arial"/>
      </w:rPr>
    </w:lvl>
    <w:lvl w:ilvl="7">
      <w:start w:val="1"/>
      <w:numFmt w:val="decimal"/>
      <w:lvlText w:val="%1.%2.%3.%4.%5.%6.%7.%8"/>
      <w:lvlJc w:val="left"/>
      <w:pPr>
        <w:tabs>
          <w:tab w:val="num" w:pos="5409"/>
        </w:tabs>
        <w:ind w:left="5409" w:hanging="1440"/>
      </w:pPr>
      <w:rPr>
        <w:rFonts w:cs="Arial"/>
      </w:rPr>
    </w:lvl>
    <w:lvl w:ilvl="8">
      <w:start w:val="1"/>
      <w:numFmt w:val="decimal"/>
      <w:lvlText w:val="%1.%2.%3.%4.%5.%6.%7.%8.%9"/>
      <w:lvlJc w:val="left"/>
      <w:pPr>
        <w:tabs>
          <w:tab w:val="num" w:pos="6336"/>
        </w:tabs>
        <w:ind w:left="6336" w:hanging="1800"/>
      </w:pPr>
      <w:rPr>
        <w:rFonts w:cs="Arial"/>
      </w:rPr>
    </w:lvl>
  </w:abstractNum>
  <w:abstractNum w:abstractNumId="4" w15:restartNumberingAfterBreak="0">
    <w:nsid w:val="0BF0381F"/>
    <w:multiLevelType w:val="hybridMultilevel"/>
    <w:tmpl w:val="54D03B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2B4FF1"/>
    <w:multiLevelType w:val="hybridMultilevel"/>
    <w:tmpl w:val="06DC61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7F4289"/>
    <w:multiLevelType w:val="hybridMultilevel"/>
    <w:tmpl w:val="2F88F3D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105F2CAC"/>
    <w:multiLevelType w:val="multilevel"/>
    <w:tmpl w:val="F79220C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0C269C"/>
    <w:multiLevelType w:val="multilevel"/>
    <w:tmpl w:val="52EEFAD6"/>
    <w:lvl w:ilvl="0">
      <w:start w:val="2"/>
      <w:numFmt w:val="decimal"/>
      <w:lvlText w:val="%1"/>
      <w:lvlJc w:val="left"/>
      <w:pPr>
        <w:tabs>
          <w:tab w:val="num" w:pos="360"/>
        </w:tabs>
        <w:ind w:left="360" w:hanging="360"/>
      </w:pPr>
      <w:rPr>
        <w:rFonts w:ascii="Arial" w:hAnsi="Arial" w:cs="Arial" w:hint="default"/>
        <w:color w:val="800080"/>
        <w:sz w:val="22"/>
      </w:rPr>
    </w:lvl>
    <w:lvl w:ilvl="1">
      <w:start w:val="1"/>
      <w:numFmt w:val="decimal"/>
      <w:lvlText w:val="%1.%2"/>
      <w:lvlJc w:val="left"/>
      <w:pPr>
        <w:tabs>
          <w:tab w:val="num" w:pos="360"/>
        </w:tabs>
        <w:ind w:left="360" w:hanging="360"/>
      </w:pPr>
      <w:rPr>
        <w:rFonts w:ascii="Arial" w:hAnsi="Arial" w:cs="Arial" w:hint="default"/>
        <w:color w:val="auto"/>
        <w:sz w:val="22"/>
      </w:rPr>
    </w:lvl>
    <w:lvl w:ilvl="2">
      <w:start w:val="1"/>
      <w:numFmt w:val="decimal"/>
      <w:lvlText w:val="%1.%2.%3"/>
      <w:lvlJc w:val="left"/>
      <w:pPr>
        <w:tabs>
          <w:tab w:val="num" w:pos="720"/>
        </w:tabs>
        <w:ind w:left="720" w:hanging="720"/>
      </w:pPr>
      <w:rPr>
        <w:rFonts w:ascii="Arial" w:hAnsi="Arial" w:cs="Arial" w:hint="default"/>
        <w:color w:val="800080"/>
        <w:sz w:val="22"/>
      </w:rPr>
    </w:lvl>
    <w:lvl w:ilvl="3">
      <w:start w:val="1"/>
      <w:numFmt w:val="decimal"/>
      <w:lvlText w:val="%1.%2.%3.%4"/>
      <w:lvlJc w:val="left"/>
      <w:pPr>
        <w:tabs>
          <w:tab w:val="num" w:pos="720"/>
        </w:tabs>
        <w:ind w:left="720" w:hanging="720"/>
      </w:pPr>
      <w:rPr>
        <w:rFonts w:ascii="Arial" w:hAnsi="Arial" w:cs="Arial" w:hint="default"/>
        <w:color w:val="800080"/>
        <w:sz w:val="22"/>
      </w:rPr>
    </w:lvl>
    <w:lvl w:ilvl="4">
      <w:start w:val="1"/>
      <w:numFmt w:val="decimal"/>
      <w:lvlText w:val="%1.%2.%3.%4.%5"/>
      <w:lvlJc w:val="left"/>
      <w:pPr>
        <w:tabs>
          <w:tab w:val="num" w:pos="720"/>
        </w:tabs>
        <w:ind w:left="720" w:hanging="720"/>
      </w:pPr>
      <w:rPr>
        <w:rFonts w:ascii="Arial" w:hAnsi="Arial" w:cs="Arial" w:hint="default"/>
        <w:color w:val="800080"/>
        <w:sz w:val="22"/>
      </w:rPr>
    </w:lvl>
    <w:lvl w:ilvl="5">
      <w:start w:val="1"/>
      <w:numFmt w:val="decimal"/>
      <w:lvlText w:val="%1.%2.%3.%4.%5.%6"/>
      <w:lvlJc w:val="left"/>
      <w:pPr>
        <w:tabs>
          <w:tab w:val="num" w:pos="1080"/>
        </w:tabs>
        <w:ind w:left="1080" w:hanging="1080"/>
      </w:pPr>
      <w:rPr>
        <w:rFonts w:ascii="Arial" w:hAnsi="Arial" w:cs="Arial" w:hint="default"/>
        <w:color w:val="800080"/>
        <w:sz w:val="22"/>
      </w:rPr>
    </w:lvl>
    <w:lvl w:ilvl="6">
      <w:start w:val="1"/>
      <w:numFmt w:val="decimal"/>
      <w:lvlText w:val="%1.%2.%3.%4.%5.%6.%7"/>
      <w:lvlJc w:val="left"/>
      <w:pPr>
        <w:tabs>
          <w:tab w:val="num" w:pos="1080"/>
        </w:tabs>
        <w:ind w:left="1080" w:hanging="1080"/>
      </w:pPr>
      <w:rPr>
        <w:rFonts w:ascii="Arial" w:hAnsi="Arial" w:cs="Arial" w:hint="default"/>
        <w:color w:val="800080"/>
        <w:sz w:val="22"/>
      </w:rPr>
    </w:lvl>
    <w:lvl w:ilvl="7">
      <w:start w:val="1"/>
      <w:numFmt w:val="decimal"/>
      <w:lvlText w:val="%1.%2.%3.%4.%5.%6.%7.%8"/>
      <w:lvlJc w:val="left"/>
      <w:pPr>
        <w:tabs>
          <w:tab w:val="num" w:pos="1440"/>
        </w:tabs>
        <w:ind w:left="1440" w:hanging="1440"/>
      </w:pPr>
      <w:rPr>
        <w:rFonts w:ascii="Arial" w:hAnsi="Arial" w:cs="Arial" w:hint="default"/>
        <w:color w:val="800080"/>
        <w:sz w:val="22"/>
      </w:rPr>
    </w:lvl>
    <w:lvl w:ilvl="8">
      <w:start w:val="1"/>
      <w:numFmt w:val="decimal"/>
      <w:lvlText w:val="%1.%2.%3.%4.%5.%6.%7.%8.%9"/>
      <w:lvlJc w:val="left"/>
      <w:pPr>
        <w:tabs>
          <w:tab w:val="num" w:pos="1440"/>
        </w:tabs>
        <w:ind w:left="1440" w:hanging="1440"/>
      </w:pPr>
      <w:rPr>
        <w:rFonts w:ascii="Arial" w:hAnsi="Arial" w:cs="Arial" w:hint="default"/>
        <w:color w:val="800080"/>
        <w:sz w:val="22"/>
      </w:rPr>
    </w:lvl>
  </w:abstractNum>
  <w:abstractNum w:abstractNumId="9" w15:restartNumberingAfterBreak="0">
    <w:nsid w:val="185227E6"/>
    <w:multiLevelType w:val="hybridMultilevel"/>
    <w:tmpl w:val="268C2366"/>
    <w:lvl w:ilvl="0" w:tplc="19B0D77C">
      <w:start w:val="3"/>
      <w:numFmt w:val="decimal"/>
      <w:lvlText w:val="%1."/>
      <w:lvlJc w:val="left"/>
      <w:pPr>
        <w:tabs>
          <w:tab w:val="num" w:pos="720"/>
        </w:tabs>
        <w:ind w:left="720" w:hanging="360"/>
      </w:pPr>
      <w:rPr>
        <w:rFonts w:ascii="Arial" w:hAnsi="Arial" w:cs="Arial" w:hint="default"/>
        <w:b w:val="0"/>
      </w:rPr>
    </w:lvl>
    <w:lvl w:ilvl="1" w:tplc="06E03B2E">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A573772"/>
    <w:multiLevelType w:val="multilevel"/>
    <w:tmpl w:val="87AAEBB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0BA24EF"/>
    <w:multiLevelType w:val="hybridMultilevel"/>
    <w:tmpl w:val="7F0A1C26"/>
    <w:lvl w:ilvl="0" w:tplc="5E9874E8">
      <w:start w:val="1"/>
      <w:numFmt w:val="bullet"/>
      <w:lvlText w:val=""/>
      <w:lvlJc w:val="left"/>
      <w:pPr>
        <w:tabs>
          <w:tab w:val="num" w:pos="927"/>
        </w:tabs>
        <w:ind w:left="927" w:hanging="360"/>
      </w:pPr>
      <w:rPr>
        <w:rFonts w:ascii="Symbol" w:hAnsi="Symbol" w:hint="default"/>
        <w:color w:val="auto"/>
      </w:rPr>
    </w:lvl>
    <w:lvl w:ilvl="1" w:tplc="08090003">
      <w:start w:val="1"/>
      <w:numFmt w:val="bullet"/>
      <w:lvlText w:val="o"/>
      <w:lvlJc w:val="left"/>
      <w:pPr>
        <w:tabs>
          <w:tab w:val="num" w:pos="1287"/>
        </w:tabs>
        <w:ind w:left="1287" w:hanging="360"/>
      </w:pPr>
      <w:rPr>
        <w:rFonts w:ascii="Courier New" w:hAnsi="Courier New" w:cs="Courier New" w:hint="default"/>
      </w:rPr>
    </w:lvl>
    <w:lvl w:ilvl="2" w:tplc="08090005">
      <w:start w:val="1"/>
      <w:numFmt w:val="bullet"/>
      <w:lvlText w:val=""/>
      <w:lvlJc w:val="left"/>
      <w:pPr>
        <w:tabs>
          <w:tab w:val="num" w:pos="2007"/>
        </w:tabs>
        <w:ind w:left="2007" w:hanging="360"/>
      </w:pPr>
      <w:rPr>
        <w:rFonts w:ascii="Wingdings" w:hAnsi="Wingdings" w:hint="default"/>
      </w:rPr>
    </w:lvl>
    <w:lvl w:ilvl="3" w:tplc="08090001">
      <w:start w:val="1"/>
      <w:numFmt w:val="bullet"/>
      <w:lvlText w:val=""/>
      <w:lvlJc w:val="left"/>
      <w:pPr>
        <w:tabs>
          <w:tab w:val="num" w:pos="2727"/>
        </w:tabs>
        <w:ind w:left="2727" w:hanging="360"/>
      </w:pPr>
      <w:rPr>
        <w:rFonts w:ascii="Symbol" w:hAnsi="Symbol" w:hint="default"/>
      </w:rPr>
    </w:lvl>
    <w:lvl w:ilvl="4" w:tplc="08090003">
      <w:start w:val="1"/>
      <w:numFmt w:val="bullet"/>
      <w:lvlText w:val="o"/>
      <w:lvlJc w:val="left"/>
      <w:pPr>
        <w:tabs>
          <w:tab w:val="num" w:pos="3447"/>
        </w:tabs>
        <w:ind w:left="3447" w:hanging="360"/>
      </w:pPr>
      <w:rPr>
        <w:rFonts w:ascii="Courier New" w:hAnsi="Courier New" w:cs="Courier New" w:hint="default"/>
      </w:rPr>
    </w:lvl>
    <w:lvl w:ilvl="5" w:tplc="08090005">
      <w:start w:val="1"/>
      <w:numFmt w:val="bullet"/>
      <w:lvlText w:val=""/>
      <w:lvlJc w:val="left"/>
      <w:pPr>
        <w:tabs>
          <w:tab w:val="num" w:pos="4167"/>
        </w:tabs>
        <w:ind w:left="4167" w:hanging="360"/>
      </w:pPr>
      <w:rPr>
        <w:rFonts w:ascii="Wingdings" w:hAnsi="Wingdings" w:hint="default"/>
      </w:rPr>
    </w:lvl>
    <w:lvl w:ilvl="6" w:tplc="08090001">
      <w:start w:val="1"/>
      <w:numFmt w:val="bullet"/>
      <w:lvlText w:val=""/>
      <w:lvlJc w:val="left"/>
      <w:pPr>
        <w:tabs>
          <w:tab w:val="num" w:pos="4887"/>
        </w:tabs>
        <w:ind w:left="4887" w:hanging="360"/>
      </w:pPr>
      <w:rPr>
        <w:rFonts w:ascii="Symbol" w:hAnsi="Symbol" w:hint="default"/>
      </w:rPr>
    </w:lvl>
    <w:lvl w:ilvl="7" w:tplc="08090003">
      <w:start w:val="1"/>
      <w:numFmt w:val="bullet"/>
      <w:lvlText w:val="o"/>
      <w:lvlJc w:val="left"/>
      <w:pPr>
        <w:tabs>
          <w:tab w:val="num" w:pos="5607"/>
        </w:tabs>
        <w:ind w:left="5607" w:hanging="360"/>
      </w:pPr>
      <w:rPr>
        <w:rFonts w:ascii="Courier New" w:hAnsi="Courier New" w:cs="Courier New" w:hint="default"/>
      </w:rPr>
    </w:lvl>
    <w:lvl w:ilvl="8" w:tplc="08090005">
      <w:start w:val="1"/>
      <w:numFmt w:val="bullet"/>
      <w:lvlText w:val=""/>
      <w:lvlJc w:val="left"/>
      <w:pPr>
        <w:tabs>
          <w:tab w:val="num" w:pos="6327"/>
        </w:tabs>
        <w:ind w:left="6327" w:hanging="360"/>
      </w:pPr>
      <w:rPr>
        <w:rFonts w:ascii="Wingdings" w:hAnsi="Wingdings" w:hint="default"/>
      </w:rPr>
    </w:lvl>
  </w:abstractNum>
  <w:abstractNum w:abstractNumId="12" w15:restartNumberingAfterBreak="0">
    <w:nsid w:val="220841E1"/>
    <w:multiLevelType w:val="hybridMultilevel"/>
    <w:tmpl w:val="275C7A8C"/>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265E0E33"/>
    <w:multiLevelType w:val="multilevel"/>
    <w:tmpl w:val="ED78AE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8641BC"/>
    <w:multiLevelType w:val="hybridMultilevel"/>
    <w:tmpl w:val="2F1E00E8"/>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2A5D603B"/>
    <w:multiLevelType w:val="hybridMultilevel"/>
    <w:tmpl w:val="E3D87190"/>
    <w:lvl w:ilvl="0" w:tplc="25A21548">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BCA161E"/>
    <w:multiLevelType w:val="multilevel"/>
    <w:tmpl w:val="3D322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4A3182"/>
    <w:multiLevelType w:val="hybridMultilevel"/>
    <w:tmpl w:val="2F4CC3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DC0607D"/>
    <w:multiLevelType w:val="hybridMultilevel"/>
    <w:tmpl w:val="E9527F8C"/>
    <w:lvl w:ilvl="0" w:tplc="3EB2C08A">
      <w:start w:val="1"/>
      <w:numFmt w:val="bullet"/>
      <w:lvlText w:val=""/>
      <w:lvlJc w:val="left"/>
      <w:pPr>
        <w:tabs>
          <w:tab w:val="num" w:pos="900"/>
        </w:tabs>
        <w:ind w:left="900" w:hanging="360"/>
      </w:pPr>
      <w:rPr>
        <w:rFonts w:ascii="Symbol" w:hAnsi="Symbol" w:hint="default"/>
        <w:sz w:val="22"/>
      </w:rPr>
    </w:lvl>
    <w:lvl w:ilvl="1" w:tplc="08090003">
      <w:start w:val="1"/>
      <w:numFmt w:val="bullet"/>
      <w:lvlText w:val="o"/>
      <w:lvlJc w:val="left"/>
      <w:pPr>
        <w:tabs>
          <w:tab w:val="num" w:pos="360"/>
        </w:tabs>
        <w:ind w:left="360" w:hanging="360"/>
      </w:pPr>
      <w:rPr>
        <w:rFonts w:ascii="Courier New" w:hAnsi="Courier New" w:hint="default"/>
      </w:rPr>
    </w:lvl>
    <w:lvl w:ilvl="2" w:tplc="08090005">
      <w:start w:val="1"/>
      <w:numFmt w:val="bullet"/>
      <w:lvlText w:val=""/>
      <w:lvlJc w:val="left"/>
      <w:pPr>
        <w:tabs>
          <w:tab w:val="num" w:pos="1080"/>
        </w:tabs>
        <w:ind w:left="1080" w:hanging="360"/>
      </w:pPr>
      <w:rPr>
        <w:rFonts w:ascii="Wingdings" w:hAnsi="Wingdings" w:hint="default"/>
      </w:rPr>
    </w:lvl>
    <w:lvl w:ilvl="3" w:tplc="0809000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30805985"/>
    <w:multiLevelType w:val="hybridMultilevel"/>
    <w:tmpl w:val="0A6C0C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2C90B9F"/>
    <w:multiLevelType w:val="hybridMultilevel"/>
    <w:tmpl w:val="97B0E508"/>
    <w:lvl w:ilvl="0" w:tplc="2F680780">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1" w15:restartNumberingAfterBreak="0">
    <w:nsid w:val="35AC47F2"/>
    <w:multiLevelType w:val="hybridMultilevel"/>
    <w:tmpl w:val="B4385BA0"/>
    <w:lvl w:ilvl="0" w:tplc="5EC2B5C6">
      <w:start w:val="1"/>
      <w:numFmt w:val="bullet"/>
      <w:lvlText w:val=""/>
      <w:lvlJc w:val="left"/>
      <w:pPr>
        <w:tabs>
          <w:tab w:val="num" w:pos="2160"/>
        </w:tabs>
        <w:ind w:left="2160" w:hanging="360"/>
      </w:pPr>
      <w:rPr>
        <w:rFonts w:ascii="Symbol" w:hAnsi="Symbol" w:hint="default"/>
        <w:color w:val="000000"/>
        <w:sz w:val="20"/>
        <w:szCs w:val="20"/>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36B04B1A"/>
    <w:multiLevelType w:val="hybridMultilevel"/>
    <w:tmpl w:val="EE5ABBF4"/>
    <w:lvl w:ilvl="0" w:tplc="1C6CC774">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6D123E3"/>
    <w:multiLevelType w:val="multilevel"/>
    <w:tmpl w:val="6218C4F4"/>
    <w:lvl w:ilvl="0">
      <w:start w:val="1"/>
      <w:numFmt w:val="bullet"/>
      <w:lvlText w:val=""/>
      <w:lvlJc w:val="left"/>
      <w:pPr>
        <w:tabs>
          <w:tab w:val="num" w:pos="1080"/>
        </w:tabs>
        <w:ind w:left="1080" w:hanging="360"/>
      </w:pPr>
      <w:rPr>
        <w:rFonts w:ascii="Symbol" w:hAnsi="Symbol" w:hint="default"/>
        <w:b/>
      </w:rPr>
    </w:lvl>
    <w:lvl w:ilvl="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BD174C4"/>
    <w:multiLevelType w:val="multilevel"/>
    <w:tmpl w:val="C936AED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E7558C9"/>
    <w:multiLevelType w:val="multilevel"/>
    <w:tmpl w:val="C062F49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0BF1DBE"/>
    <w:multiLevelType w:val="hybridMultilevel"/>
    <w:tmpl w:val="889645A4"/>
    <w:lvl w:ilvl="0" w:tplc="60F2AA1C">
      <w:start w:val="4"/>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0DF68F6"/>
    <w:multiLevelType w:val="hybridMultilevel"/>
    <w:tmpl w:val="E570A94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46904E02"/>
    <w:multiLevelType w:val="hybridMultilevel"/>
    <w:tmpl w:val="B0E61168"/>
    <w:lvl w:ilvl="0" w:tplc="2F703D78">
      <w:start w:val="1"/>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15:restartNumberingAfterBreak="0">
    <w:nsid w:val="4DB27B7A"/>
    <w:multiLevelType w:val="multilevel"/>
    <w:tmpl w:val="0EE24BB2"/>
    <w:lvl w:ilvl="0">
      <w:start w:val="2"/>
      <w:numFmt w:val="decimal"/>
      <w:lvlText w:val="%1."/>
      <w:lvlJc w:val="left"/>
      <w:pPr>
        <w:tabs>
          <w:tab w:val="num" w:pos="720"/>
        </w:tabs>
        <w:ind w:left="720" w:hanging="72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0" w15:restartNumberingAfterBreak="0">
    <w:nsid w:val="4F0B22DE"/>
    <w:multiLevelType w:val="multilevel"/>
    <w:tmpl w:val="27728850"/>
    <w:lvl w:ilvl="0">
      <w:start w:val="5"/>
      <w:numFmt w:val="decimal"/>
      <w:lvlText w:val="%1"/>
      <w:lvlJc w:val="left"/>
      <w:pPr>
        <w:tabs>
          <w:tab w:val="num" w:pos="720"/>
        </w:tabs>
        <w:ind w:left="720" w:hanging="720"/>
      </w:pPr>
      <w:rPr>
        <w:rFonts w:hint="default"/>
        <w:i w:val="0"/>
      </w:rPr>
    </w:lvl>
    <w:lvl w:ilvl="1">
      <w:start w:val="2"/>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1080"/>
        </w:tabs>
        <w:ind w:left="1080" w:hanging="108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800"/>
        </w:tabs>
        <w:ind w:left="1800" w:hanging="180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31" w15:restartNumberingAfterBreak="0">
    <w:nsid w:val="50243C1A"/>
    <w:multiLevelType w:val="multilevel"/>
    <w:tmpl w:val="F77E42B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2F55AC9"/>
    <w:multiLevelType w:val="hybridMultilevel"/>
    <w:tmpl w:val="4928DB22"/>
    <w:lvl w:ilvl="0" w:tplc="FFFFFFFF">
      <w:start w:val="1"/>
      <w:numFmt w:val="bullet"/>
      <w:lvlText w:val=""/>
      <w:legacy w:legacy="1" w:legacySpace="0" w:legacyIndent="284"/>
      <w:lvlJc w:val="left"/>
      <w:pPr>
        <w:ind w:left="100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E90A0D"/>
    <w:multiLevelType w:val="hybridMultilevel"/>
    <w:tmpl w:val="89260874"/>
    <w:lvl w:ilvl="0" w:tplc="5EC2B5C6">
      <w:start w:val="1"/>
      <w:numFmt w:val="bullet"/>
      <w:lvlText w:val=""/>
      <w:lvlJc w:val="left"/>
      <w:pPr>
        <w:tabs>
          <w:tab w:val="num" w:pos="720"/>
        </w:tabs>
        <w:ind w:left="720" w:hanging="360"/>
      </w:pPr>
      <w:rPr>
        <w:rFonts w:ascii="Symbol" w:hAnsi="Symbol" w:hint="default"/>
        <w:color w:val="00000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6466FA"/>
    <w:multiLevelType w:val="multilevel"/>
    <w:tmpl w:val="C448B4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B1193A"/>
    <w:multiLevelType w:val="multilevel"/>
    <w:tmpl w:val="15F487D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10C66D2"/>
    <w:multiLevelType w:val="hybridMultilevel"/>
    <w:tmpl w:val="268C2366"/>
    <w:lvl w:ilvl="0" w:tplc="19B0D77C">
      <w:start w:val="3"/>
      <w:numFmt w:val="decimal"/>
      <w:lvlText w:val="%1."/>
      <w:lvlJc w:val="left"/>
      <w:pPr>
        <w:tabs>
          <w:tab w:val="num" w:pos="720"/>
        </w:tabs>
        <w:ind w:left="720" w:hanging="360"/>
      </w:pPr>
      <w:rPr>
        <w:rFonts w:ascii="Arial" w:hAnsi="Arial" w:cs="Arial" w:hint="default"/>
        <w:b w:val="0"/>
      </w:rPr>
    </w:lvl>
    <w:lvl w:ilvl="1" w:tplc="06E03B2E">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47C2B64"/>
    <w:multiLevelType w:val="multilevel"/>
    <w:tmpl w:val="6062E9D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4E43C62"/>
    <w:multiLevelType w:val="multilevel"/>
    <w:tmpl w:val="5B3EBEA2"/>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6AF0196"/>
    <w:multiLevelType w:val="hybridMultilevel"/>
    <w:tmpl w:val="C6287560"/>
    <w:lvl w:ilvl="0" w:tplc="6BF88278">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8C17692"/>
    <w:multiLevelType w:val="multilevel"/>
    <w:tmpl w:val="1A6298C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FD22A57"/>
    <w:multiLevelType w:val="hybridMultilevel"/>
    <w:tmpl w:val="3C063A48"/>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6BE2531"/>
    <w:multiLevelType w:val="multilevel"/>
    <w:tmpl w:val="27EAB15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7FF4BBB"/>
    <w:multiLevelType w:val="multilevel"/>
    <w:tmpl w:val="AAECB970"/>
    <w:lvl w:ilvl="0">
      <w:start w:val="1"/>
      <w:numFmt w:val="bullet"/>
      <w:lvlText w:val=""/>
      <w:lvlJc w:val="left"/>
      <w:pPr>
        <w:tabs>
          <w:tab w:val="num" w:pos="1080"/>
        </w:tabs>
        <w:ind w:left="1080" w:hanging="360"/>
      </w:pPr>
      <w:rPr>
        <w:rFonts w:ascii="Symbol" w:hAnsi="Symbol" w:hint="default"/>
      </w:rPr>
    </w:lvl>
    <w:lvl w:ilvl="1">
      <w:start w:val="4"/>
      <w:numFmt w:val="decimal"/>
      <w:lvlText w:val="%2"/>
      <w:lvlJc w:val="left"/>
      <w:pPr>
        <w:tabs>
          <w:tab w:val="num" w:pos="2160"/>
        </w:tabs>
        <w:ind w:left="2160" w:hanging="720"/>
      </w:pPr>
      <w:rPr>
        <w:rFonts w:hint="default"/>
        <w:b/>
      </w:rPr>
    </w:lvl>
    <w:lvl w:ilvl="2">
      <w:start w:val="6"/>
      <w:numFmt w:val="decimal"/>
      <w:lvlText w:val="%3"/>
      <w:lvlJc w:val="left"/>
      <w:pPr>
        <w:tabs>
          <w:tab w:val="num" w:pos="2880"/>
        </w:tabs>
        <w:ind w:left="2880" w:hanging="720"/>
      </w:pPr>
      <w:rPr>
        <w:rFonts w:hint="default"/>
      </w:rPr>
    </w:lvl>
    <w:lvl w:ilvl="3">
      <w:start w:val="5"/>
      <w:numFmt w:val="decimal"/>
      <w:lvlText w:val="%4"/>
      <w:lvlJc w:val="left"/>
      <w:pPr>
        <w:tabs>
          <w:tab w:val="num" w:pos="3600"/>
        </w:tabs>
        <w:ind w:left="3600" w:hanging="720"/>
      </w:pPr>
      <w:rPr>
        <w:rFonts w:hint="default"/>
      </w:rPr>
    </w:lvl>
    <w:lvl w:ilvl="4">
      <w:start w:val="5"/>
      <w:numFmt w:val="decimal"/>
      <w:lvlText w:val="%5"/>
      <w:lvlJc w:val="left"/>
      <w:pPr>
        <w:tabs>
          <w:tab w:val="num" w:pos="4320"/>
        </w:tabs>
        <w:ind w:left="4320" w:hanging="720"/>
      </w:pPr>
      <w:rPr>
        <w:rFonts w:hint="default"/>
      </w:rPr>
    </w:lvl>
    <w:lvl w:ilvl="5">
      <w:start w:val="5"/>
      <w:numFmt w:val="decimal"/>
      <w:lvlText w:val="%6"/>
      <w:lvlJc w:val="left"/>
      <w:pPr>
        <w:tabs>
          <w:tab w:val="num" w:pos="4680"/>
        </w:tabs>
        <w:ind w:left="4680" w:hanging="360"/>
      </w:pPr>
      <w:rPr>
        <w:rFonts w:hint="default"/>
      </w:rPr>
    </w:lvl>
    <w:lvl w:ilvl="6">
      <w:start w:val="5"/>
      <w:numFmt w:val="decimal"/>
      <w:lvlText w:val="%7"/>
      <w:lvlJc w:val="left"/>
      <w:pPr>
        <w:tabs>
          <w:tab w:val="num" w:pos="5400"/>
        </w:tabs>
        <w:ind w:left="5400" w:hanging="360"/>
      </w:pPr>
      <w:rPr>
        <w:rFonts w:hint="default"/>
      </w:rPr>
    </w:lvl>
    <w:lvl w:ilvl="7">
      <w:start w:val="5"/>
      <w:numFmt w:val="decimal"/>
      <w:lvlText w:val="%8"/>
      <w:lvlJc w:val="left"/>
      <w:pPr>
        <w:tabs>
          <w:tab w:val="num" w:pos="6120"/>
        </w:tabs>
        <w:ind w:left="6120" w:hanging="360"/>
      </w:pPr>
      <w:rPr>
        <w:rFont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D550761"/>
    <w:multiLevelType w:val="multilevel"/>
    <w:tmpl w:val="71A07584"/>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14"/>
  </w:num>
  <w:num w:numId="3">
    <w:abstractNumId w:val="5"/>
  </w:num>
  <w:num w:numId="4">
    <w:abstractNumId w:val="2"/>
  </w:num>
  <w:num w:numId="5">
    <w:abstractNumId w:val="4"/>
  </w:num>
  <w:num w:numId="6">
    <w:abstractNumId w:val="17"/>
  </w:num>
  <w:num w:numId="7">
    <w:abstractNumId w:val="1"/>
  </w:num>
  <w:num w:numId="8">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3"/>
  </w:num>
  <w:num w:numId="13">
    <w:abstractNumId w:val="9"/>
  </w:num>
  <w:num w:numId="14">
    <w:abstractNumId w:val="31"/>
  </w:num>
  <w:num w:numId="15">
    <w:abstractNumId w:val="35"/>
  </w:num>
  <w:num w:numId="16">
    <w:abstractNumId w:val="36"/>
  </w:num>
  <w:num w:numId="17">
    <w:abstractNumId w:val="7"/>
  </w:num>
  <w:num w:numId="18">
    <w:abstractNumId w:val="22"/>
  </w:num>
  <w:num w:numId="19">
    <w:abstractNumId w:val="24"/>
  </w:num>
  <w:num w:numId="20">
    <w:abstractNumId w:val="41"/>
  </w:num>
  <w:num w:numId="21">
    <w:abstractNumId w:val="25"/>
  </w:num>
  <w:num w:numId="22">
    <w:abstractNumId w:val="40"/>
  </w:num>
  <w:num w:numId="23">
    <w:abstractNumId w:val="28"/>
  </w:num>
  <w:num w:numId="24">
    <w:abstractNumId w:val="21"/>
  </w:num>
  <w:num w:numId="25">
    <w:abstractNumId w:val="33"/>
  </w:num>
  <w:num w:numId="26">
    <w:abstractNumId w:val="43"/>
  </w:num>
  <w:num w:numId="27">
    <w:abstractNumId w:val="29"/>
  </w:num>
  <w:num w:numId="28">
    <w:abstractNumId w:val="23"/>
  </w:num>
  <w:num w:numId="29">
    <w:abstractNumId w:val="34"/>
  </w:num>
  <w:num w:numId="30">
    <w:abstractNumId w:val="37"/>
  </w:num>
  <w:num w:numId="31">
    <w:abstractNumId w:val="10"/>
  </w:num>
  <w:num w:numId="32">
    <w:abstractNumId w:val="30"/>
  </w:num>
  <w:num w:numId="33">
    <w:abstractNumId w:val="0"/>
  </w:num>
  <w:num w:numId="34">
    <w:abstractNumId w:val="44"/>
  </w:num>
  <w:num w:numId="35">
    <w:abstractNumId w:val="32"/>
  </w:num>
  <w:num w:numId="36">
    <w:abstractNumId w:val="15"/>
  </w:num>
  <w:num w:numId="37">
    <w:abstractNumId w:val="38"/>
  </w:num>
  <w:num w:numId="38">
    <w:abstractNumId w:val="39"/>
  </w:num>
  <w:num w:numId="39">
    <w:abstractNumId w:val="26"/>
  </w:num>
  <w:num w:numId="40">
    <w:abstractNumId w:val="16"/>
  </w:num>
  <w:num w:numId="41">
    <w:abstractNumId w:val="18"/>
  </w:num>
  <w:num w:numId="42">
    <w:abstractNumId w:val="19"/>
  </w:num>
  <w:num w:numId="43">
    <w:abstractNumId w:val="6"/>
  </w:num>
  <w:num w:numId="44">
    <w:abstractNumId w:val="27"/>
  </w:num>
  <w:num w:numId="45">
    <w:abstractNumId w:val="42"/>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16A"/>
    <w:rsid w:val="0000617D"/>
    <w:rsid w:val="0000642E"/>
    <w:rsid w:val="00011903"/>
    <w:rsid w:val="0002750E"/>
    <w:rsid w:val="00042324"/>
    <w:rsid w:val="00043F4D"/>
    <w:rsid w:val="00063914"/>
    <w:rsid w:val="00065BB0"/>
    <w:rsid w:val="000663D9"/>
    <w:rsid w:val="00077606"/>
    <w:rsid w:val="00091F29"/>
    <w:rsid w:val="000959DC"/>
    <w:rsid w:val="000972DD"/>
    <w:rsid w:val="000A1D0C"/>
    <w:rsid w:val="000B4D99"/>
    <w:rsid w:val="000B6F05"/>
    <w:rsid w:val="000C1C4F"/>
    <w:rsid w:val="000C48B9"/>
    <w:rsid w:val="000C51CF"/>
    <w:rsid w:val="000D263F"/>
    <w:rsid w:val="000D599D"/>
    <w:rsid w:val="000E6364"/>
    <w:rsid w:val="000F0B9C"/>
    <w:rsid w:val="00107E66"/>
    <w:rsid w:val="001121F2"/>
    <w:rsid w:val="0011633A"/>
    <w:rsid w:val="0012064B"/>
    <w:rsid w:val="00127791"/>
    <w:rsid w:val="00132DF9"/>
    <w:rsid w:val="00134EF6"/>
    <w:rsid w:val="001548CF"/>
    <w:rsid w:val="001616A3"/>
    <w:rsid w:val="0017716A"/>
    <w:rsid w:val="00192808"/>
    <w:rsid w:val="00194B10"/>
    <w:rsid w:val="00196AD8"/>
    <w:rsid w:val="001A6115"/>
    <w:rsid w:val="001B7C20"/>
    <w:rsid w:val="001C6C05"/>
    <w:rsid w:val="001E2DFF"/>
    <w:rsid w:val="001F69FA"/>
    <w:rsid w:val="002162BA"/>
    <w:rsid w:val="00220C62"/>
    <w:rsid w:val="002351B2"/>
    <w:rsid w:val="00237C6D"/>
    <w:rsid w:val="002441D4"/>
    <w:rsid w:val="0024660C"/>
    <w:rsid w:val="00247306"/>
    <w:rsid w:val="00251C84"/>
    <w:rsid w:val="00253052"/>
    <w:rsid w:val="00253EA6"/>
    <w:rsid w:val="00255E3C"/>
    <w:rsid w:val="00260C10"/>
    <w:rsid w:val="00261B45"/>
    <w:rsid w:val="00272B89"/>
    <w:rsid w:val="00273F55"/>
    <w:rsid w:val="002807F8"/>
    <w:rsid w:val="00281EB2"/>
    <w:rsid w:val="002851B9"/>
    <w:rsid w:val="0028555D"/>
    <w:rsid w:val="002973EE"/>
    <w:rsid w:val="002A528A"/>
    <w:rsid w:val="002B0FB2"/>
    <w:rsid w:val="002C6419"/>
    <w:rsid w:val="002D2707"/>
    <w:rsid w:val="002D3DC2"/>
    <w:rsid w:val="002D5C10"/>
    <w:rsid w:val="002D6618"/>
    <w:rsid w:val="002E7346"/>
    <w:rsid w:val="002F6E73"/>
    <w:rsid w:val="003008A7"/>
    <w:rsid w:val="00303F4F"/>
    <w:rsid w:val="00320E74"/>
    <w:rsid w:val="0032220F"/>
    <w:rsid w:val="0032221F"/>
    <w:rsid w:val="00334557"/>
    <w:rsid w:val="00337E7C"/>
    <w:rsid w:val="00374266"/>
    <w:rsid w:val="0038274C"/>
    <w:rsid w:val="003845EA"/>
    <w:rsid w:val="00385DAF"/>
    <w:rsid w:val="00387FE5"/>
    <w:rsid w:val="003B50F1"/>
    <w:rsid w:val="003C1406"/>
    <w:rsid w:val="003C2756"/>
    <w:rsid w:val="003C5EE7"/>
    <w:rsid w:val="003E30A9"/>
    <w:rsid w:val="003E3D76"/>
    <w:rsid w:val="00421D81"/>
    <w:rsid w:val="00434BD2"/>
    <w:rsid w:val="00435061"/>
    <w:rsid w:val="00435814"/>
    <w:rsid w:val="0044651B"/>
    <w:rsid w:val="0045072B"/>
    <w:rsid w:val="00462CDE"/>
    <w:rsid w:val="004638C7"/>
    <w:rsid w:val="0047682E"/>
    <w:rsid w:val="004852C5"/>
    <w:rsid w:val="00491FA0"/>
    <w:rsid w:val="004C21F7"/>
    <w:rsid w:val="004C31E3"/>
    <w:rsid w:val="004C48D0"/>
    <w:rsid w:val="004D3D10"/>
    <w:rsid w:val="004D4281"/>
    <w:rsid w:val="004F5B52"/>
    <w:rsid w:val="004F6964"/>
    <w:rsid w:val="0050158B"/>
    <w:rsid w:val="00503BFA"/>
    <w:rsid w:val="005201D3"/>
    <w:rsid w:val="00526528"/>
    <w:rsid w:val="00526F89"/>
    <w:rsid w:val="00530FA2"/>
    <w:rsid w:val="00531771"/>
    <w:rsid w:val="00532DCE"/>
    <w:rsid w:val="0053673A"/>
    <w:rsid w:val="00537023"/>
    <w:rsid w:val="00540F51"/>
    <w:rsid w:val="00541EF9"/>
    <w:rsid w:val="005426A5"/>
    <w:rsid w:val="00545A5C"/>
    <w:rsid w:val="00546F5F"/>
    <w:rsid w:val="00547410"/>
    <w:rsid w:val="005627AB"/>
    <w:rsid w:val="00574D6B"/>
    <w:rsid w:val="00575B1B"/>
    <w:rsid w:val="005817D7"/>
    <w:rsid w:val="00594D60"/>
    <w:rsid w:val="00596707"/>
    <w:rsid w:val="005B0BFE"/>
    <w:rsid w:val="005B7FD5"/>
    <w:rsid w:val="005C4654"/>
    <w:rsid w:val="005D1F37"/>
    <w:rsid w:val="005E77A7"/>
    <w:rsid w:val="005F4165"/>
    <w:rsid w:val="005F4EC1"/>
    <w:rsid w:val="005F74FF"/>
    <w:rsid w:val="00606554"/>
    <w:rsid w:val="00610226"/>
    <w:rsid w:val="00620695"/>
    <w:rsid w:val="00630657"/>
    <w:rsid w:val="00634A38"/>
    <w:rsid w:val="00635A07"/>
    <w:rsid w:val="00643F51"/>
    <w:rsid w:val="00653889"/>
    <w:rsid w:val="00655F18"/>
    <w:rsid w:val="00662FF6"/>
    <w:rsid w:val="00674DB4"/>
    <w:rsid w:val="00685643"/>
    <w:rsid w:val="0069496C"/>
    <w:rsid w:val="006A11FB"/>
    <w:rsid w:val="006A7D53"/>
    <w:rsid w:val="006B4D8D"/>
    <w:rsid w:val="006C6F98"/>
    <w:rsid w:val="006E172F"/>
    <w:rsid w:val="006E5B44"/>
    <w:rsid w:val="006E5E2F"/>
    <w:rsid w:val="006E7C8D"/>
    <w:rsid w:val="006F20F4"/>
    <w:rsid w:val="006F2BF2"/>
    <w:rsid w:val="006F58DD"/>
    <w:rsid w:val="00701751"/>
    <w:rsid w:val="0072060E"/>
    <w:rsid w:val="00721395"/>
    <w:rsid w:val="00722A2D"/>
    <w:rsid w:val="00732C95"/>
    <w:rsid w:val="00754652"/>
    <w:rsid w:val="00765963"/>
    <w:rsid w:val="007659F6"/>
    <w:rsid w:val="00765F0A"/>
    <w:rsid w:val="007700A5"/>
    <w:rsid w:val="007707AD"/>
    <w:rsid w:val="0078069F"/>
    <w:rsid w:val="00782271"/>
    <w:rsid w:val="007825A6"/>
    <w:rsid w:val="007870B1"/>
    <w:rsid w:val="00791585"/>
    <w:rsid w:val="00795235"/>
    <w:rsid w:val="007B0528"/>
    <w:rsid w:val="007B6095"/>
    <w:rsid w:val="007B6CC9"/>
    <w:rsid w:val="007B75E3"/>
    <w:rsid w:val="007C0F4B"/>
    <w:rsid w:val="007C62FE"/>
    <w:rsid w:val="007C77A0"/>
    <w:rsid w:val="007D3609"/>
    <w:rsid w:val="007E5A7D"/>
    <w:rsid w:val="007F1DA4"/>
    <w:rsid w:val="007F2600"/>
    <w:rsid w:val="007F3264"/>
    <w:rsid w:val="007F4061"/>
    <w:rsid w:val="008019F8"/>
    <w:rsid w:val="00813BB5"/>
    <w:rsid w:val="00833C2B"/>
    <w:rsid w:val="008360A2"/>
    <w:rsid w:val="00847697"/>
    <w:rsid w:val="00853E2A"/>
    <w:rsid w:val="00857018"/>
    <w:rsid w:val="008643C4"/>
    <w:rsid w:val="00864E58"/>
    <w:rsid w:val="00870116"/>
    <w:rsid w:val="00871286"/>
    <w:rsid w:val="00871F4F"/>
    <w:rsid w:val="00876379"/>
    <w:rsid w:val="0088767C"/>
    <w:rsid w:val="008876A2"/>
    <w:rsid w:val="0089556D"/>
    <w:rsid w:val="008A2F52"/>
    <w:rsid w:val="008A694A"/>
    <w:rsid w:val="008B4412"/>
    <w:rsid w:val="008B7045"/>
    <w:rsid w:val="008B7244"/>
    <w:rsid w:val="008C7E15"/>
    <w:rsid w:val="008D405A"/>
    <w:rsid w:val="008E3D69"/>
    <w:rsid w:val="008E7410"/>
    <w:rsid w:val="00905396"/>
    <w:rsid w:val="0091290E"/>
    <w:rsid w:val="00927D9F"/>
    <w:rsid w:val="00930436"/>
    <w:rsid w:val="00932616"/>
    <w:rsid w:val="0093309D"/>
    <w:rsid w:val="00940B37"/>
    <w:rsid w:val="0094503C"/>
    <w:rsid w:val="00945BD2"/>
    <w:rsid w:val="00960D06"/>
    <w:rsid w:val="009662D3"/>
    <w:rsid w:val="0098617C"/>
    <w:rsid w:val="009871E9"/>
    <w:rsid w:val="009B1AFD"/>
    <w:rsid w:val="009B1EA4"/>
    <w:rsid w:val="009B270D"/>
    <w:rsid w:val="009B32C8"/>
    <w:rsid w:val="009B57FC"/>
    <w:rsid w:val="009E012D"/>
    <w:rsid w:val="00A001E1"/>
    <w:rsid w:val="00A0717C"/>
    <w:rsid w:val="00A13863"/>
    <w:rsid w:val="00A2435F"/>
    <w:rsid w:val="00A31508"/>
    <w:rsid w:val="00A64D64"/>
    <w:rsid w:val="00A70928"/>
    <w:rsid w:val="00A93A2E"/>
    <w:rsid w:val="00A93DC8"/>
    <w:rsid w:val="00AA4E6B"/>
    <w:rsid w:val="00AB4F5E"/>
    <w:rsid w:val="00AC3F59"/>
    <w:rsid w:val="00AC74FF"/>
    <w:rsid w:val="00AD7AC3"/>
    <w:rsid w:val="00AE4A22"/>
    <w:rsid w:val="00AE4E0A"/>
    <w:rsid w:val="00AF13CF"/>
    <w:rsid w:val="00AF2554"/>
    <w:rsid w:val="00AF7A93"/>
    <w:rsid w:val="00B1557B"/>
    <w:rsid w:val="00B16190"/>
    <w:rsid w:val="00B21C24"/>
    <w:rsid w:val="00B267C8"/>
    <w:rsid w:val="00B2699A"/>
    <w:rsid w:val="00B3138D"/>
    <w:rsid w:val="00B32B71"/>
    <w:rsid w:val="00B37B8F"/>
    <w:rsid w:val="00B43C55"/>
    <w:rsid w:val="00B50729"/>
    <w:rsid w:val="00B51208"/>
    <w:rsid w:val="00B5731B"/>
    <w:rsid w:val="00B61F1E"/>
    <w:rsid w:val="00B64F63"/>
    <w:rsid w:val="00B705E2"/>
    <w:rsid w:val="00B861F3"/>
    <w:rsid w:val="00B9125B"/>
    <w:rsid w:val="00BA13EA"/>
    <w:rsid w:val="00BB0A20"/>
    <w:rsid w:val="00BB27D6"/>
    <w:rsid w:val="00BB2ED1"/>
    <w:rsid w:val="00BC0A23"/>
    <w:rsid w:val="00BD1911"/>
    <w:rsid w:val="00BD1D46"/>
    <w:rsid w:val="00BF31D2"/>
    <w:rsid w:val="00BF347B"/>
    <w:rsid w:val="00C20644"/>
    <w:rsid w:val="00C2080F"/>
    <w:rsid w:val="00C23A98"/>
    <w:rsid w:val="00C32093"/>
    <w:rsid w:val="00C348F7"/>
    <w:rsid w:val="00C43F9E"/>
    <w:rsid w:val="00C44F01"/>
    <w:rsid w:val="00C51684"/>
    <w:rsid w:val="00C60E9D"/>
    <w:rsid w:val="00C70B8B"/>
    <w:rsid w:val="00C74B8E"/>
    <w:rsid w:val="00C8573E"/>
    <w:rsid w:val="00CA08A9"/>
    <w:rsid w:val="00CA3DB7"/>
    <w:rsid w:val="00CA5E31"/>
    <w:rsid w:val="00CB44B1"/>
    <w:rsid w:val="00CD2231"/>
    <w:rsid w:val="00CD2B99"/>
    <w:rsid w:val="00CE490C"/>
    <w:rsid w:val="00CE7F53"/>
    <w:rsid w:val="00CF0330"/>
    <w:rsid w:val="00D05A86"/>
    <w:rsid w:val="00D1740E"/>
    <w:rsid w:val="00D21310"/>
    <w:rsid w:val="00D23B8F"/>
    <w:rsid w:val="00D26922"/>
    <w:rsid w:val="00D278BA"/>
    <w:rsid w:val="00D319CE"/>
    <w:rsid w:val="00D33AC9"/>
    <w:rsid w:val="00D34625"/>
    <w:rsid w:val="00D63277"/>
    <w:rsid w:val="00D75F25"/>
    <w:rsid w:val="00D83BD0"/>
    <w:rsid w:val="00D9087F"/>
    <w:rsid w:val="00DA5E50"/>
    <w:rsid w:val="00DA7FC4"/>
    <w:rsid w:val="00DB43B9"/>
    <w:rsid w:val="00DC049D"/>
    <w:rsid w:val="00DD6BA3"/>
    <w:rsid w:val="00DE5795"/>
    <w:rsid w:val="00DF6DDC"/>
    <w:rsid w:val="00E012CE"/>
    <w:rsid w:val="00E0718C"/>
    <w:rsid w:val="00E12519"/>
    <w:rsid w:val="00E21164"/>
    <w:rsid w:val="00E25755"/>
    <w:rsid w:val="00E36B3A"/>
    <w:rsid w:val="00E378D8"/>
    <w:rsid w:val="00E37F71"/>
    <w:rsid w:val="00E402D8"/>
    <w:rsid w:val="00E432EA"/>
    <w:rsid w:val="00E46DFF"/>
    <w:rsid w:val="00E521F2"/>
    <w:rsid w:val="00E57005"/>
    <w:rsid w:val="00E618D4"/>
    <w:rsid w:val="00E651A4"/>
    <w:rsid w:val="00E71137"/>
    <w:rsid w:val="00E82E1E"/>
    <w:rsid w:val="00E83074"/>
    <w:rsid w:val="00E91A4E"/>
    <w:rsid w:val="00EA66CF"/>
    <w:rsid w:val="00EB1702"/>
    <w:rsid w:val="00EB206A"/>
    <w:rsid w:val="00EC107F"/>
    <w:rsid w:val="00EC4835"/>
    <w:rsid w:val="00ED039D"/>
    <w:rsid w:val="00ED494B"/>
    <w:rsid w:val="00ED49B1"/>
    <w:rsid w:val="00ED59ED"/>
    <w:rsid w:val="00EF054F"/>
    <w:rsid w:val="00EF2C8F"/>
    <w:rsid w:val="00F10D49"/>
    <w:rsid w:val="00F110B9"/>
    <w:rsid w:val="00F22686"/>
    <w:rsid w:val="00F23A82"/>
    <w:rsid w:val="00F4104F"/>
    <w:rsid w:val="00F42802"/>
    <w:rsid w:val="00F47D4B"/>
    <w:rsid w:val="00F51533"/>
    <w:rsid w:val="00F51BBE"/>
    <w:rsid w:val="00F87681"/>
    <w:rsid w:val="00FA79D8"/>
    <w:rsid w:val="00FB512D"/>
    <w:rsid w:val="00FC02A7"/>
    <w:rsid w:val="00FD2B73"/>
    <w:rsid w:val="00FD5BA3"/>
    <w:rsid w:val="00FD68CD"/>
    <w:rsid w:val="00FD7E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E66AC"/>
  <w15:docId w15:val="{57D1CB49-C41D-4627-BD92-62D0BF5E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7FE5"/>
    <w:rPr>
      <w:sz w:val="22"/>
      <w:szCs w:val="22"/>
    </w:rPr>
  </w:style>
  <w:style w:type="paragraph" w:styleId="Heading1">
    <w:name w:val="heading 1"/>
    <w:basedOn w:val="Normal"/>
    <w:next w:val="Normal"/>
    <w:link w:val="Heading1Char"/>
    <w:qFormat/>
    <w:rsid w:val="00FA79D8"/>
    <w:pPr>
      <w:keepNext/>
      <w:spacing w:before="240" w:after="60" w:line="276" w:lineRule="auto"/>
      <w:outlineLvl w:val="0"/>
    </w:pPr>
    <w:rPr>
      <w:rFonts w:ascii="Cambria" w:eastAsia="Times New Roman" w:hAnsi="Cambria" w:cs="Times New Roman"/>
      <w:b/>
      <w:bCs/>
      <w:kern w:val="32"/>
      <w:sz w:val="32"/>
      <w:szCs w:val="32"/>
      <w:lang w:eastAsia="en-US"/>
    </w:rPr>
  </w:style>
  <w:style w:type="paragraph" w:styleId="Heading2">
    <w:name w:val="heading 2"/>
    <w:basedOn w:val="Normal"/>
    <w:next w:val="Normal"/>
    <w:link w:val="Heading2Char"/>
    <w:uiPriority w:val="9"/>
    <w:semiHidden/>
    <w:unhideWhenUsed/>
    <w:qFormat/>
    <w:rsid w:val="00A138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E012CE"/>
    <w:pPr>
      <w:keepNext/>
      <w:jc w:val="center"/>
      <w:outlineLvl w:val="2"/>
    </w:pPr>
    <w:rPr>
      <w:rFonts w:ascii="Times New Roman" w:eastAsia="Times New Roman" w:hAnsi="Times New Roman" w:cs="Times New Roman"/>
      <w:sz w:val="32"/>
      <w:szCs w:val="20"/>
      <w:lang w:val="en-US" w:eastAsia="en-US"/>
    </w:rPr>
  </w:style>
  <w:style w:type="paragraph" w:styleId="Heading8">
    <w:name w:val="heading 8"/>
    <w:basedOn w:val="Normal"/>
    <w:next w:val="Normal"/>
    <w:link w:val="Heading8Char"/>
    <w:uiPriority w:val="9"/>
    <w:semiHidden/>
    <w:unhideWhenUsed/>
    <w:qFormat/>
    <w:rsid w:val="00A1386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5A86"/>
    <w:rPr>
      <w:rFonts w:ascii="Tahoma" w:hAnsi="Tahoma" w:cs="Times New Roman"/>
      <w:sz w:val="16"/>
      <w:szCs w:val="16"/>
    </w:rPr>
  </w:style>
  <w:style w:type="character" w:customStyle="1" w:styleId="BalloonTextChar">
    <w:name w:val="Balloon Text Char"/>
    <w:link w:val="BalloonText"/>
    <w:uiPriority w:val="99"/>
    <w:semiHidden/>
    <w:rsid w:val="00D05A86"/>
    <w:rPr>
      <w:rFonts w:ascii="Tahoma" w:hAnsi="Tahoma" w:cs="Tahoma"/>
      <w:sz w:val="16"/>
      <w:szCs w:val="16"/>
    </w:rPr>
  </w:style>
  <w:style w:type="paragraph" w:styleId="ListParagraph">
    <w:name w:val="List Paragraph"/>
    <w:basedOn w:val="Normal"/>
    <w:uiPriority w:val="34"/>
    <w:qFormat/>
    <w:rsid w:val="007F2600"/>
    <w:pPr>
      <w:ind w:left="720"/>
    </w:pPr>
  </w:style>
  <w:style w:type="character" w:customStyle="1" w:styleId="Heading3Char">
    <w:name w:val="Heading 3 Char"/>
    <w:basedOn w:val="DefaultParagraphFont"/>
    <w:link w:val="Heading3"/>
    <w:rsid w:val="00E012CE"/>
    <w:rPr>
      <w:rFonts w:ascii="Times New Roman" w:eastAsia="Times New Roman" w:hAnsi="Times New Roman" w:cs="Times New Roman"/>
      <w:sz w:val="32"/>
      <w:effect w:val="none"/>
      <w:lang w:val="en-US" w:eastAsia="en-US"/>
    </w:rPr>
  </w:style>
  <w:style w:type="character" w:customStyle="1" w:styleId="Heading2Char">
    <w:name w:val="Heading 2 Char"/>
    <w:basedOn w:val="DefaultParagraphFont"/>
    <w:link w:val="Heading2"/>
    <w:uiPriority w:val="9"/>
    <w:semiHidden/>
    <w:rsid w:val="00A13863"/>
    <w:rPr>
      <w:rFonts w:asciiTheme="majorHAnsi" w:eastAsiaTheme="majorEastAsia" w:hAnsiTheme="majorHAnsi" w:cstheme="majorBidi"/>
      <w:b/>
      <w:bCs/>
      <w:color w:val="4F81BD" w:themeColor="accent1"/>
      <w:sz w:val="26"/>
      <w:szCs w:val="26"/>
    </w:rPr>
  </w:style>
  <w:style w:type="character" w:customStyle="1" w:styleId="Heading8Char">
    <w:name w:val="Heading 8 Char"/>
    <w:basedOn w:val="DefaultParagraphFont"/>
    <w:link w:val="Heading8"/>
    <w:uiPriority w:val="9"/>
    <w:semiHidden/>
    <w:rsid w:val="00A13863"/>
    <w:rPr>
      <w:rFonts w:asciiTheme="majorHAnsi" w:eastAsiaTheme="majorEastAsia" w:hAnsiTheme="majorHAnsi" w:cstheme="majorBidi"/>
      <w:color w:val="404040" w:themeColor="text1" w:themeTint="BF"/>
    </w:rPr>
  </w:style>
  <w:style w:type="paragraph" w:styleId="BodyTextIndent3">
    <w:name w:val="Body Text Indent 3"/>
    <w:basedOn w:val="Normal"/>
    <w:link w:val="BodyTextIndent3Char"/>
    <w:rsid w:val="002A528A"/>
    <w:pPr>
      <w:ind w:left="720" w:hanging="720"/>
    </w:pPr>
    <w:rPr>
      <w:rFonts w:ascii="Times New Roman" w:eastAsia="Times New Roman" w:hAnsi="Times New Roman" w:cs="Times New Roman"/>
      <w:szCs w:val="20"/>
      <w:lang w:val="en-US" w:eastAsia="en-US"/>
    </w:rPr>
  </w:style>
  <w:style w:type="character" w:customStyle="1" w:styleId="BodyTextIndent3Char">
    <w:name w:val="Body Text Indent 3 Char"/>
    <w:basedOn w:val="DefaultParagraphFont"/>
    <w:link w:val="BodyTextIndent3"/>
    <w:rsid w:val="002A528A"/>
    <w:rPr>
      <w:rFonts w:ascii="Times New Roman" w:eastAsia="Times New Roman" w:hAnsi="Times New Roman" w:cs="Times New Roman"/>
      <w:sz w:val="22"/>
      <w:lang w:val="en-US" w:eastAsia="en-US"/>
    </w:rPr>
  </w:style>
  <w:style w:type="paragraph" w:styleId="BodyText">
    <w:name w:val="Body Text"/>
    <w:basedOn w:val="Normal"/>
    <w:link w:val="BodyTextChar"/>
    <w:unhideWhenUsed/>
    <w:rsid w:val="002A528A"/>
    <w:pPr>
      <w:spacing w:after="120" w:line="276" w:lineRule="auto"/>
    </w:pPr>
    <w:rPr>
      <w:rFonts w:ascii="Calibri" w:hAnsi="Calibri" w:cs="Times New Roman"/>
      <w:lang w:eastAsia="en-US"/>
    </w:rPr>
  </w:style>
  <w:style w:type="character" w:customStyle="1" w:styleId="BodyTextChar">
    <w:name w:val="Body Text Char"/>
    <w:basedOn w:val="DefaultParagraphFont"/>
    <w:link w:val="BodyText"/>
    <w:uiPriority w:val="99"/>
    <w:rsid w:val="002A528A"/>
    <w:rPr>
      <w:rFonts w:ascii="Calibri" w:hAnsi="Calibri" w:cs="Times New Roman"/>
      <w:sz w:val="22"/>
      <w:szCs w:val="22"/>
      <w:lang w:eastAsia="en-US"/>
    </w:rPr>
  </w:style>
  <w:style w:type="character" w:customStyle="1" w:styleId="Heading1Char">
    <w:name w:val="Heading 1 Char"/>
    <w:basedOn w:val="DefaultParagraphFont"/>
    <w:link w:val="Heading1"/>
    <w:rsid w:val="00FA79D8"/>
    <w:rPr>
      <w:rFonts w:ascii="Cambria" w:eastAsia="Times New Roman" w:hAnsi="Cambria" w:cs="Times New Roman"/>
      <w:b/>
      <w:bCs/>
      <w:kern w:val="32"/>
      <w:sz w:val="32"/>
      <w:szCs w:val="32"/>
      <w:lang w:eastAsia="en-US"/>
    </w:rPr>
  </w:style>
  <w:style w:type="paragraph" w:styleId="BodyTextIndent">
    <w:name w:val="Body Text Indent"/>
    <w:basedOn w:val="Normal"/>
    <w:link w:val="BodyTextIndentChar"/>
    <w:unhideWhenUsed/>
    <w:rsid w:val="00FA79D8"/>
    <w:pPr>
      <w:spacing w:after="120" w:line="276" w:lineRule="auto"/>
      <w:ind w:left="283"/>
    </w:pPr>
    <w:rPr>
      <w:rFonts w:ascii="Calibri" w:hAnsi="Calibri" w:cs="Times New Roman"/>
      <w:lang w:eastAsia="en-US"/>
    </w:rPr>
  </w:style>
  <w:style w:type="character" w:customStyle="1" w:styleId="BodyTextIndentChar">
    <w:name w:val="Body Text Indent Char"/>
    <w:basedOn w:val="DefaultParagraphFont"/>
    <w:link w:val="BodyTextIndent"/>
    <w:rsid w:val="00FA79D8"/>
    <w:rPr>
      <w:rFonts w:ascii="Calibri" w:hAnsi="Calibri" w:cs="Times New Roman"/>
      <w:sz w:val="22"/>
      <w:szCs w:val="22"/>
      <w:lang w:eastAsia="en-US"/>
    </w:rPr>
  </w:style>
  <w:style w:type="paragraph" w:customStyle="1" w:styleId="xl40">
    <w:name w:val="xl40"/>
    <w:basedOn w:val="Normal"/>
    <w:rsid w:val="00FA79D8"/>
    <w:pPr>
      <w:pBdr>
        <w:left w:val="single" w:sz="8" w:space="0" w:color="auto"/>
        <w:bottom w:val="single" w:sz="8" w:space="0" w:color="auto"/>
      </w:pBdr>
      <w:spacing w:before="100" w:after="100"/>
      <w:jc w:val="right"/>
    </w:pPr>
    <w:rPr>
      <w:rFonts w:ascii="Arial Unicode MS" w:eastAsia="Arial Unicode MS" w:hAnsi="Arial Unicode MS" w:cs="Times New Roman"/>
      <w:b/>
      <w:sz w:val="24"/>
      <w:szCs w:val="20"/>
      <w:lang w:eastAsia="en-US"/>
    </w:rPr>
  </w:style>
  <w:style w:type="paragraph" w:styleId="Header">
    <w:name w:val="header"/>
    <w:basedOn w:val="Normal"/>
    <w:link w:val="HeaderChar"/>
    <w:rsid w:val="00FA79D8"/>
    <w:pPr>
      <w:tabs>
        <w:tab w:val="center" w:pos="4320"/>
        <w:tab w:val="right" w:pos="8640"/>
      </w:tabs>
    </w:pPr>
    <w:rPr>
      <w:rFonts w:ascii="Times New Roman" w:eastAsia="Times New Roman" w:hAnsi="Times New Roman" w:cs="Times New Roman"/>
      <w:sz w:val="20"/>
      <w:szCs w:val="20"/>
      <w:lang w:val="en-US" w:eastAsia="en-US"/>
    </w:rPr>
  </w:style>
  <w:style w:type="character" w:customStyle="1" w:styleId="HeaderChar">
    <w:name w:val="Header Char"/>
    <w:basedOn w:val="DefaultParagraphFont"/>
    <w:link w:val="Header"/>
    <w:rsid w:val="00FA79D8"/>
    <w:rPr>
      <w:rFonts w:ascii="Times New Roman" w:eastAsia="Times New Roman" w:hAnsi="Times New Roman" w:cs="Times New Roman"/>
      <w:lang w:val="en-US" w:eastAsia="en-US"/>
    </w:rPr>
  </w:style>
  <w:style w:type="character" w:styleId="CommentReference">
    <w:name w:val="annotation reference"/>
    <w:basedOn w:val="DefaultParagraphFont"/>
    <w:uiPriority w:val="99"/>
    <w:semiHidden/>
    <w:unhideWhenUsed/>
    <w:rsid w:val="00E82E1E"/>
    <w:rPr>
      <w:sz w:val="16"/>
      <w:szCs w:val="16"/>
    </w:rPr>
  </w:style>
  <w:style w:type="paragraph" w:styleId="CommentText">
    <w:name w:val="annotation text"/>
    <w:basedOn w:val="Normal"/>
    <w:link w:val="CommentTextChar"/>
    <w:uiPriority w:val="99"/>
    <w:semiHidden/>
    <w:unhideWhenUsed/>
    <w:rsid w:val="00E82E1E"/>
    <w:rPr>
      <w:sz w:val="20"/>
      <w:szCs w:val="20"/>
    </w:rPr>
  </w:style>
  <w:style w:type="character" w:customStyle="1" w:styleId="CommentTextChar">
    <w:name w:val="Comment Text Char"/>
    <w:basedOn w:val="DefaultParagraphFont"/>
    <w:link w:val="CommentText"/>
    <w:uiPriority w:val="99"/>
    <w:semiHidden/>
    <w:rsid w:val="00E82E1E"/>
  </w:style>
  <w:style w:type="paragraph" w:styleId="CommentSubject">
    <w:name w:val="annotation subject"/>
    <w:basedOn w:val="CommentText"/>
    <w:next w:val="CommentText"/>
    <w:link w:val="CommentSubjectChar"/>
    <w:uiPriority w:val="99"/>
    <w:semiHidden/>
    <w:unhideWhenUsed/>
    <w:rsid w:val="00E82E1E"/>
    <w:rPr>
      <w:b/>
      <w:bCs/>
    </w:rPr>
  </w:style>
  <w:style w:type="character" w:customStyle="1" w:styleId="CommentSubjectChar">
    <w:name w:val="Comment Subject Char"/>
    <w:basedOn w:val="CommentTextChar"/>
    <w:link w:val="CommentSubject"/>
    <w:uiPriority w:val="99"/>
    <w:semiHidden/>
    <w:rsid w:val="00E82E1E"/>
    <w:rPr>
      <w:b/>
      <w:bCs/>
    </w:rPr>
  </w:style>
  <w:style w:type="character" w:styleId="Hyperlink">
    <w:name w:val="Hyperlink"/>
    <w:basedOn w:val="DefaultParagraphFont"/>
    <w:uiPriority w:val="99"/>
    <w:unhideWhenUsed/>
    <w:rsid w:val="00E46D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457507">
      <w:bodyDiv w:val="1"/>
      <w:marLeft w:val="0"/>
      <w:marRight w:val="0"/>
      <w:marTop w:val="0"/>
      <w:marBottom w:val="0"/>
      <w:divBdr>
        <w:top w:val="none" w:sz="0" w:space="0" w:color="auto"/>
        <w:left w:val="none" w:sz="0" w:space="0" w:color="auto"/>
        <w:bottom w:val="none" w:sz="0" w:space="0" w:color="auto"/>
        <w:right w:val="none" w:sz="0" w:space="0" w:color="auto"/>
      </w:divBdr>
    </w:div>
    <w:div w:id="306664118">
      <w:bodyDiv w:val="1"/>
      <w:marLeft w:val="0"/>
      <w:marRight w:val="0"/>
      <w:marTop w:val="0"/>
      <w:marBottom w:val="0"/>
      <w:divBdr>
        <w:top w:val="none" w:sz="0" w:space="0" w:color="auto"/>
        <w:left w:val="none" w:sz="0" w:space="0" w:color="auto"/>
        <w:bottom w:val="none" w:sz="0" w:space="0" w:color="auto"/>
        <w:right w:val="none" w:sz="0" w:space="0" w:color="auto"/>
      </w:divBdr>
    </w:div>
    <w:div w:id="314771047">
      <w:bodyDiv w:val="1"/>
      <w:marLeft w:val="0"/>
      <w:marRight w:val="0"/>
      <w:marTop w:val="0"/>
      <w:marBottom w:val="0"/>
      <w:divBdr>
        <w:top w:val="none" w:sz="0" w:space="0" w:color="auto"/>
        <w:left w:val="none" w:sz="0" w:space="0" w:color="auto"/>
        <w:bottom w:val="none" w:sz="0" w:space="0" w:color="auto"/>
        <w:right w:val="none" w:sz="0" w:space="0" w:color="auto"/>
      </w:divBdr>
    </w:div>
    <w:div w:id="381103822">
      <w:bodyDiv w:val="1"/>
      <w:marLeft w:val="0"/>
      <w:marRight w:val="0"/>
      <w:marTop w:val="0"/>
      <w:marBottom w:val="0"/>
      <w:divBdr>
        <w:top w:val="none" w:sz="0" w:space="0" w:color="auto"/>
        <w:left w:val="none" w:sz="0" w:space="0" w:color="auto"/>
        <w:bottom w:val="none" w:sz="0" w:space="0" w:color="auto"/>
        <w:right w:val="none" w:sz="0" w:space="0" w:color="auto"/>
      </w:divBdr>
    </w:div>
    <w:div w:id="944340791">
      <w:bodyDiv w:val="1"/>
      <w:marLeft w:val="0"/>
      <w:marRight w:val="0"/>
      <w:marTop w:val="0"/>
      <w:marBottom w:val="0"/>
      <w:divBdr>
        <w:top w:val="none" w:sz="0" w:space="0" w:color="auto"/>
        <w:left w:val="none" w:sz="0" w:space="0" w:color="auto"/>
        <w:bottom w:val="none" w:sz="0" w:space="0" w:color="auto"/>
        <w:right w:val="none" w:sz="0" w:space="0" w:color="auto"/>
      </w:divBdr>
    </w:div>
    <w:div w:id="966661515">
      <w:bodyDiv w:val="1"/>
      <w:marLeft w:val="0"/>
      <w:marRight w:val="0"/>
      <w:marTop w:val="0"/>
      <w:marBottom w:val="0"/>
      <w:divBdr>
        <w:top w:val="none" w:sz="0" w:space="0" w:color="auto"/>
        <w:left w:val="none" w:sz="0" w:space="0" w:color="auto"/>
        <w:bottom w:val="none" w:sz="0" w:space="0" w:color="auto"/>
        <w:right w:val="none" w:sz="0" w:space="0" w:color="auto"/>
      </w:divBdr>
    </w:div>
    <w:div w:id="1001666084">
      <w:bodyDiv w:val="1"/>
      <w:marLeft w:val="0"/>
      <w:marRight w:val="0"/>
      <w:marTop w:val="0"/>
      <w:marBottom w:val="0"/>
      <w:divBdr>
        <w:top w:val="none" w:sz="0" w:space="0" w:color="auto"/>
        <w:left w:val="none" w:sz="0" w:space="0" w:color="auto"/>
        <w:bottom w:val="none" w:sz="0" w:space="0" w:color="auto"/>
        <w:right w:val="none" w:sz="0" w:space="0" w:color="auto"/>
      </w:divBdr>
    </w:div>
    <w:div w:id="1102409980">
      <w:bodyDiv w:val="1"/>
      <w:marLeft w:val="0"/>
      <w:marRight w:val="0"/>
      <w:marTop w:val="0"/>
      <w:marBottom w:val="0"/>
      <w:divBdr>
        <w:top w:val="none" w:sz="0" w:space="0" w:color="auto"/>
        <w:left w:val="none" w:sz="0" w:space="0" w:color="auto"/>
        <w:bottom w:val="none" w:sz="0" w:space="0" w:color="auto"/>
        <w:right w:val="none" w:sz="0" w:space="0" w:color="auto"/>
      </w:divBdr>
    </w:div>
    <w:div w:id="1307318355">
      <w:bodyDiv w:val="1"/>
      <w:marLeft w:val="0"/>
      <w:marRight w:val="0"/>
      <w:marTop w:val="0"/>
      <w:marBottom w:val="0"/>
      <w:divBdr>
        <w:top w:val="none" w:sz="0" w:space="0" w:color="auto"/>
        <w:left w:val="none" w:sz="0" w:space="0" w:color="auto"/>
        <w:bottom w:val="none" w:sz="0" w:space="0" w:color="auto"/>
        <w:right w:val="none" w:sz="0" w:space="0" w:color="auto"/>
      </w:divBdr>
    </w:div>
    <w:div w:id="1344818791">
      <w:bodyDiv w:val="1"/>
      <w:marLeft w:val="0"/>
      <w:marRight w:val="0"/>
      <w:marTop w:val="0"/>
      <w:marBottom w:val="0"/>
      <w:divBdr>
        <w:top w:val="none" w:sz="0" w:space="0" w:color="auto"/>
        <w:left w:val="none" w:sz="0" w:space="0" w:color="auto"/>
        <w:bottom w:val="none" w:sz="0" w:space="0" w:color="auto"/>
        <w:right w:val="none" w:sz="0" w:space="0" w:color="auto"/>
      </w:divBdr>
    </w:div>
    <w:div w:id="1735082457">
      <w:bodyDiv w:val="1"/>
      <w:marLeft w:val="0"/>
      <w:marRight w:val="0"/>
      <w:marTop w:val="0"/>
      <w:marBottom w:val="0"/>
      <w:divBdr>
        <w:top w:val="none" w:sz="0" w:space="0" w:color="auto"/>
        <w:left w:val="none" w:sz="0" w:space="0" w:color="auto"/>
        <w:bottom w:val="none" w:sz="0" w:space="0" w:color="auto"/>
        <w:right w:val="none" w:sz="0" w:space="0" w:color="auto"/>
      </w:divBdr>
    </w:div>
    <w:div w:id="1786584119">
      <w:bodyDiv w:val="1"/>
      <w:marLeft w:val="0"/>
      <w:marRight w:val="0"/>
      <w:marTop w:val="0"/>
      <w:marBottom w:val="0"/>
      <w:divBdr>
        <w:top w:val="none" w:sz="0" w:space="0" w:color="auto"/>
        <w:left w:val="none" w:sz="0" w:space="0" w:color="auto"/>
        <w:bottom w:val="none" w:sz="0" w:space="0" w:color="auto"/>
        <w:right w:val="none" w:sz="0" w:space="0" w:color="auto"/>
      </w:divBdr>
    </w:div>
    <w:div w:id="1789659817">
      <w:bodyDiv w:val="1"/>
      <w:marLeft w:val="0"/>
      <w:marRight w:val="0"/>
      <w:marTop w:val="0"/>
      <w:marBottom w:val="0"/>
      <w:divBdr>
        <w:top w:val="none" w:sz="0" w:space="0" w:color="auto"/>
        <w:left w:val="none" w:sz="0" w:space="0" w:color="auto"/>
        <w:bottom w:val="none" w:sz="0" w:space="0" w:color="auto"/>
        <w:right w:val="none" w:sz="0" w:space="0" w:color="auto"/>
      </w:divBdr>
    </w:div>
    <w:div w:id="182708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kenyon@west-midlands.pnn.police.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ILES_57340\My%20Documents\JAC%20Report%20Template.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WFS-BL-CLUS-FS\Share_Accounts\Accountancy\Treasury%20Management\Reports\21-22\Graph%20and%20Table%20for%20TMP.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Capital Financing requirement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Sheet1!$B$9</c:f>
              <c:strCache>
                <c:ptCount val="1"/>
                <c:pt idx="0">
                  <c:v>CFR</c:v>
                </c:pt>
              </c:strCache>
            </c:strRef>
          </c:tx>
          <c:spPr>
            <a:solidFill>
              <a:schemeClr val="accent1"/>
            </a:solidFill>
            <a:ln>
              <a:noFill/>
            </a:ln>
            <a:effectLst/>
          </c:spPr>
          <c:invertIfNegative val="0"/>
          <c:cat>
            <c:strRef>
              <c:f>Sheet1!$C$8:$G$8</c:f>
              <c:strCache>
                <c:ptCount val="5"/>
                <c:pt idx="0">
                  <c:v>2019/20</c:v>
                </c:pt>
                <c:pt idx="1">
                  <c:v>2020/21</c:v>
                </c:pt>
                <c:pt idx="2">
                  <c:v>2021/22</c:v>
                </c:pt>
                <c:pt idx="3">
                  <c:v>2022/23</c:v>
                </c:pt>
                <c:pt idx="4">
                  <c:v>2023/24</c:v>
                </c:pt>
              </c:strCache>
            </c:strRef>
          </c:cat>
          <c:val>
            <c:numRef>
              <c:f>Sheet1!$C$9:$G$9</c:f>
              <c:numCache>
                <c:formatCode>General</c:formatCode>
                <c:ptCount val="5"/>
                <c:pt idx="0">
                  <c:v>63.5</c:v>
                </c:pt>
                <c:pt idx="1">
                  <c:v>75.8</c:v>
                </c:pt>
                <c:pt idx="2">
                  <c:v>93.6</c:v>
                </c:pt>
                <c:pt idx="3">
                  <c:v>98</c:v>
                </c:pt>
                <c:pt idx="4">
                  <c:v>94.6</c:v>
                </c:pt>
              </c:numCache>
            </c:numRef>
          </c:val>
          <c:extLst>
            <c:ext xmlns:c16="http://schemas.microsoft.com/office/drawing/2014/chart" uri="{C3380CC4-5D6E-409C-BE32-E72D297353CC}">
              <c16:uniqueId val="{00000000-4603-4785-957D-2C3653CEB21E}"/>
            </c:ext>
          </c:extLst>
        </c:ser>
        <c:ser>
          <c:idx val="1"/>
          <c:order val="1"/>
          <c:tx>
            <c:strRef>
              <c:f>Sheet1!$B$10</c:f>
              <c:strCache>
                <c:ptCount val="1"/>
                <c:pt idx="0">
                  <c:v>External borrowing</c:v>
                </c:pt>
              </c:strCache>
            </c:strRef>
          </c:tx>
          <c:spPr>
            <a:solidFill>
              <a:schemeClr val="accent2"/>
            </a:solidFill>
            <a:ln>
              <a:noFill/>
            </a:ln>
            <a:effectLst/>
          </c:spPr>
          <c:invertIfNegative val="0"/>
          <c:cat>
            <c:strRef>
              <c:f>Sheet1!$C$8:$G$8</c:f>
              <c:strCache>
                <c:ptCount val="5"/>
                <c:pt idx="0">
                  <c:v>2019/20</c:v>
                </c:pt>
                <c:pt idx="1">
                  <c:v>2020/21</c:v>
                </c:pt>
                <c:pt idx="2">
                  <c:v>2021/22</c:v>
                </c:pt>
                <c:pt idx="3">
                  <c:v>2022/23</c:v>
                </c:pt>
                <c:pt idx="4">
                  <c:v>2023/24</c:v>
                </c:pt>
              </c:strCache>
            </c:strRef>
          </c:cat>
          <c:val>
            <c:numRef>
              <c:f>Sheet1!$C$10:$G$10</c:f>
              <c:numCache>
                <c:formatCode>General</c:formatCode>
                <c:ptCount val="5"/>
                <c:pt idx="0">
                  <c:v>97.3</c:v>
                </c:pt>
                <c:pt idx="1">
                  <c:v>94.5</c:v>
                </c:pt>
                <c:pt idx="2">
                  <c:v>114.5</c:v>
                </c:pt>
                <c:pt idx="3">
                  <c:v>121.5</c:v>
                </c:pt>
                <c:pt idx="4">
                  <c:v>120.7</c:v>
                </c:pt>
              </c:numCache>
            </c:numRef>
          </c:val>
          <c:extLst>
            <c:ext xmlns:c16="http://schemas.microsoft.com/office/drawing/2014/chart" uri="{C3380CC4-5D6E-409C-BE32-E72D297353CC}">
              <c16:uniqueId val="{00000001-4603-4785-957D-2C3653CEB21E}"/>
            </c:ext>
          </c:extLst>
        </c:ser>
        <c:dLbls>
          <c:showLegendKey val="0"/>
          <c:showVal val="0"/>
          <c:showCatName val="0"/>
          <c:showSerName val="0"/>
          <c:showPercent val="0"/>
          <c:showBubbleSize val="0"/>
        </c:dLbls>
        <c:gapWidth val="219"/>
        <c:overlap val="-27"/>
        <c:axId val="329444072"/>
        <c:axId val="329444856"/>
      </c:barChart>
      <c:lineChart>
        <c:grouping val="standard"/>
        <c:varyColors val="0"/>
        <c:ser>
          <c:idx val="2"/>
          <c:order val="2"/>
          <c:tx>
            <c:strRef>
              <c:f>Sheet1!$B$11</c:f>
              <c:strCache>
                <c:ptCount val="1"/>
                <c:pt idx="0">
                  <c:v>Authorised limit</c:v>
                </c:pt>
              </c:strCache>
            </c:strRef>
          </c:tx>
          <c:spPr>
            <a:ln w="28575" cap="rnd">
              <a:solidFill>
                <a:schemeClr val="accent3"/>
              </a:solidFill>
              <a:round/>
            </a:ln>
            <a:effectLst/>
          </c:spPr>
          <c:marker>
            <c:symbol val="none"/>
          </c:marker>
          <c:cat>
            <c:strRef>
              <c:f>Sheet1!$C$8:$G$8</c:f>
              <c:strCache>
                <c:ptCount val="5"/>
                <c:pt idx="0">
                  <c:v>2019/20</c:v>
                </c:pt>
                <c:pt idx="1">
                  <c:v>2020/21</c:v>
                </c:pt>
                <c:pt idx="2">
                  <c:v>2021/22</c:v>
                </c:pt>
                <c:pt idx="3">
                  <c:v>2022/23</c:v>
                </c:pt>
                <c:pt idx="4">
                  <c:v>2023/24</c:v>
                </c:pt>
              </c:strCache>
            </c:strRef>
          </c:cat>
          <c:val>
            <c:numRef>
              <c:f>Sheet1!$C$11:$G$11</c:f>
              <c:numCache>
                <c:formatCode>General</c:formatCode>
                <c:ptCount val="5"/>
                <c:pt idx="0">
                  <c:v>125</c:v>
                </c:pt>
                <c:pt idx="1">
                  <c:v>125</c:v>
                </c:pt>
                <c:pt idx="2">
                  <c:v>130</c:v>
                </c:pt>
                <c:pt idx="3">
                  <c:v>130</c:v>
                </c:pt>
                <c:pt idx="4">
                  <c:v>130</c:v>
                </c:pt>
              </c:numCache>
            </c:numRef>
          </c:val>
          <c:smooth val="0"/>
          <c:extLst>
            <c:ext xmlns:c16="http://schemas.microsoft.com/office/drawing/2014/chart" uri="{C3380CC4-5D6E-409C-BE32-E72D297353CC}">
              <c16:uniqueId val="{00000002-4603-4785-957D-2C3653CEB21E}"/>
            </c:ext>
          </c:extLst>
        </c:ser>
        <c:ser>
          <c:idx val="3"/>
          <c:order val="3"/>
          <c:tx>
            <c:strRef>
              <c:f>Sheet1!$B$12</c:f>
              <c:strCache>
                <c:ptCount val="1"/>
                <c:pt idx="0">
                  <c:v>Operational boundary</c:v>
                </c:pt>
              </c:strCache>
            </c:strRef>
          </c:tx>
          <c:spPr>
            <a:ln w="28575" cap="rnd">
              <a:solidFill>
                <a:schemeClr val="accent4"/>
              </a:solidFill>
              <a:round/>
            </a:ln>
            <a:effectLst/>
          </c:spPr>
          <c:marker>
            <c:symbol val="none"/>
          </c:marker>
          <c:cat>
            <c:strRef>
              <c:f>Sheet1!$C$8:$G$8</c:f>
              <c:strCache>
                <c:ptCount val="5"/>
                <c:pt idx="0">
                  <c:v>2019/20</c:v>
                </c:pt>
                <c:pt idx="1">
                  <c:v>2020/21</c:v>
                </c:pt>
                <c:pt idx="2">
                  <c:v>2021/22</c:v>
                </c:pt>
                <c:pt idx="3">
                  <c:v>2022/23</c:v>
                </c:pt>
                <c:pt idx="4">
                  <c:v>2023/24</c:v>
                </c:pt>
              </c:strCache>
            </c:strRef>
          </c:cat>
          <c:val>
            <c:numRef>
              <c:f>Sheet1!$C$12:$G$12</c:f>
              <c:numCache>
                <c:formatCode>General</c:formatCode>
                <c:ptCount val="5"/>
                <c:pt idx="0">
                  <c:v>120</c:v>
                </c:pt>
                <c:pt idx="1">
                  <c:v>120</c:v>
                </c:pt>
                <c:pt idx="2">
                  <c:v>125</c:v>
                </c:pt>
                <c:pt idx="3">
                  <c:v>125</c:v>
                </c:pt>
                <c:pt idx="4">
                  <c:v>125</c:v>
                </c:pt>
              </c:numCache>
            </c:numRef>
          </c:val>
          <c:smooth val="0"/>
          <c:extLst>
            <c:ext xmlns:c16="http://schemas.microsoft.com/office/drawing/2014/chart" uri="{C3380CC4-5D6E-409C-BE32-E72D297353CC}">
              <c16:uniqueId val="{00000003-4603-4785-957D-2C3653CEB21E}"/>
            </c:ext>
          </c:extLst>
        </c:ser>
        <c:dLbls>
          <c:showLegendKey val="0"/>
          <c:showVal val="0"/>
          <c:showCatName val="0"/>
          <c:showSerName val="0"/>
          <c:showPercent val="0"/>
          <c:showBubbleSize val="0"/>
        </c:dLbls>
        <c:marker val="1"/>
        <c:smooth val="0"/>
        <c:axId val="329444072"/>
        <c:axId val="329444856"/>
      </c:lineChart>
      <c:catAx>
        <c:axId val="329444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9444856"/>
        <c:crosses val="autoZero"/>
        <c:auto val="1"/>
        <c:lblAlgn val="ctr"/>
        <c:lblOffset val="100"/>
        <c:noMultiLvlLbl val="0"/>
      </c:catAx>
      <c:valAx>
        <c:axId val="3294448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9444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CD46B783F646499FC95B33F4BE47B8" ma:contentTypeVersion="11" ma:contentTypeDescription="Create a new document." ma:contentTypeScope="" ma:versionID="9539236c52be20bc2f3f62a3c25e580d">
  <xsd:schema xmlns:xsd="http://www.w3.org/2001/XMLSchema" xmlns:xs="http://www.w3.org/2001/XMLSchema" xmlns:p="http://schemas.microsoft.com/office/2006/metadata/properties" xmlns:ns3="cc058953-a0c5-46c4-ab54-a6419d56e38c" targetNamespace="http://schemas.microsoft.com/office/2006/metadata/properties" ma:root="true" ma:fieldsID="10c80e9c9e26fa44c2309b5497cae7a9" ns3:_="">
    <xsd:import namespace="cc058953-a0c5-46c4-ab54-a6419d56e38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058953-a0c5-46c4-ab54-a6419d56e3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AD83C1-383D-4E61-A5E5-AF6B8F5F486D}">
  <ds:schemaRefs>
    <ds:schemaRef ds:uri="http://schemas.microsoft.com/sharepoint/v3/contenttype/forms"/>
  </ds:schemaRefs>
</ds:datastoreItem>
</file>

<file path=customXml/itemProps2.xml><?xml version="1.0" encoding="utf-8"?>
<ds:datastoreItem xmlns:ds="http://schemas.openxmlformats.org/officeDocument/2006/customXml" ds:itemID="{CB256E8D-49DA-4852-BCF1-00702A0F7FE5}">
  <ds:schemaRefs>
    <ds:schemaRef ds:uri="cc058953-a0c5-46c4-ab54-a6419d56e38c"/>
    <ds:schemaRef ds:uri="http://purl.org/dc/terms/"/>
    <ds:schemaRef ds:uri="http://schemas.openxmlformats.org/package/2006/metadata/core-properties"/>
    <ds:schemaRef ds:uri="http://purl.org/dc/elements/1.1/"/>
    <ds:schemaRef ds:uri="http://purl.org/dc/dcmitype/"/>
    <ds:schemaRef ds:uri="http://schemas.microsoft.com/office/2006/documentManagement/types"/>
    <ds:schemaRef ds:uri="http://www.w3.org/XML/1998/namespac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36ED4A23-A1A5-4F39-B88F-ACA7259B0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058953-a0c5-46c4-ab54-a6419d56e3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120BFB-1561-4B39-A8A3-6162A70E5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JAC Report Template</Template>
  <TotalTime>0</TotalTime>
  <Pages>21</Pages>
  <Words>6958</Words>
  <Characters>39661</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West Midlands Police</Company>
  <LinksUpToDate>false</LinksUpToDate>
  <CharactersWithSpaces>46526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GILES_57340</dc:creator>
  <cp:lastModifiedBy>Georgina Bateman</cp:lastModifiedBy>
  <cp:revision>2</cp:revision>
  <cp:lastPrinted>2020-04-08T14:11:00Z</cp:lastPrinted>
  <dcterms:created xsi:type="dcterms:W3CDTF">2022-04-21T12:07:00Z</dcterms:created>
  <dcterms:modified xsi:type="dcterms:W3CDTF">2022-04-21T12:07:00Z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0x0101000BCD46B783F646499FC95B33F4BE47B8</vt:lpwstr>
  </property>
  <property fmtid="{D5CDD505-2E9C-101B-9397-08002B2CF9AE}" pid="3" name="_NewReviewCycle">
    <vt:lpwstr/>
  </property>
</Properties>
</file>