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D0A" w:rsidRDefault="00843499" w:rsidP="00534D0A">
      <w:pPr>
        <w:rPr>
          <w:rFonts w:cs="Arial"/>
          <w:b/>
          <w:noProof/>
          <w:szCs w:val="24"/>
        </w:rPr>
      </w:pPr>
      <w:r w:rsidRPr="00843499">
        <w:rPr>
          <w:rFonts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7"/>
        <w:gridCol w:w="2007"/>
      </w:tblGrid>
      <w:tr w:rsidR="00534D0A" w:rsidTr="00534D0A">
        <w:tc>
          <w:tcPr>
            <w:tcW w:w="7337" w:type="dxa"/>
          </w:tcPr>
          <w:p w:rsidR="00534D0A" w:rsidRPr="00534D0A" w:rsidRDefault="00534D0A" w:rsidP="00534D0A">
            <w:pPr>
              <w:rPr>
                <w:rFonts w:cs="Arial"/>
                <w:b/>
                <w:noProof/>
                <w:sz w:val="32"/>
                <w:szCs w:val="32"/>
              </w:rPr>
            </w:pPr>
            <w:r w:rsidRPr="00534D0A">
              <w:rPr>
                <w:rFonts w:cs="Arial"/>
                <w:b/>
                <w:noProof/>
                <w:sz w:val="32"/>
                <w:szCs w:val="32"/>
              </w:rPr>
              <w:t xml:space="preserve">WEST MIDLANDS POLICE AND CRIME </w:t>
            </w:r>
            <w:r>
              <w:rPr>
                <w:rFonts w:cs="Arial"/>
                <w:b/>
                <w:noProof/>
                <w:sz w:val="32"/>
                <w:szCs w:val="32"/>
              </w:rPr>
              <w:t>COMMISSIONER</w:t>
            </w:r>
          </w:p>
        </w:tc>
        <w:tc>
          <w:tcPr>
            <w:tcW w:w="2007" w:type="dxa"/>
          </w:tcPr>
          <w:p w:rsidR="00534D0A" w:rsidRDefault="00534D0A" w:rsidP="00534D0A">
            <w:pPr>
              <w:rPr>
                <w:rFonts w:cs="Arial"/>
                <w:b/>
                <w:noProof/>
                <w:szCs w:val="24"/>
              </w:rPr>
            </w:pPr>
            <w:r>
              <w:rPr>
                <w:rFonts w:cs="Arial"/>
                <w:b/>
                <w:noProof/>
                <w:szCs w:val="24"/>
              </w:rPr>
              <w:t>NON-CONFIDENTIAL</w:t>
            </w:r>
          </w:p>
        </w:tc>
      </w:tr>
      <w:tr w:rsidR="00534D0A" w:rsidTr="00534D0A">
        <w:trPr>
          <w:trHeight w:val="966"/>
        </w:trPr>
        <w:tc>
          <w:tcPr>
            <w:tcW w:w="7337" w:type="dxa"/>
          </w:tcPr>
          <w:p w:rsidR="00534D0A" w:rsidRPr="00534D0A" w:rsidRDefault="00534D0A" w:rsidP="00534D0A">
            <w:pPr>
              <w:rPr>
                <w:rFonts w:cs="Arial"/>
                <w:b/>
                <w:noProof/>
                <w:sz w:val="20"/>
                <w:szCs w:val="20"/>
              </w:rPr>
            </w:pPr>
          </w:p>
        </w:tc>
        <w:tc>
          <w:tcPr>
            <w:tcW w:w="2007" w:type="dxa"/>
          </w:tcPr>
          <w:p w:rsidR="00534D0A" w:rsidRPr="00534D0A" w:rsidRDefault="00534D0A" w:rsidP="00534D0A">
            <w:pPr>
              <w:rPr>
                <w:rFonts w:cs="Arial"/>
                <w:b/>
                <w:noProof/>
                <w:sz w:val="32"/>
                <w:szCs w:val="32"/>
              </w:rPr>
            </w:pPr>
            <w:r w:rsidRPr="00534D0A">
              <w:rPr>
                <w:rFonts w:cs="Arial"/>
                <w:b/>
                <w:noProof/>
                <w:sz w:val="32"/>
                <w:szCs w:val="32"/>
              </w:rPr>
              <w:t>NOTICE OF DECISION</w:t>
            </w:r>
          </w:p>
        </w:tc>
      </w:tr>
      <w:tr w:rsidR="00534D0A" w:rsidTr="00534D0A">
        <w:tc>
          <w:tcPr>
            <w:tcW w:w="7337" w:type="dxa"/>
            <w:tcBorders>
              <w:bottom w:val="single" w:sz="4" w:space="0" w:color="auto"/>
            </w:tcBorders>
          </w:tcPr>
          <w:p w:rsidR="00534D0A" w:rsidRDefault="00534D0A" w:rsidP="00534D0A">
            <w:pPr>
              <w:rPr>
                <w:rFonts w:cs="Arial"/>
                <w:b/>
                <w:noProof/>
                <w:szCs w:val="24"/>
              </w:rPr>
            </w:pPr>
          </w:p>
        </w:tc>
        <w:tc>
          <w:tcPr>
            <w:tcW w:w="2007" w:type="dxa"/>
            <w:tcBorders>
              <w:bottom w:val="single" w:sz="4" w:space="0" w:color="auto"/>
            </w:tcBorders>
          </w:tcPr>
          <w:p w:rsidR="00534D0A" w:rsidRDefault="00534D0A" w:rsidP="00534D0A">
            <w:pPr>
              <w:rPr>
                <w:rFonts w:cs="Arial"/>
                <w:b/>
                <w:noProof/>
                <w:szCs w:val="24"/>
              </w:rPr>
            </w:pPr>
            <w:r>
              <w:rPr>
                <w:rFonts w:cs="Arial"/>
                <w:b/>
                <w:noProof/>
                <w:szCs w:val="24"/>
              </w:rPr>
              <w:t>[00</w:t>
            </w:r>
            <w:r w:rsidR="00E76C48">
              <w:rPr>
                <w:rFonts w:cs="Arial"/>
                <w:b/>
                <w:noProof/>
                <w:szCs w:val="24"/>
              </w:rPr>
              <w:t>3</w:t>
            </w:r>
            <w:r>
              <w:rPr>
                <w:rFonts w:cs="Arial"/>
                <w:b/>
                <w:noProof/>
                <w:szCs w:val="24"/>
              </w:rPr>
              <w:t>/2023]</w:t>
            </w:r>
          </w:p>
        </w:tc>
      </w:tr>
    </w:tbl>
    <w:p w:rsidR="00D82B17" w:rsidRDefault="00534D0A" w:rsidP="00534D0A">
      <w:pPr>
        <w:rPr>
          <w:rFonts w:cs="Arial"/>
          <w:noProof/>
          <w:szCs w:val="24"/>
        </w:rPr>
      </w:pPr>
      <w:r>
        <w:rPr>
          <w:rFonts w:cs="Arial"/>
          <w:noProof/>
          <w:szCs w:val="24"/>
        </w:rPr>
        <w:t>Contact Officer: Mark Kenyon, Chief Finance Officer to the West Midlands Police and Crime Commissioner</w:t>
      </w:r>
    </w:p>
    <w:p w:rsidR="00534D0A" w:rsidRDefault="00534D0A" w:rsidP="00534D0A">
      <w:pPr>
        <w:rPr>
          <w:rFonts w:cs="Arial"/>
          <w:noProof/>
          <w:szCs w:val="24"/>
        </w:rPr>
      </w:pPr>
      <w:r>
        <w:rPr>
          <w:rFonts w:cs="Arial"/>
          <w:noProof/>
          <w:szCs w:val="24"/>
        </w:rPr>
        <w:t>Telephone Number: 0121 626 6060</w:t>
      </w:r>
    </w:p>
    <w:p w:rsidR="00534D0A" w:rsidRDefault="00534D0A" w:rsidP="00534D0A">
      <w:pPr>
        <w:rPr>
          <w:rFonts w:cs="Arial"/>
          <w:noProof/>
          <w:szCs w:val="24"/>
        </w:rPr>
      </w:pPr>
      <w:r>
        <w:rPr>
          <w:rFonts w:cs="Arial"/>
          <w:noProof/>
          <w:szCs w:val="24"/>
        </w:rPr>
        <w:t xml:space="preserve">Email: </w:t>
      </w:r>
      <w:hyperlink r:id="rId8" w:history="1">
        <w:r w:rsidRPr="00775C3F">
          <w:rPr>
            <w:rStyle w:val="Hyperlink"/>
            <w:rFonts w:cs="Arial"/>
            <w:noProof/>
            <w:szCs w:val="24"/>
          </w:rPr>
          <w:t>wmpcc@west-midlands.pnn.police.uk</w:t>
        </w:r>
      </w:hyperlink>
    </w:p>
    <w:p w:rsidR="00534D0A" w:rsidRDefault="00534D0A" w:rsidP="00534D0A">
      <w:pPr>
        <w:rPr>
          <w:rFonts w:cs="Arial"/>
          <w:b/>
          <w:noProof/>
          <w:szCs w:val="24"/>
        </w:rPr>
      </w:pPr>
      <w:r>
        <w:rPr>
          <w:rFonts w:cs="Arial"/>
          <w:b/>
          <w:noProof/>
          <w:szCs w:val="24"/>
        </w:rPr>
        <w:t xml:space="preserve">Title: 2023/24 Revenue Budget, Precept, Capital Programme 2023/24 to 2026/27 and Medium Term Financial Plan </w:t>
      </w:r>
      <w:r w:rsidR="0030403E">
        <w:rPr>
          <w:rFonts w:cs="Arial"/>
          <w:b/>
          <w:noProof/>
          <w:szCs w:val="24"/>
        </w:rPr>
        <w:t xml:space="preserve">(MTFP) </w:t>
      </w:r>
      <w:r>
        <w:rPr>
          <w:rFonts w:cs="Arial"/>
          <w:b/>
          <w:noProof/>
          <w:szCs w:val="24"/>
        </w:rPr>
        <w:t>to 2027/28</w:t>
      </w:r>
    </w:p>
    <w:p w:rsidR="006D7538" w:rsidRPr="00E37F0C" w:rsidRDefault="00FF487F" w:rsidP="00FF487F">
      <w:pPr>
        <w:pBdr>
          <w:bottom w:val="single" w:sz="4" w:space="1" w:color="auto"/>
        </w:pBdr>
        <w:rPr>
          <w:rFonts w:cs="Arial"/>
          <w:b/>
          <w:noProof/>
          <w:sz w:val="4"/>
          <w:szCs w:val="4"/>
        </w:rPr>
      </w:pPr>
      <w:r>
        <w:rPr>
          <w:rFonts w:cs="Arial"/>
          <w:b/>
          <w:noProof/>
          <w:szCs w:val="24"/>
        </w:rPr>
        <w:softHyphen/>
      </w:r>
      <w:r>
        <w:rPr>
          <w:rFonts w:cs="Arial"/>
          <w:b/>
          <w:noProof/>
          <w:szCs w:val="24"/>
        </w:rPr>
        <w:softHyphen/>
      </w:r>
      <w:r>
        <w:rPr>
          <w:rFonts w:cs="Arial"/>
          <w:b/>
          <w:noProof/>
          <w:szCs w:val="24"/>
        </w:rPr>
        <w:softHyphen/>
      </w:r>
      <w:r>
        <w:rPr>
          <w:rFonts w:cs="Arial"/>
          <w:b/>
          <w:noProof/>
          <w:szCs w:val="24"/>
        </w:rPr>
        <w:softHyphen/>
      </w:r>
      <w:r>
        <w:rPr>
          <w:rFonts w:cs="Arial"/>
          <w:b/>
          <w:noProof/>
          <w:szCs w:val="24"/>
        </w:rPr>
        <w:softHyphen/>
      </w:r>
      <w:r>
        <w:rPr>
          <w:rFonts w:cs="Arial"/>
          <w:b/>
          <w:noProof/>
          <w:szCs w:val="24"/>
        </w:rPr>
        <w:softHyphen/>
      </w:r>
    </w:p>
    <w:p w:rsidR="00FF487F" w:rsidRDefault="00FF487F" w:rsidP="00FF487F">
      <w:pPr>
        <w:pStyle w:val="Title"/>
      </w:pPr>
      <w:r>
        <w:t>Executive Summary</w:t>
      </w:r>
    </w:p>
    <w:p w:rsidR="00FF487F" w:rsidRDefault="00FF487F" w:rsidP="00FF487F">
      <w:r>
        <w:t>This report sets out the Police and Crime Commissioner’s 2023/24 Revenue Budget, Precept and Capital Programme for 2023/24 to 2026/27</w:t>
      </w:r>
      <w:r w:rsidR="0030403E">
        <w:t xml:space="preserve"> and MTFP to 2027/28</w:t>
      </w:r>
    </w:p>
    <w:p w:rsidR="00FF487F" w:rsidRDefault="00FF487F" w:rsidP="00FF487F">
      <w:pPr>
        <w:pStyle w:val="Title"/>
      </w:pPr>
      <w:r>
        <w:t>Decision</w:t>
      </w:r>
    </w:p>
    <w:p w:rsidR="00FF487F" w:rsidRDefault="00FF487F" w:rsidP="002631F6">
      <w:pPr>
        <w:pStyle w:val="NumPara2"/>
        <w:numPr>
          <w:ilvl w:val="0"/>
          <w:numId w:val="16"/>
        </w:numPr>
        <w:jc w:val="both"/>
      </w:pPr>
      <w:r>
        <w:t xml:space="preserve">That, for 2023/24, a total revenue expenditure level of </w:t>
      </w:r>
      <w:r w:rsidRPr="00EA197E">
        <w:rPr>
          <w:b/>
        </w:rPr>
        <w:t>£</w:t>
      </w:r>
      <w:r w:rsidR="005242FE">
        <w:rPr>
          <w:b/>
        </w:rPr>
        <w:t>709,125,200</w:t>
      </w:r>
      <w:r>
        <w:t xml:space="preserve"> be approved</w:t>
      </w:r>
      <w:r w:rsidR="00EA197E">
        <w:t>;</w:t>
      </w:r>
    </w:p>
    <w:p w:rsidR="00FF487F" w:rsidRDefault="00FF487F" w:rsidP="002631F6">
      <w:pPr>
        <w:pStyle w:val="NumPara2"/>
        <w:numPr>
          <w:ilvl w:val="0"/>
          <w:numId w:val="16"/>
        </w:numPr>
        <w:jc w:val="both"/>
      </w:pPr>
      <w:r>
        <w:t xml:space="preserve">That, net </w:t>
      </w:r>
      <w:r w:rsidR="00EA197E">
        <w:t>contributions</w:t>
      </w:r>
      <w:r>
        <w:t xml:space="preserve"> from Reserves to support the precept of </w:t>
      </w:r>
      <w:r w:rsidRPr="00EA197E">
        <w:rPr>
          <w:b/>
        </w:rPr>
        <w:t>£</w:t>
      </w:r>
      <w:r w:rsidR="00C33BA3">
        <w:rPr>
          <w:b/>
        </w:rPr>
        <w:t>10,752,700</w:t>
      </w:r>
      <w:r>
        <w:t xml:space="preserve"> be made in 2023/24</w:t>
      </w:r>
      <w:r w:rsidR="00EA197E">
        <w:t>;</w:t>
      </w:r>
    </w:p>
    <w:p w:rsidR="00FF487F" w:rsidRDefault="00FF487F" w:rsidP="002631F6">
      <w:pPr>
        <w:pStyle w:val="NumPara2"/>
        <w:numPr>
          <w:ilvl w:val="0"/>
          <w:numId w:val="16"/>
        </w:numPr>
        <w:jc w:val="both"/>
      </w:pPr>
      <w:r>
        <w:t xml:space="preserve">That, net budget requirement for 2023/24 of </w:t>
      </w:r>
      <w:r w:rsidRPr="00EA197E">
        <w:rPr>
          <w:b/>
        </w:rPr>
        <w:t>£</w:t>
      </w:r>
      <w:r w:rsidR="00C33BA3">
        <w:rPr>
          <w:b/>
        </w:rPr>
        <w:t>698,372,</w:t>
      </w:r>
      <w:r w:rsidR="005242FE">
        <w:rPr>
          <w:b/>
        </w:rPr>
        <w:t>5</w:t>
      </w:r>
      <w:r w:rsidR="00C33BA3">
        <w:rPr>
          <w:b/>
        </w:rPr>
        <w:t>00</w:t>
      </w:r>
      <w:r>
        <w:t xml:space="preserve"> be approved</w:t>
      </w:r>
      <w:r w:rsidR="00EA197E">
        <w:t>;</w:t>
      </w:r>
    </w:p>
    <w:p w:rsidR="00FF487F" w:rsidRDefault="00FF487F" w:rsidP="002631F6">
      <w:pPr>
        <w:pStyle w:val="NumPara2"/>
        <w:numPr>
          <w:ilvl w:val="0"/>
          <w:numId w:val="16"/>
        </w:numPr>
        <w:jc w:val="both"/>
      </w:pPr>
      <w:r>
        <w:t xml:space="preserve">That the Commissioner’s General Reserve remains at </w:t>
      </w:r>
      <w:r w:rsidRPr="00EA197E">
        <w:rPr>
          <w:b/>
        </w:rPr>
        <w:t>£12,042,000</w:t>
      </w:r>
      <w:r w:rsidR="00EA197E">
        <w:t>;</w:t>
      </w:r>
    </w:p>
    <w:p w:rsidR="00EA197E" w:rsidRDefault="00EA197E" w:rsidP="002631F6">
      <w:pPr>
        <w:pStyle w:val="NumPara2"/>
        <w:numPr>
          <w:ilvl w:val="0"/>
          <w:numId w:val="16"/>
        </w:numPr>
        <w:jc w:val="both"/>
      </w:pPr>
      <w:r>
        <w:t xml:space="preserve">That the capital programme as set out in </w:t>
      </w:r>
      <w:r w:rsidR="00B02C97">
        <w:rPr>
          <w:b/>
        </w:rPr>
        <w:t>S</w:t>
      </w:r>
      <w:r w:rsidR="005242FE" w:rsidRPr="005242FE">
        <w:rPr>
          <w:b/>
        </w:rPr>
        <w:t>ection 11</w:t>
      </w:r>
      <w:r>
        <w:t xml:space="preserve"> and </w:t>
      </w:r>
      <w:r w:rsidRPr="00EA197E">
        <w:rPr>
          <w:b/>
        </w:rPr>
        <w:t>Appendix 4</w:t>
      </w:r>
      <w:r>
        <w:t xml:space="preserve"> be approved.</w:t>
      </w:r>
    </w:p>
    <w:p w:rsidR="00FF487F" w:rsidRDefault="00FF487F" w:rsidP="002631F6">
      <w:pPr>
        <w:pStyle w:val="NumPara2"/>
        <w:numPr>
          <w:ilvl w:val="0"/>
          <w:numId w:val="16"/>
        </w:numPr>
        <w:jc w:val="both"/>
      </w:pPr>
      <w:r>
        <w:t xml:space="preserve">That the Band D precept for 2023/24 </w:t>
      </w:r>
      <w:r w:rsidR="00EA197E">
        <w:t xml:space="preserve">be set at </w:t>
      </w:r>
      <w:r w:rsidR="00EA197E" w:rsidRPr="00EA197E">
        <w:rPr>
          <w:b/>
        </w:rPr>
        <w:t>£202.55</w:t>
      </w:r>
      <w:r w:rsidR="00EA197E">
        <w:t xml:space="preserve"> </w:t>
      </w:r>
      <w:r w:rsidR="00F52139">
        <w:t>per annum</w:t>
      </w:r>
      <w:r w:rsidR="002C0BD0">
        <w:t>,</w:t>
      </w:r>
      <w:r w:rsidR="00F52139">
        <w:t xml:space="preserve"> </w:t>
      </w:r>
      <w:r w:rsidR="00EA197E">
        <w:t>an increase of £15 compared to 2022/23;</w:t>
      </w:r>
    </w:p>
    <w:p w:rsidR="00EA197E" w:rsidRDefault="00EA197E" w:rsidP="002631F6">
      <w:pPr>
        <w:pStyle w:val="NumPara2"/>
        <w:numPr>
          <w:ilvl w:val="0"/>
          <w:numId w:val="16"/>
        </w:numPr>
        <w:jc w:val="both"/>
      </w:pPr>
      <w:r>
        <w:t xml:space="preserve">That, a total precept on the District Councils of the West Midlands be approved and apportioned between such Districts, on the basis of relevant tax base as determined by the District Councils and set out in </w:t>
      </w:r>
      <w:r w:rsidRPr="00EA197E">
        <w:rPr>
          <w:b/>
        </w:rPr>
        <w:t xml:space="preserve">Appendix </w:t>
      </w:r>
      <w:r w:rsidR="00B67875">
        <w:rPr>
          <w:b/>
        </w:rPr>
        <w:t>5</w:t>
      </w:r>
      <w:r>
        <w:t>;</w:t>
      </w:r>
    </w:p>
    <w:p w:rsidR="00FF487F" w:rsidRDefault="00EA197E" w:rsidP="002631F6">
      <w:pPr>
        <w:pStyle w:val="NumPara2"/>
        <w:numPr>
          <w:ilvl w:val="0"/>
          <w:numId w:val="16"/>
        </w:numPr>
        <w:jc w:val="both"/>
      </w:pPr>
      <w:r>
        <w:t>That, District Councils be required to make payments on account of such precept upon them, by way of twelve equal instalments on or before the last banking day of each month, commencing in April 2023;</w:t>
      </w:r>
    </w:p>
    <w:p w:rsidR="00EA197E" w:rsidRDefault="00EA197E" w:rsidP="002631F6">
      <w:pPr>
        <w:pStyle w:val="NumPara2"/>
        <w:numPr>
          <w:ilvl w:val="0"/>
          <w:numId w:val="16"/>
        </w:numPr>
        <w:jc w:val="both"/>
      </w:pPr>
      <w:r>
        <w:t xml:space="preserve">The continued commitment </w:t>
      </w:r>
      <w:r w:rsidR="00B02C97">
        <w:t>t</w:t>
      </w:r>
      <w:r>
        <w:t>o maintain Community Safety Funding at 2022/23 levels;</w:t>
      </w:r>
    </w:p>
    <w:p w:rsidR="00EA197E" w:rsidRDefault="00EA197E" w:rsidP="002631F6">
      <w:pPr>
        <w:pStyle w:val="NumPara2"/>
        <w:numPr>
          <w:ilvl w:val="0"/>
          <w:numId w:val="16"/>
        </w:numPr>
        <w:jc w:val="both"/>
      </w:pPr>
      <w:r>
        <w:t xml:space="preserve">That, the Operational Budget for 2023/24 be delegated in accordance with the Scheme of Consent, as set out in </w:t>
      </w:r>
      <w:r w:rsidRPr="00EA197E">
        <w:rPr>
          <w:b/>
        </w:rPr>
        <w:t>Appendix 2</w:t>
      </w:r>
      <w:r>
        <w:t>;</w:t>
      </w:r>
    </w:p>
    <w:p w:rsidR="00EA197E" w:rsidRDefault="00EA197E" w:rsidP="002631F6">
      <w:pPr>
        <w:pStyle w:val="NumPara2"/>
        <w:numPr>
          <w:ilvl w:val="0"/>
          <w:numId w:val="16"/>
        </w:numPr>
        <w:jc w:val="both"/>
      </w:pPr>
      <w:r>
        <w:lastRenderedPageBreak/>
        <w:t xml:space="preserve">That the Police and Crime Commissioner’s budget be delegated to the Chief Executive in accordance with </w:t>
      </w:r>
      <w:r w:rsidR="000670B9">
        <w:rPr>
          <w:b/>
        </w:rPr>
        <w:t xml:space="preserve">Section </w:t>
      </w:r>
      <w:r w:rsidR="00B67875">
        <w:rPr>
          <w:b/>
        </w:rPr>
        <w:t>6</w:t>
      </w:r>
      <w:r>
        <w:t>;</w:t>
      </w:r>
    </w:p>
    <w:p w:rsidR="00EA197E" w:rsidRDefault="00EA197E" w:rsidP="002631F6">
      <w:pPr>
        <w:pStyle w:val="NumPara2"/>
        <w:numPr>
          <w:ilvl w:val="0"/>
          <w:numId w:val="16"/>
        </w:numPr>
        <w:jc w:val="both"/>
      </w:pPr>
      <w:r>
        <w:t>That the Medium-Term Financ</w:t>
      </w:r>
      <w:r w:rsidR="00B02C97">
        <w:t>ial</w:t>
      </w:r>
      <w:r>
        <w:t xml:space="preserve"> Plan to 2027/28 as set out in </w:t>
      </w:r>
      <w:r w:rsidR="000670B9">
        <w:rPr>
          <w:b/>
        </w:rPr>
        <w:t>Section 10</w:t>
      </w:r>
      <w:r>
        <w:t xml:space="preserve"> be noted;</w:t>
      </w:r>
    </w:p>
    <w:p w:rsidR="00EA197E" w:rsidRDefault="00EA197E" w:rsidP="002631F6">
      <w:pPr>
        <w:pStyle w:val="NumPara2"/>
        <w:numPr>
          <w:ilvl w:val="0"/>
          <w:numId w:val="16"/>
        </w:numPr>
        <w:jc w:val="both"/>
      </w:pPr>
      <w:r>
        <w:t xml:space="preserve">That the Capital Strategy 2023/24-2026/27 as set out in </w:t>
      </w:r>
      <w:r w:rsidRPr="00EA197E">
        <w:rPr>
          <w:b/>
        </w:rPr>
        <w:t>Appendix 3</w:t>
      </w:r>
      <w:r>
        <w:t xml:space="preserve"> be approved;</w:t>
      </w:r>
    </w:p>
    <w:p w:rsidR="00EA197E" w:rsidRDefault="00EA197E" w:rsidP="002631F6">
      <w:pPr>
        <w:pStyle w:val="NumPara2"/>
        <w:numPr>
          <w:ilvl w:val="0"/>
          <w:numId w:val="16"/>
        </w:numPr>
        <w:jc w:val="both"/>
      </w:pPr>
      <w:r>
        <w:t xml:space="preserve">That the Prudential Guidelines and Indicators set out in </w:t>
      </w:r>
      <w:r w:rsidRPr="00EA197E">
        <w:rPr>
          <w:b/>
        </w:rPr>
        <w:t xml:space="preserve">Appendix </w:t>
      </w:r>
      <w:r w:rsidR="00B67875">
        <w:rPr>
          <w:b/>
        </w:rPr>
        <w:t>7</w:t>
      </w:r>
      <w:r>
        <w:t xml:space="preserve"> be approved;</w:t>
      </w:r>
    </w:p>
    <w:p w:rsidR="00EA197E" w:rsidRDefault="00EA197E" w:rsidP="002631F6">
      <w:pPr>
        <w:pStyle w:val="NumPara2"/>
        <w:numPr>
          <w:ilvl w:val="0"/>
          <w:numId w:val="16"/>
        </w:numPr>
        <w:jc w:val="both"/>
      </w:pPr>
      <w:r>
        <w:t>That, the Chief Finance Officer (CFO) to the Commissioner be authorised to arrange the necessary financing for the Capital Programme, in accordance with the approved Treasury Management Strategy and the CIPFA Code of Treasury Management.</w:t>
      </w:r>
    </w:p>
    <w:p w:rsidR="00EA197E" w:rsidRDefault="00EA197E" w:rsidP="006854C7">
      <w:pPr>
        <w:pStyle w:val="NumPara2"/>
        <w:ind w:left="720"/>
      </w:pPr>
    </w:p>
    <w:p w:rsidR="00EA197E" w:rsidRDefault="00EA197E" w:rsidP="006854C7">
      <w:pPr>
        <w:pStyle w:val="NumPara2"/>
        <w:ind w:left="720"/>
      </w:pPr>
    </w:p>
    <w:p w:rsidR="00EA197E" w:rsidRPr="0030403E" w:rsidRDefault="00EA197E" w:rsidP="006854C7">
      <w:pPr>
        <w:pStyle w:val="NumPara2"/>
        <w:ind w:left="720"/>
        <w:rPr>
          <w:b/>
        </w:rPr>
      </w:pPr>
      <w:r w:rsidRPr="0030403E">
        <w:rPr>
          <w:b/>
        </w:rPr>
        <w:t>West Midlands Police and Crime Commissioner</w:t>
      </w:r>
    </w:p>
    <w:p w:rsidR="00EA197E" w:rsidRDefault="00EA197E" w:rsidP="006854C7">
      <w:pPr>
        <w:pStyle w:val="NumPara2"/>
        <w:ind w:left="720"/>
      </w:pPr>
      <w:r>
        <w:t>I confirm that I do not have any disclosable pecuniary interests in this decision and take the decision in compliance with the Code of Conduct for the Police and Crime Commissioner for the West Midlands.  Any interests are indicated below.</w:t>
      </w:r>
    </w:p>
    <w:p w:rsidR="0030403E" w:rsidRPr="0030403E" w:rsidRDefault="0030403E" w:rsidP="0030403E">
      <w:pPr>
        <w:pStyle w:val="NumHeading1"/>
        <w:numPr>
          <w:ilvl w:val="0"/>
          <w:numId w:val="0"/>
        </w:numPr>
      </w:pPr>
      <w:r>
        <w:rPr>
          <w:noProof/>
        </w:rPr>
        <w:drawing>
          <wp:anchor distT="0" distB="0" distL="114300" distR="114300" simplePos="0" relativeHeight="251658240" behindDoc="0" locked="0" layoutInCell="1" allowOverlap="1" wp14:editId="54267583">
            <wp:simplePos x="0" y="0"/>
            <wp:positionH relativeFrom="margin">
              <wp:posOffset>1384935</wp:posOffset>
            </wp:positionH>
            <wp:positionV relativeFrom="paragraph">
              <wp:posOffset>160655</wp:posOffset>
            </wp:positionV>
            <wp:extent cx="779780" cy="285750"/>
            <wp:effectExtent l="0" t="0" r="1270" b="0"/>
            <wp:wrapNone/>
            <wp:docPr id="5" name="Picture 5" descr="https://pcc.sp.wmpad.local/Templates/Signatures/Simon%20Foster%20Digital%20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cc.sp.wmpad.local/Templates/Signatures/Simon%20Foster%20Digital%20Signa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b="16064"/>
                    <a:stretch>
                      <a:fillRect/>
                    </a:stretch>
                  </pic:blipFill>
                  <pic:spPr bwMode="auto">
                    <a:xfrm>
                      <a:off x="0" y="0"/>
                      <a:ext cx="779780" cy="285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197E" w:rsidRDefault="00EA197E" w:rsidP="006854C7">
      <w:pPr>
        <w:pStyle w:val="NumPara2"/>
        <w:ind w:left="720"/>
      </w:pPr>
      <w:r>
        <w:t>Signature…………………………</w:t>
      </w:r>
    </w:p>
    <w:p w:rsidR="00EA197E" w:rsidRDefault="00EA197E" w:rsidP="006854C7">
      <w:pPr>
        <w:pStyle w:val="NumPara2"/>
        <w:ind w:left="720"/>
      </w:pPr>
    </w:p>
    <w:p w:rsidR="00EA197E" w:rsidRPr="00EA197E" w:rsidRDefault="00EA197E" w:rsidP="006854C7">
      <w:pPr>
        <w:pStyle w:val="NumPara2"/>
        <w:ind w:left="720"/>
      </w:pPr>
      <w:r>
        <w:t>Date…1</w:t>
      </w:r>
      <w:r w:rsidR="0030403E">
        <w:t>6</w:t>
      </w:r>
      <w:r>
        <w:t xml:space="preserve"> February 2023</w:t>
      </w:r>
    </w:p>
    <w:p w:rsidR="003E2364" w:rsidRDefault="003E2364">
      <w:pPr>
        <w:spacing w:after="200"/>
      </w:pPr>
    </w:p>
    <w:p w:rsidR="00FF487F" w:rsidRDefault="00FF487F">
      <w:pPr>
        <w:spacing w:after="200"/>
        <w:rPr>
          <w:rFonts w:cs="Arial"/>
          <w:b/>
          <w:sz w:val="32"/>
          <w:szCs w:val="32"/>
          <w:u w:val="single"/>
        </w:rPr>
      </w:pPr>
      <w:bookmarkStart w:id="0" w:name="_GoBack"/>
      <w:bookmarkEnd w:id="0"/>
      <w:r>
        <w:br w:type="page"/>
      </w:r>
    </w:p>
    <w:p w:rsidR="006D7538" w:rsidRPr="00EC2583" w:rsidRDefault="00EC2583" w:rsidP="00EC2583">
      <w:pPr>
        <w:pStyle w:val="Title"/>
        <w:rPr>
          <w:u w:val="none"/>
        </w:rPr>
      </w:pPr>
      <w:r w:rsidRPr="00EC2583">
        <w:rPr>
          <w:u w:val="none"/>
        </w:rPr>
        <w:lastRenderedPageBreak/>
        <w:t>Non-Confidential Facts and Advice to the Police and Crime Commissioner</w:t>
      </w:r>
    </w:p>
    <w:p w:rsidR="00B655FA" w:rsidRPr="00C50089" w:rsidRDefault="00251CEB" w:rsidP="002631F6">
      <w:pPr>
        <w:pStyle w:val="Heading1"/>
      </w:pPr>
      <w:r w:rsidRPr="00C50089">
        <w:t xml:space="preserve">Purpose </w:t>
      </w:r>
    </w:p>
    <w:p w:rsidR="00D52429" w:rsidRDefault="00EC2583" w:rsidP="00D6167B">
      <w:pPr>
        <w:pStyle w:val="Heading2"/>
        <w:ind w:left="426" w:hanging="426"/>
      </w:pPr>
      <w:r>
        <w:t xml:space="preserve">Following the meeting of the Police and Crime Panel on 6 February 2023, this </w:t>
      </w:r>
      <w:r w:rsidR="00B362CB">
        <w:t xml:space="preserve">  </w:t>
      </w:r>
      <w:r>
        <w:t>paper sets out the Police and Crime Commissioner’s 2023/24 Revenue Budget, Precept, Capital Programme for 2023/24-2026/27 and an update on the Medium-Term Financial Plan up to 2027/28</w:t>
      </w:r>
      <w:r w:rsidR="00D52429">
        <w:t>.</w:t>
      </w:r>
    </w:p>
    <w:p w:rsidR="00014044" w:rsidRDefault="00014044" w:rsidP="002631F6">
      <w:pPr>
        <w:pStyle w:val="Heading1"/>
      </w:pPr>
      <w:r>
        <w:t>Background</w:t>
      </w:r>
    </w:p>
    <w:p w:rsidR="00014044" w:rsidRDefault="00014044" w:rsidP="00D6167B">
      <w:pPr>
        <w:pStyle w:val="Heading2"/>
        <w:ind w:left="426" w:hanging="426"/>
      </w:pPr>
      <w:r>
        <w:t xml:space="preserve">This report follows the </w:t>
      </w:r>
      <w:r w:rsidR="0019507A">
        <w:t xml:space="preserve">Preliminary Revenue Budget and Capital Programme Proposal 2023/24 paper that was </w:t>
      </w:r>
      <w:r>
        <w:t xml:space="preserve">presented to the Panel at its meeting on </w:t>
      </w:r>
      <w:r w:rsidR="0019507A">
        <w:t xml:space="preserve">6 February 2023 and follows the </w:t>
      </w:r>
      <w:r>
        <w:t xml:space="preserve">Government </w:t>
      </w:r>
      <w:r w:rsidR="0019507A">
        <w:t>confirming the Police Funding Settlement for 2023/24 on the 31 January 2023</w:t>
      </w:r>
      <w:r w:rsidR="002C0BD0">
        <w:t>,</w:t>
      </w:r>
      <w:r w:rsidR="0019507A">
        <w:t xml:space="preserve"> a</w:t>
      </w:r>
      <w:r w:rsidR="00251998">
        <w:t>s per the provisional numbers.</w:t>
      </w:r>
    </w:p>
    <w:p w:rsidR="009A4047" w:rsidRDefault="009A4047" w:rsidP="002631F6">
      <w:pPr>
        <w:pStyle w:val="Heading1"/>
      </w:pPr>
      <w:r>
        <w:t xml:space="preserve">2023/24 </w:t>
      </w:r>
      <w:r w:rsidR="00251998">
        <w:t>Government</w:t>
      </w:r>
      <w:r>
        <w:t xml:space="preserve"> Grant Settlement</w:t>
      </w:r>
    </w:p>
    <w:p w:rsidR="00C809BE" w:rsidRDefault="009A4047" w:rsidP="00B362CB">
      <w:pPr>
        <w:pStyle w:val="Heading2"/>
      </w:pPr>
      <w:r>
        <w:t>The total grant settlement for the West Midlands in 2023/24 is £5</w:t>
      </w:r>
      <w:r w:rsidR="009840D6">
        <w:t>69.7</w:t>
      </w:r>
      <w:r>
        <w:t>m</w:t>
      </w:r>
      <w:r w:rsidR="00B66364">
        <w:t>,</w:t>
      </w:r>
      <w:r>
        <w:t xml:space="preserve"> which is an increase of £</w:t>
      </w:r>
      <w:r w:rsidR="009840D6">
        <w:t>10.3</w:t>
      </w:r>
      <w:r>
        <w:t>m on the 2022/23 Settlement.</w:t>
      </w:r>
      <w:r w:rsidR="00B66364">
        <w:t xml:space="preserve"> </w:t>
      </w:r>
      <w:r>
        <w:t xml:space="preserve">This is consistent with </w:t>
      </w:r>
      <w:r w:rsidR="00885FDC">
        <w:t xml:space="preserve">the Commissioner’s </w:t>
      </w:r>
      <w:r>
        <w:t xml:space="preserve">medium-term financial planning assumptions.  This additional grant </w:t>
      </w:r>
      <w:r w:rsidR="009840D6">
        <w:t xml:space="preserve">reflects the commitments made earlier this year to </w:t>
      </w:r>
      <w:r w:rsidR="00B66364">
        <w:t>maintaining</w:t>
      </w:r>
      <w:r w:rsidR="009840D6">
        <w:t xml:space="preserve"> the </w:t>
      </w:r>
      <w:r w:rsidR="00B66364">
        <w:t xml:space="preserve">police officer uplift programme and the </w:t>
      </w:r>
      <w:r w:rsidR="009840D6">
        <w:t xml:space="preserve">2022-23 </w:t>
      </w:r>
      <w:r w:rsidR="00B66364">
        <w:t xml:space="preserve">police </w:t>
      </w:r>
      <w:r w:rsidR="009840D6">
        <w:t>officer pay award</w:t>
      </w:r>
      <w:r w:rsidR="00B66364">
        <w:t>.</w:t>
      </w:r>
      <w:r w:rsidR="009840D6">
        <w:t xml:space="preserve"> </w:t>
      </w:r>
    </w:p>
    <w:p w:rsidR="009A4047" w:rsidRDefault="009A4047" w:rsidP="002631F6">
      <w:pPr>
        <w:pStyle w:val="Heading2"/>
      </w:pPr>
      <w:r>
        <w:t>The other main points to note from the settlement are as follows:</w:t>
      </w:r>
    </w:p>
    <w:p w:rsidR="009A4047" w:rsidRDefault="009A4047" w:rsidP="00D6167B">
      <w:pPr>
        <w:pStyle w:val="NumPara2"/>
        <w:numPr>
          <w:ilvl w:val="0"/>
          <w:numId w:val="3"/>
        </w:numPr>
        <w:ind w:left="851" w:hanging="284"/>
        <w:jc w:val="both"/>
      </w:pPr>
      <w:r>
        <w:t xml:space="preserve">The </w:t>
      </w:r>
      <w:r w:rsidR="00B362CB">
        <w:t>s</w:t>
      </w:r>
      <w:r>
        <w:t xml:space="preserve">ettlement includes the opportunity for PCC’s to raise their precept by up to £15 per year per Band D property in 2023/24.  </w:t>
      </w:r>
      <w:r w:rsidR="002A5598">
        <w:t xml:space="preserve">This is an increase of £5 on the £10 </w:t>
      </w:r>
      <w:r w:rsidR="00725B10">
        <w:t>announced</w:t>
      </w:r>
      <w:r w:rsidR="00B70FF6">
        <w:t xml:space="preserve"> as part of the </w:t>
      </w:r>
      <w:r w:rsidR="004313F1">
        <w:t>three-year</w:t>
      </w:r>
      <w:r w:rsidR="00B66364">
        <w:t xml:space="preserve"> </w:t>
      </w:r>
      <w:r w:rsidR="00B70FF6">
        <w:t xml:space="preserve">Spending Review </w:t>
      </w:r>
      <w:r w:rsidR="00B66364">
        <w:t xml:space="preserve">in </w:t>
      </w:r>
      <w:r w:rsidR="00B70FF6">
        <w:t>2021</w:t>
      </w:r>
      <w:r w:rsidR="00725B10">
        <w:t>.</w:t>
      </w:r>
    </w:p>
    <w:p w:rsidR="009A4047" w:rsidRDefault="009A4047" w:rsidP="00D6167B">
      <w:pPr>
        <w:pStyle w:val="NumPara2"/>
        <w:numPr>
          <w:ilvl w:val="0"/>
          <w:numId w:val="3"/>
        </w:numPr>
        <w:ind w:left="851" w:hanging="284"/>
        <w:jc w:val="both"/>
      </w:pPr>
      <w:r>
        <w:t xml:space="preserve">PCC’s are expected to pay for the </w:t>
      </w:r>
      <w:r w:rsidR="009840D6">
        <w:t xml:space="preserve">Police Staff 2022 pay award, along with </w:t>
      </w:r>
      <w:r>
        <w:t>2023 pay awards from the funding settlement.  This will be a significant cost to the police budget.</w:t>
      </w:r>
    </w:p>
    <w:p w:rsidR="009A4047" w:rsidRDefault="009A4047" w:rsidP="00D6167B">
      <w:pPr>
        <w:pStyle w:val="NumPara2"/>
        <w:numPr>
          <w:ilvl w:val="0"/>
          <w:numId w:val="3"/>
        </w:numPr>
        <w:ind w:left="851" w:hanging="284"/>
        <w:jc w:val="both"/>
      </w:pPr>
      <w:r>
        <w:t>Funding for the social care levy has been removed from core funding</w:t>
      </w:r>
      <w:r w:rsidR="00725B10">
        <w:t>,</w:t>
      </w:r>
      <w:r>
        <w:t xml:space="preserve"> due to the cessation of the increased contributions in November 2022.</w:t>
      </w:r>
    </w:p>
    <w:p w:rsidR="009A4047" w:rsidRDefault="009A4047" w:rsidP="00D6167B">
      <w:pPr>
        <w:pStyle w:val="NumPara2"/>
        <w:numPr>
          <w:ilvl w:val="0"/>
          <w:numId w:val="3"/>
        </w:numPr>
        <w:ind w:left="851" w:hanging="284"/>
        <w:jc w:val="both"/>
      </w:pPr>
      <w:r>
        <w:t>PCCs will also be required to fund other significant cost pressures.  These include increases in the cost of gas, electricity, fuel</w:t>
      </w:r>
      <w:r w:rsidR="0076357E">
        <w:t xml:space="preserve">, </w:t>
      </w:r>
      <w:r w:rsidR="00C06858">
        <w:t xml:space="preserve">and </w:t>
      </w:r>
      <w:r w:rsidR="0076357E">
        <w:t>general inflation</w:t>
      </w:r>
      <w:r w:rsidR="00C06858">
        <w:t>;</w:t>
      </w:r>
      <w:r w:rsidR="002A5598">
        <w:t xml:space="preserve"> currently at record levels</w:t>
      </w:r>
      <w:r w:rsidR="00B362CB">
        <w:t>.</w:t>
      </w:r>
    </w:p>
    <w:p w:rsidR="009A4047" w:rsidRDefault="009A4047" w:rsidP="00D6167B">
      <w:pPr>
        <w:pStyle w:val="NumPara2"/>
        <w:numPr>
          <w:ilvl w:val="0"/>
          <w:numId w:val="3"/>
        </w:numPr>
        <w:ind w:left="851" w:hanging="284"/>
        <w:jc w:val="both"/>
      </w:pPr>
      <w:r>
        <w:t>Continuation of the £7m pension grant</w:t>
      </w:r>
      <w:r w:rsidR="00725B10">
        <w:t>,</w:t>
      </w:r>
      <w:r>
        <w:t xml:space="preserve"> as a flat cash grant for 2023/24.</w:t>
      </w:r>
    </w:p>
    <w:p w:rsidR="002A5598" w:rsidRDefault="002A5598" w:rsidP="00D6167B">
      <w:pPr>
        <w:pStyle w:val="NumPara2"/>
        <w:numPr>
          <w:ilvl w:val="0"/>
          <w:numId w:val="3"/>
        </w:numPr>
        <w:ind w:left="851" w:hanging="284"/>
        <w:jc w:val="both"/>
      </w:pPr>
      <w:bookmarkStart w:id="1" w:name="_Hlk124842824"/>
      <w:r>
        <w:t xml:space="preserve">PCCs will </w:t>
      </w:r>
      <w:r w:rsidR="00893DE3">
        <w:t xml:space="preserve">have to </w:t>
      </w:r>
      <w:r>
        <w:t>demonstrat</w:t>
      </w:r>
      <w:r w:rsidR="00893DE3">
        <w:t>e</w:t>
      </w:r>
      <w:r>
        <w:t xml:space="preserve"> that they have maintained their overall headcount, comprised of their agreed Police Uplift baseline</w:t>
      </w:r>
      <w:r w:rsidR="00725B10">
        <w:t>,</w:t>
      </w:r>
      <w:r>
        <w:t xml:space="preserve"> plus their allocation of the 20,000 additional officers.  For West Midlands Police </w:t>
      </w:r>
      <w:r w:rsidR="00BD25ED">
        <w:t xml:space="preserve">(WMP) this </w:t>
      </w:r>
      <w:r>
        <w:t>equates to £16.8m</w:t>
      </w:r>
      <w:r w:rsidR="00725B10">
        <w:t xml:space="preserve"> in 2023/24</w:t>
      </w:r>
      <w:r>
        <w:t xml:space="preserve">, </w:t>
      </w:r>
      <w:r w:rsidR="00BD25ED">
        <w:t xml:space="preserve">which is conditional on WMP </w:t>
      </w:r>
      <w:r>
        <w:t>maintaining a headcount of 7,909.</w:t>
      </w:r>
    </w:p>
    <w:bookmarkEnd w:id="1"/>
    <w:p w:rsidR="00B70FF6" w:rsidRDefault="00B70FF6" w:rsidP="00D6167B">
      <w:pPr>
        <w:pStyle w:val="NumPara2"/>
        <w:numPr>
          <w:ilvl w:val="0"/>
          <w:numId w:val="3"/>
        </w:numPr>
        <w:ind w:left="851" w:hanging="284"/>
        <w:jc w:val="both"/>
      </w:pPr>
      <w:r w:rsidRPr="00B70FF6">
        <w:t>The Government expects the police to continue to build on the progress made on improving efficiency and productivity</w:t>
      </w:r>
      <w:r>
        <w:t>, expecting to see at least £100m of cashable efficiency savings by 2024/25. In 2021/22</w:t>
      </w:r>
      <w:r w:rsidR="00725B10">
        <w:t>,</w:t>
      </w:r>
      <w:r>
        <w:t xml:space="preserve"> policing made efficiency savings of almost £40m</w:t>
      </w:r>
      <w:r w:rsidR="00725B10">
        <w:t xml:space="preserve">, </w:t>
      </w:r>
      <w:r>
        <w:t xml:space="preserve">including cashable savings of £25m and non-cashable savings of </w:t>
      </w:r>
      <w:r>
        <w:lastRenderedPageBreak/>
        <w:t>£15m.  In addition, the National Police Chiefs’ Council has been commissioned to conduct a review of operational productivity in policing.</w:t>
      </w:r>
    </w:p>
    <w:p w:rsidR="00CD4F6A" w:rsidRDefault="00CD4F6A" w:rsidP="00D6167B">
      <w:pPr>
        <w:pStyle w:val="NumPara2"/>
        <w:numPr>
          <w:ilvl w:val="0"/>
          <w:numId w:val="3"/>
        </w:numPr>
        <w:ind w:left="851" w:hanging="284"/>
        <w:jc w:val="both"/>
      </w:pPr>
      <w:r>
        <w:t>For 2023/24</w:t>
      </w:r>
      <w:r w:rsidR="00885DE6">
        <w:t>,</w:t>
      </w:r>
      <w:r>
        <w:t xml:space="preserve"> the Government will maintain settlement funding for programmes that prevent crime and help keep communities safe, including:</w:t>
      </w:r>
    </w:p>
    <w:p w:rsidR="009A4047" w:rsidRDefault="00CD4F6A" w:rsidP="002631F6">
      <w:pPr>
        <w:pStyle w:val="NumPara2"/>
        <w:numPr>
          <w:ilvl w:val="1"/>
          <w:numId w:val="3"/>
        </w:numPr>
        <w:jc w:val="both"/>
      </w:pPr>
      <w:r>
        <w:t>Funding to combat serious violence, including Violence Reduction Units and Grip ‘hotspot policing’ programme.</w:t>
      </w:r>
    </w:p>
    <w:p w:rsidR="00CD4F6A" w:rsidRDefault="00CD4F6A" w:rsidP="002631F6">
      <w:pPr>
        <w:pStyle w:val="NumPara2"/>
        <w:numPr>
          <w:ilvl w:val="1"/>
          <w:numId w:val="3"/>
        </w:numPr>
        <w:jc w:val="both"/>
      </w:pPr>
      <w:r>
        <w:t>Delivering on the commitments made in the 10-year drug strategy</w:t>
      </w:r>
      <w:r w:rsidR="00885DE6">
        <w:t>,</w:t>
      </w:r>
      <w:r>
        <w:t xml:space="preserve"> by prioritising funding to clamp down on drugs and County Lines activity</w:t>
      </w:r>
      <w:r w:rsidR="00885DE6">
        <w:t>,</w:t>
      </w:r>
      <w:r>
        <w:t xml:space="preserve"> which has already achieved 2,900 county line closures since 2019.</w:t>
      </w:r>
    </w:p>
    <w:p w:rsidR="00CD4F6A" w:rsidRDefault="00CD4F6A" w:rsidP="002631F6">
      <w:pPr>
        <w:pStyle w:val="NumPara2"/>
        <w:numPr>
          <w:ilvl w:val="1"/>
          <w:numId w:val="3"/>
        </w:numPr>
        <w:jc w:val="both"/>
      </w:pPr>
      <w:r>
        <w:t>Continuing to invest in tackling exploitation and abuse, including child sexual exploitation and modern slavery.</w:t>
      </w:r>
    </w:p>
    <w:p w:rsidR="00CD4F6A" w:rsidRDefault="00CD4F6A" w:rsidP="002631F6">
      <w:pPr>
        <w:pStyle w:val="NumPara2"/>
        <w:numPr>
          <w:ilvl w:val="1"/>
          <w:numId w:val="3"/>
        </w:numPr>
        <w:jc w:val="both"/>
      </w:pPr>
      <w:r>
        <w:t>Prioritising Regional Organised Crime units, ensuring they are equipped with the specialist capabilities and dedicated resource needed to support law enforcement</w:t>
      </w:r>
      <w:r w:rsidR="00885DE6">
        <w:t>,</w:t>
      </w:r>
      <w:r>
        <w:t xml:space="preserve"> in confronting serious and organised crime.</w:t>
      </w:r>
    </w:p>
    <w:p w:rsidR="00251998" w:rsidRDefault="00251998" w:rsidP="002631F6">
      <w:pPr>
        <w:pStyle w:val="Heading1"/>
      </w:pPr>
      <w:r>
        <w:t>Balances and Reserves</w:t>
      </w:r>
    </w:p>
    <w:p w:rsidR="00251998" w:rsidRPr="00DA63CB" w:rsidRDefault="00251998" w:rsidP="002631F6">
      <w:pPr>
        <w:pStyle w:val="Heading2"/>
      </w:pPr>
      <w:r w:rsidRPr="00DA63CB">
        <w:t>The prudent use of reserves to support spending continues to be a key factor in the Medium-Term Financial Strategy.  The following table details the anticipated level of reserves at 31</w:t>
      </w:r>
      <w:r>
        <w:t xml:space="preserve"> </w:t>
      </w:r>
      <w:r w:rsidRPr="00DA63CB">
        <w:t>March 2023 and the estimated level of reserves by 31</w:t>
      </w:r>
      <w:r>
        <w:t xml:space="preserve"> </w:t>
      </w:r>
      <w:r w:rsidRPr="00DA63CB">
        <w:t>March 2024, as per the plans outline</w:t>
      </w:r>
      <w:r>
        <w:t>d</w:t>
      </w:r>
      <w:r w:rsidRPr="00DA63CB">
        <w:t xml:space="preserve"> within this budget report.</w:t>
      </w:r>
    </w:p>
    <w:p w:rsidR="000670B9" w:rsidRDefault="000670B9">
      <w:r>
        <w:rPr>
          <w:b/>
          <w:bCs/>
        </w:rPr>
        <w:br w:type="page"/>
      </w:r>
    </w:p>
    <w:tbl>
      <w:tblPr>
        <w:tblStyle w:val="GridTable4-Accent1"/>
        <w:tblW w:w="9218" w:type="dxa"/>
        <w:tblInd w:w="421" w:type="dxa"/>
        <w:tblLayout w:type="fixed"/>
        <w:tblLook w:val="04A0" w:firstRow="1" w:lastRow="0" w:firstColumn="1" w:lastColumn="0" w:noHBand="0" w:noVBand="1"/>
      </w:tblPr>
      <w:tblGrid>
        <w:gridCol w:w="4115"/>
        <w:gridCol w:w="1413"/>
        <w:gridCol w:w="1843"/>
        <w:gridCol w:w="1847"/>
      </w:tblGrid>
      <w:tr w:rsidR="00251998" w:rsidRPr="00DA63CB" w:rsidTr="00830681">
        <w:trPr>
          <w:cnfStyle w:val="100000000000" w:firstRow="1" w:lastRow="0" w:firstColumn="0" w:lastColumn="0" w:oddVBand="0" w:evenVBand="0" w:oddHBand="0" w:evenHBand="0" w:firstRowFirstColumn="0" w:firstRowLastColumn="0" w:lastRowFirstColumn="0" w:lastRowLastColumn="0"/>
          <w:trHeight w:val="1548"/>
        </w:trPr>
        <w:tc>
          <w:tcPr>
            <w:cnfStyle w:val="001000000000" w:firstRow="0" w:lastRow="0" w:firstColumn="1" w:lastColumn="0" w:oddVBand="0" w:evenVBand="0" w:oddHBand="0" w:evenHBand="0" w:firstRowFirstColumn="0" w:firstRowLastColumn="0" w:lastRowFirstColumn="0" w:lastRowLastColumn="0"/>
            <w:tcW w:w="4115" w:type="dxa"/>
          </w:tcPr>
          <w:p w:rsidR="00251998" w:rsidRPr="00DA63CB" w:rsidRDefault="00251998" w:rsidP="00475DB8">
            <w:pPr>
              <w:spacing w:after="200"/>
              <w:rPr>
                <w:rFonts w:eastAsia="Times New Roman" w:cs="Times New Roman"/>
                <w:color w:val="auto"/>
              </w:rPr>
            </w:pPr>
            <w:r>
              <w:rPr>
                <w:highlight w:val="yellow"/>
              </w:rPr>
              <w:lastRenderedPageBreak/>
              <w:br w:type="page"/>
            </w:r>
            <w:r w:rsidRPr="00DA63CB">
              <w:rPr>
                <w:rFonts w:eastAsia="Times New Roman" w:cs="Times New Roman"/>
                <w:color w:val="auto"/>
              </w:rPr>
              <w:t>Reserves</w:t>
            </w:r>
          </w:p>
        </w:tc>
        <w:tc>
          <w:tcPr>
            <w:tcW w:w="1413" w:type="dxa"/>
          </w:tcPr>
          <w:p w:rsidR="00251998" w:rsidRPr="00DA63CB" w:rsidRDefault="00251998" w:rsidP="00475DB8">
            <w:pPr>
              <w:spacing w:after="200"/>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rPr>
            </w:pPr>
            <w:r>
              <w:rPr>
                <w:rFonts w:eastAsia="Times New Roman" w:cs="Times New Roman"/>
                <w:color w:val="auto"/>
              </w:rPr>
              <w:t>31</w:t>
            </w:r>
            <w:r w:rsidRPr="00DA63CB">
              <w:rPr>
                <w:rFonts w:eastAsia="Times New Roman" w:cs="Times New Roman"/>
                <w:color w:val="auto"/>
                <w:vertAlign w:val="superscript"/>
              </w:rPr>
              <w:t>st</w:t>
            </w:r>
            <w:r>
              <w:rPr>
                <w:rFonts w:eastAsia="Times New Roman" w:cs="Times New Roman"/>
                <w:color w:val="auto"/>
              </w:rPr>
              <w:t xml:space="preserve"> March 2023 (Forecast Balance) £,000</w:t>
            </w:r>
          </w:p>
        </w:tc>
        <w:tc>
          <w:tcPr>
            <w:tcW w:w="1843" w:type="dxa"/>
          </w:tcPr>
          <w:p w:rsidR="00251998" w:rsidRPr="00DA63CB" w:rsidRDefault="00251998" w:rsidP="00475DB8">
            <w:pPr>
              <w:spacing w:after="200"/>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rPr>
            </w:pPr>
            <w:r>
              <w:rPr>
                <w:rFonts w:eastAsia="Times New Roman" w:cs="Times New Roman"/>
                <w:color w:val="auto"/>
              </w:rPr>
              <w:t>2023/24 Planned Movement in Reserves</w:t>
            </w:r>
            <w:r>
              <w:rPr>
                <w:rFonts w:eastAsia="Times New Roman" w:cs="Times New Roman"/>
                <w:color w:val="auto"/>
              </w:rPr>
              <w:br/>
              <w:t>£,000</w:t>
            </w:r>
          </w:p>
        </w:tc>
        <w:tc>
          <w:tcPr>
            <w:tcW w:w="1847" w:type="dxa"/>
          </w:tcPr>
          <w:p w:rsidR="00251998" w:rsidRPr="00DA63CB" w:rsidRDefault="00251998" w:rsidP="00475DB8">
            <w:pPr>
              <w:spacing w:after="200"/>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rPr>
            </w:pPr>
            <w:r>
              <w:rPr>
                <w:rFonts w:eastAsia="Times New Roman" w:cs="Times New Roman"/>
                <w:color w:val="auto"/>
              </w:rPr>
              <w:t>31</w:t>
            </w:r>
            <w:r w:rsidRPr="00DA63CB">
              <w:rPr>
                <w:rFonts w:eastAsia="Times New Roman" w:cs="Times New Roman"/>
                <w:color w:val="auto"/>
                <w:vertAlign w:val="superscript"/>
              </w:rPr>
              <w:t>st</w:t>
            </w:r>
            <w:r>
              <w:rPr>
                <w:rFonts w:eastAsia="Times New Roman" w:cs="Times New Roman"/>
                <w:color w:val="auto"/>
              </w:rPr>
              <w:t xml:space="preserve"> March 2024 (Forecast Balance) £,000</w:t>
            </w:r>
          </w:p>
        </w:tc>
      </w:tr>
      <w:tr w:rsidR="00251998" w:rsidRPr="00DA63CB" w:rsidTr="00830681">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115" w:type="dxa"/>
          </w:tcPr>
          <w:p w:rsidR="00251998" w:rsidRPr="00DA63CB" w:rsidRDefault="00251998" w:rsidP="00475DB8">
            <w:pPr>
              <w:spacing w:after="200"/>
              <w:rPr>
                <w:rFonts w:eastAsia="Times New Roman" w:cs="Times New Roman"/>
              </w:rPr>
            </w:pPr>
            <w:r>
              <w:rPr>
                <w:rFonts w:eastAsia="Times New Roman" w:cs="Times New Roman"/>
              </w:rPr>
              <w:t>Operational Reserves</w:t>
            </w:r>
          </w:p>
        </w:tc>
        <w:tc>
          <w:tcPr>
            <w:tcW w:w="1413" w:type="dxa"/>
          </w:tcPr>
          <w:p w:rsidR="00251998" w:rsidRPr="00DA63CB" w:rsidRDefault="00251998" w:rsidP="00475DB8">
            <w:pPr>
              <w:spacing w:after="200"/>
              <w:jc w:val="right"/>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c>
          <w:tcPr>
            <w:tcW w:w="1843" w:type="dxa"/>
          </w:tcPr>
          <w:p w:rsidR="00251998" w:rsidRPr="00DA63CB" w:rsidRDefault="00251998" w:rsidP="00475DB8">
            <w:pPr>
              <w:spacing w:after="200"/>
              <w:jc w:val="right"/>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c>
          <w:tcPr>
            <w:tcW w:w="1847" w:type="dxa"/>
          </w:tcPr>
          <w:p w:rsidR="00251998" w:rsidRPr="00DA63CB" w:rsidRDefault="00251998" w:rsidP="00475DB8">
            <w:pPr>
              <w:spacing w:after="200"/>
              <w:jc w:val="right"/>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r>
      <w:tr w:rsidR="00251998" w:rsidRPr="00DA63CB" w:rsidTr="00830681">
        <w:tc>
          <w:tcPr>
            <w:cnfStyle w:val="001000000000" w:firstRow="0" w:lastRow="0" w:firstColumn="1" w:lastColumn="0" w:oddVBand="0" w:evenVBand="0" w:oddHBand="0" w:evenHBand="0" w:firstRowFirstColumn="0" w:firstRowLastColumn="0" w:lastRowFirstColumn="0" w:lastRowLastColumn="0"/>
            <w:tcW w:w="4115" w:type="dxa"/>
          </w:tcPr>
          <w:p w:rsidR="00251998" w:rsidRPr="00DA63CB" w:rsidRDefault="00251998" w:rsidP="00475DB8">
            <w:pPr>
              <w:spacing w:after="200"/>
              <w:rPr>
                <w:rFonts w:eastAsia="Times New Roman" w:cs="Times New Roman"/>
                <w:b w:val="0"/>
              </w:rPr>
            </w:pPr>
            <w:r w:rsidRPr="00DA63CB">
              <w:rPr>
                <w:rFonts w:eastAsia="Times New Roman" w:cs="Times New Roman"/>
                <w:b w:val="0"/>
              </w:rPr>
              <w:t>Regional / National Teams Reserve</w:t>
            </w:r>
          </w:p>
        </w:tc>
        <w:tc>
          <w:tcPr>
            <w:tcW w:w="1413" w:type="dxa"/>
          </w:tcPr>
          <w:p w:rsidR="00251998" w:rsidRPr="00DA63CB" w:rsidRDefault="00251998" w:rsidP="00475DB8">
            <w:pPr>
              <w:spacing w:after="200"/>
              <w:jc w:val="right"/>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3,317</w:t>
            </w:r>
          </w:p>
        </w:tc>
        <w:tc>
          <w:tcPr>
            <w:tcW w:w="1843" w:type="dxa"/>
          </w:tcPr>
          <w:p w:rsidR="00251998" w:rsidRPr="00DA63CB" w:rsidRDefault="00251998" w:rsidP="00475DB8">
            <w:pPr>
              <w:spacing w:after="200"/>
              <w:jc w:val="right"/>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-78</w:t>
            </w:r>
          </w:p>
        </w:tc>
        <w:tc>
          <w:tcPr>
            <w:tcW w:w="1847" w:type="dxa"/>
          </w:tcPr>
          <w:p w:rsidR="00251998" w:rsidRPr="00DA63CB" w:rsidRDefault="00251998" w:rsidP="00475DB8">
            <w:pPr>
              <w:spacing w:after="200"/>
              <w:jc w:val="right"/>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3,239</w:t>
            </w:r>
          </w:p>
        </w:tc>
      </w:tr>
      <w:tr w:rsidR="00251998" w:rsidRPr="00DA63CB" w:rsidTr="0083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5" w:type="dxa"/>
          </w:tcPr>
          <w:p w:rsidR="00251998" w:rsidRPr="00DA63CB" w:rsidRDefault="00251998" w:rsidP="00475DB8">
            <w:pPr>
              <w:spacing w:after="200"/>
              <w:rPr>
                <w:rFonts w:eastAsia="Times New Roman" w:cs="Times New Roman"/>
                <w:b w:val="0"/>
              </w:rPr>
            </w:pPr>
            <w:r w:rsidRPr="00DA63CB">
              <w:rPr>
                <w:rFonts w:eastAsia="Times New Roman" w:cs="Times New Roman"/>
                <w:b w:val="0"/>
              </w:rPr>
              <w:t>Budget Reserve</w:t>
            </w:r>
          </w:p>
        </w:tc>
        <w:tc>
          <w:tcPr>
            <w:tcW w:w="1413" w:type="dxa"/>
          </w:tcPr>
          <w:p w:rsidR="00251998" w:rsidRPr="00DA63CB" w:rsidRDefault="00251998" w:rsidP="00475DB8">
            <w:pPr>
              <w:spacing w:after="200"/>
              <w:jc w:val="right"/>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15,409</w:t>
            </w:r>
          </w:p>
        </w:tc>
        <w:tc>
          <w:tcPr>
            <w:tcW w:w="1843" w:type="dxa"/>
          </w:tcPr>
          <w:p w:rsidR="00251998" w:rsidRPr="00DA63CB" w:rsidRDefault="00251998" w:rsidP="00475DB8">
            <w:pPr>
              <w:spacing w:after="200"/>
              <w:jc w:val="right"/>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-5,600</w:t>
            </w:r>
          </w:p>
        </w:tc>
        <w:tc>
          <w:tcPr>
            <w:tcW w:w="1847" w:type="dxa"/>
          </w:tcPr>
          <w:p w:rsidR="00251998" w:rsidRPr="00DA63CB" w:rsidRDefault="00251998" w:rsidP="00475DB8">
            <w:pPr>
              <w:spacing w:after="200"/>
              <w:jc w:val="right"/>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9,809</w:t>
            </w:r>
          </w:p>
        </w:tc>
      </w:tr>
      <w:tr w:rsidR="00251998" w:rsidRPr="00DA63CB" w:rsidTr="00830681">
        <w:tc>
          <w:tcPr>
            <w:cnfStyle w:val="001000000000" w:firstRow="0" w:lastRow="0" w:firstColumn="1" w:lastColumn="0" w:oddVBand="0" w:evenVBand="0" w:oddHBand="0" w:evenHBand="0" w:firstRowFirstColumn="0" w:firstRowLastColumn="0" w:lastRowFirstColumn="0" w:lastRowLastColumn="0"/>
            <w:tcW w:w="4115" w:type="dxa"/>
          </w:tcPr>
          <w:p w:rsidR="00251998" w:rsidRPr="00DA63CB" w:rsidRDefault="00251998" w:rsidP="00475DB8">
            <w:pPr>
              <w:spacing w:after="200"/>
              <w:rPr>
                <w:rFonts w:eastAsia="Times New Roman" w:cs="Times New Roman"/>
                <w:b w:val="0"/>
              </w:rPr>
            </w:pPr>
            <w:r w:rsidRPr="00DA63CB">
              <w:rPr>
                <w:rFonts w:eastAsia="Times New Roman" w:cs="Times New Roman"/>
                <w:b w:val="0"/>
              </w:rPr>
              <w:t>Estates Strategy Reserve</w:t>
            </w:r>
          </w:p>
        </w:tc>
        <w:tc>
          <w:tcPr>
            <w:tcW w:w="1413" w:type="dxa"/>
          </w:tcPr>
          <w:p w:rsidR="00251998" w:rsidRPr="00DA63CB" w:rsidRDefault="00251998" w:rsidP="00475DB8">
            <w:pPr>
              <w:spacing w:after="200"/>
              <w:jc w:val="right"/>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10,681</w:t>
            </w:r>
          </w:p>
        </w:tc>
        <w:tc>
          <w:tcPr>
            <w:tcW w:w="1843" w:type="dxa"/>
          </w:tcPr>
          <w:p w:rsidR="00251998" w:rsidRPr="00DA63CB" w:rsidRDefault="00251998" w:rsidP="00475DB8">
            <w:pPr>
              <w:spacing w:after="200"/>
              <w:jc w:val="right"/>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-1,247</w:t>
            </w:r>
          </w:p>
        </w:tc>
        <w:tc>
          <w:tcPr>
            <w:tcW w:w="1847" w:type="dxa"/>
          </w:tcPr>
          <w:p w:rsidR="00251998" w:rsidRPr="00DA63CB" w:rsidRDefault="00251998" w:rsidP="00475DB8">
            <w:pPr>
              <w:spacing w:after="200"/>
              <w:jc w:val="right"/>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9,434</w:t>
            </w:r>
          </w:p>
        </w:tc>
      </w:tr>
      <w:tr w:rsidR="00251998" w:rsidRPr="00DA63CB" w:rsidTr="0083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5" w:type="dxa"/>
          </w:tcPr>
          <w:p w:rsidR="00251998" w:rsidRPr="00DA63CB" w:rsidRDefault="00251998" w:rsidP="00475DB8">
            <w:pPr>
              <w:spacing w:after="200"/>
              <w:rPr>
                <w:rFonts w:eastAsia="Times New Roman" w:cs="Times New Roman"/>
                <w:b w:val="0"/>
              </w:rPr>
            </w:pPr>
            <w:r>
              <w:rPr>
                <w:rFonts w:eastAsia="Times New Roman" w:cs="Times New Roman"/>
                <w:b w:val="0"/>
              </w:rPr>
              <w:t>Change Programme</w:t>
            </w:r>
          </w:p>
        </w:tc>
        <w:tc>
          <w:tcPr>
            <w:tcW w:w="1413" w:type="dxa"/>
          </w:tcPr>
          <w:p w:rsidR="00251998" w:rsidRDefault="00251998" w:rsidP="00475DB8">
            <w:pPr>
              <w:spacing w:after="200"/>
              <w:jc w:val="right"/>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2,393</w:t>
            </w:r>
          </w:p>
        </w:tc>
        <w:tc>
          <w:tcPr>
            <w:tcW w:w="1843" w:type="dxa"/>
          </w:tcPr>
          <w:p w:rsidR="00251998" w:rsidRDefault="00251998" w:rsidP="00475DB8">
            <w:pPr>
              <w:spacing w:after="200"/>
              <w:jc w:val="right"/>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0</w:t>
            </w:r>
          </w:p>
        </w:tc>
        <w:tc>
          <w:tcPr>
            <w:tcW w:w="1847" w:type="dxa"/>
          </w:tcPr>
          <w:p w:rsidR="00251998" w:rsidRDefault="00251998" w:rsidP="00475DB8">
            <w:pPr>
              <w:spacing w:after="200"/>
              <w:jc w:val="right"/>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2,393</w:t>
            </w:r>
          </w:p>
        </w:tc>
      </w:tr>
      <w:tr w:rsidR="00251998" w:rsidRPr="00DA63CB" w:rsidTr="00830681">
        <w:tc>
          <w:tcPr>
            <w:cnfStyle w:val="001000000000" w:firstRow="0" w:lastRow="0" w:firstColumn="1" w:lastColumn="0" w:oddVBand="0" w:evenVBand="0" w:oddHBand="0" w:evenHBand="0" w:firstRowFirstColumn="0" w:firstRowLastColumn="0" w:lastRowFirstColumn="0" w:lastRowLastColumn="0"/>
            <w:tcW w:w="4115" w:type="dxa"/>
          </w:tcPr>
          <w:p w:rsidR="00251998" w:rsidRPr="00DA63CB" w:rsidRDefault="00251998" w:rsidP="00475DB8">
            <w:pPr>
              <w:spacing w:after="200"/>
              <w:rPr>
                <w:rFonts w:eastAsia="Times New Roman" w:cs="Times New Roman"/>
              </w:rPr>
            </w:pPr>
            <w:r>
              <w:rPr>
                <w:rFonts w:eastAsia="Times New Roman" w:cs="Times New Roman"/>
              </w:rPr>
              <w:t>Other Reserves</w:t>
            </w:r>
          </w:p>
        </w:tc>
        <w:tc>
          <w:tcPr>
            <w:tcW w:w="1413" w:type="dxa"/>
          </w:tcPr>
          <w:p w:rsidR="00251998" w:rsidRPr="00DA63CB" w:rsidRDefault="00251998" w:rsidP="00475DB8">
            <w:pPr>
              <w:spacing w:after="200"/>
              <w:jc w:val="right"/>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c>
          <w:tcPr>
            <w:tcW w:w="1843" w:type="dxa"/>
          </w:tcPr>
          <w:p w:rsidR="00251998" w:rsidRPr="00DA63CB" w:rsidRDefault="00251998" w:rsidP="00475DB8">
            <w:pPr>
              <w:spacing w:after="200"/>
              <w:jc w:val="right"/>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c>
          <w:tcPr>
            <w:tcW w:w="1847" w:type="dxa"/>
          </w:tcPr>
          <w:p w:rsidR="00251998" w:rsidRPr="00DA63CB" w:rsidRDefault="00251998" w:rsidP="00475DB8">
            <w:pPr>
              <w:spacing w:after="200"/>
              <w:jc w:val="right"/>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00251998" w:rsidRPr="00DA63CB" w:rsidTr="0083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5" w:type="dxa"/>
          </w:tcPr>
          <w:p w:rsidR="00251998" w:rsidRPr="00DA63CB" w:rsidRDefault="00251998" w:rsidP="00475DB8">
            <w:pPr>
              <w:spacing w:after="200"/>
              <w:rPr>
                <w:rFonts w:eastAsia="Times New Roman" w:cs="Times New Roman"/>
                <w:b w:val="0"/>
                <w:bCs w:val="0"/>
              </w:rPr>
            </w:pPr>
            <w:r w:rsidRPr="00DA63CB">
              <w:rPr>
                <w:rFonts w:eastAsia="Times New Roman" w:cs="Times New Roman"/>
                <w:b w:val="0"/>
              </w:rPr>
              <w:t>Uniform and Equipment Reserve</w:t>
            </w:r>
          </w:p>
        </w:tc>
        <w:tc>
          <w:tcPr>
            <w:tcW w:w="1413" w:type="dxa"/>
          </w:tcPr>
          <w:p w:rsidR="00251998" w:rsidRPr="00DA63CB" w:rsidRDefault="00251998" w:rsidP="00475DB8">
            <w:pPr>
              <w:spacing w:after="200"/>
              <w:jc w:val="right"/>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6,730</w:t>
            </w:r>
          </w:p>
        </w:tc>
        <w:tc>
          <w:tcPr>
            <w:tcW w:w="1843" w:type="dxa"/>
          </w:tcPr>
          <w:p w:rsidR="00251998" w:rsidRPr="00DA63CB" w:rsidRDefault="00251998" w:rsidP="00475DB8">
            <w:pPr>
              <w:spacing w:after="200"/>
              <w:jc w:val="right"/>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-3,678</w:t>
            </w:r>
          </w:p>
        </w:tc>
        <w:tc>
          <w:tcPr>
            <w:tcW w:w="1847" w:type="dxa"/>
          </w:tcPr>
          <w:p w:rsidR="00251998" w:rsidRPr="00DA63CB" w:rsidRDefault="00251998" w:rsidP="00475DB8">
            <w:pPr>
              <w:spacing w:after="200"/>
              <w:jc w:val="right"/>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3,052</w:t>
            </w:r>
          </w:p>
        </w:tc>
      </w:tr>
      <w:tr w:rsidR="00251998" w:rsidRPr="00DA63CB" w:rsidTr="00830681">
        <w:tc>
          <w:tcPr>
            <w:cnfStyle w:val="001000000000" w:firstRow="0" w:lastRow="0" w:firstColumn="1" w:lastColumn="0" w:oddVBand="0" w:evenVBand="0" w:oddHBand="0" w:evenHBand="0" w:firstRowFirstColumn="0" w:firstRowLastColumn="0" w:lastRowFirstColumn="0" w:lastRowLastColumn="0"/>
            <w:tcW w:w="4115" w:type="dxa"/>
          </w:tcPr>
          <w:p w:rsidR="00251998" w:rsidRPr="00DA63CB" w:rsidRDefault="00251998" w:rsidP="00475DB8">
            <w:pPr>
              <w:spacing w:after="200"/>
              <w:rPr>
                <w:rFonts w:eastAsia="Times New Roman" w:cs="Times New Roman"/>
                <w:b w:val="0"/>
              </w:rPr>
            </w:pPr>
            <w:r w:rsidRPr="00DA63CB">
              <w:rPr>
                <w:rFonts w:eastAsia="Times New Roman" w:cs="Times New Roman"/>
                <w:b w:val="0"/>
              </w:rPr>
              <w:t>Drug Squad / PPA Reserve</w:t>
            </w:r>
          </w:p>
        </w:tc>
        <w:tc>
          <w:tcPr>
            <w:tcW w:w="1413" w:type="dxa"/>
          </w:tcPr>
          <w:p w:rsidR="00251998" w:rsidRPr="00DA63CB" w:rsidRDefault="00251998" w:rsidP="00475DB8">
            <w:pPr>
              <w:spacing w:after="200"/>
              <w:jc w:val="right"/>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1,547</w:t>
            </w:r>
          </w:p>
        </w:tc>
        <w:tc>
          <w:tcPr>
            <w:tcW w:w="1843" w:type="dxa"/>
          </w:tcPr>
          <w:p w:rsidR="00251998" w:rsidRPr="00DA63CB" w:rsidRDefault="00251998" w:rsidP="00475DB8">
            <w:pPr>
              <w:spacing w:after="200"/>
              <w:jc w:val="right"/>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-400</w:t>
            </w:r>
          </w:p>
        </w:tc>
        <w:tc>
          <w:tcPr>
            <w:tcW w:w="1847" w:type="dxa"/>
          </w:tcPr>
          <w:p w:rsidR="00251998" w:rsidRPr="00DA63CB" w:rsidRDefault="00251998" w:rsidP="00475DB8">
            <w:pPr>
              <w:spacing w:after="200"/>
              <w:jc w:val="right"/>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1,147</w:t>
            </w:r>
          </w:p>
        </w:tc>
      </w:tr>
      <w:tr w:rsidR="00251998" w:rsidRPr="00DA63CB" w:rsidTr="0083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5" w:type="dxa"/>
          </w:tcPr>
          <w:p w:rsidR="00251998" w:rsidRPr="00DA63CB" w:rsidRDefault="00251998" w:rsidP="00475DB8">
            <w:pPr>
              <w:spacing w:after="200"/>
              <w:rPr>
                <w:rFonts w:eastAsia="Times New Roman" w:cs="Times New Roman"/>
                <w:b w:val="0"/>
              </w:rPr>
            </w:pPr>
            <w:r w:rsidRPr="00DA63CB">
              <w:rPr>
                <w:rFonts w:eastAsia="Times New Roman" w:cs="Times New Roman"/>
                <w:b w:val="0"/>
              </w:rPr>
              <w:t>National Contingency Reserve</w:t>
            </w:r>
          </w:p>
        </w:tc>
        <w:tc>
          <w:tcPr>
            <w:tcW w:w="1413" w:type="dxa"/>
          </w:tcPr>
          <w:p w:rsidR="00251998" w:rsidRPr="00DA63CB" w:rsidRDefault="00251998" w:rsidP="00475DB8">
            <w:pPr>
              <w:spacing w:after="200"/>
              <w:jc w:val="right"/>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1,291</w:t>
            </w:r>
          </w:p>
        </w:tc>
        <w:tc>
          <w:tcPr>
            <w:tcW w:w="1843" w:type="dxa"/>
          </w:tcPr>
          <w:p w:rsidR="00251998" w:rsidRPr="00DA63CB" w:rsidRDefault="00251998" w:rsidP="00475DB8">
            <w:pPr>
              <w:spacing w:after="200"/>
              <w:jc w:val="right"/>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0</w:t>
            </w:r>
          </w:p>
        </w:tc>
        <w:tc>
          <w:tcPr>
            <w:tcW w:w="1847" w:type="dxa"/>
          </w:tcPr>
          <w:p w:rsidR="00251998" w:rsidRPr="00DA63CB" w:rsidRDefault="00251998" w:rsidP="00475DB8">
            <w:pPr>
              <w:spacing w:after="200"/>
              <w:jc w:val="right"/>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1,291</w:t>
            </w:r>
          </w:p>
        </w:tc>
      </w:tr>
      <w:tr w:rsidR="00251998" w:rsidRPr="00DA63CB" w:rsidTr="00830681">
        <w:tc>
          <w:tcPr>
            <w:cnfStyle w:val="001000000000" w:firstRow="0" w:lastRow="0" w:firstColumn="1" w:lastColumn="0" w:oddVBand="0" w:evenVBand="0" w:oddHBand="0" w:evenHBand="0" w:firstRowFirstColumn="0" w:firstRowLastColumn="0" w:lastRowFirstColumn="0" w:lastRowLastColumn="0"/>
            <w:tcW w:w="4115" w:type="dxa"/>
          </w:tcPr>
          <w:p w:rsidR="00251998" w:rsidRPr="00DA63CB" w:rsidRDefault="00251998" w:rsidP="00475DB8">
            <w:pPr>
              <w:spacing w:after="200"/>
              <w:rPr>
                <w:rFonts w:eastAsia="Times New Roman" w:cs="Times New Roman"/>
                <w:b w:val="0"/>
              </w:rPr>
            </w:pPr>
            <w:r w:rsidRPr="00DA63CB">
              <w:rPr>
                <w:rFonts w:eastAsia="Times New Roman" w:cs="Times New Roman"/>
                <w:b w:val="0"/>
              </w:rPr>
              <w:t>Insurance Reserve</w:t>
            </w:r>
          </w:p>
        </w:tc>
        <w:tc>
          <w:tcPr>
            <w:tcW w:w="1413" w:type="dxa"/>
          </w:tcPr>
          <w:p w:rsidR="00251998" w:rsidRPr="00DA63CB" w:rsidRDefault="00251998" w:rsidP="00475DB8">
            <w:pPr>
              <w:spacing w:after="200"/>
              <w:jc w:val="right"/>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623</w:t>
            </w:r>
          </w:p>
        </w:tc>
        <w:tc>
          <w:tcPr>
            <w:tcW w:w="1843" w:type="dxa"/>
          </w:tcPr>
          <w:p w:rsidR="00251998" w:rsidRPr="00DA63CB" w:rsidRDefault="00251998" w:rsidP="00475DB8">
            <w:pPr>
              <w:spacing w:after="200"/>
              <w:jc w:val="right"/>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250</w:t>
            </w:r>
          </w:p>
        </w:tc>
        <w:tc>
          <w:tcPr>
            <w:tcW w:w="1847" w:type="dxa"/>
          </w:tcPr>
          <w:p w:rsidR="00251998" w:rsidRPr="00DA63CB" w:rsidRDefault="00251998" w:rsidP="00475DB8">
            <w:pPr>
              <w:spacing w:after="200"/>
              <w:jc w:val="right"/>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873</w:t>
            </w:r>
          </w:p>
        </w:tc>
      </w:tr>
      <w:tr w:rsidR="00251998" w:rsidRPr="00DA63CB" w:rsidTr="0083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5" w:type="dxa"/>
          </w:tcPr>
          <w:p w:rsidR="00251998" w:rsidRPr="00DA63CB" w:rsidRDefault="00251998" w:rsidP="00475DB8">
            <w:pPr>
              <w:spacing w:after="200"/>
              <w:rPr>
                <w:rFonts w:eastAsia="Times New Roman" w:cs="Times New Roman"/>
              </w:rPr>
            </w:pPr>
            <w:r>
              <w:rPr>
                <w:rFonts w:eastAsia="Times New Roman" w:cs="Times New Roman"/>
              </w:rPr>
              <w:t>Total Earmarked Reserves</w:t>
            </w:r>
          </w:p>
        </w:tc>
        <w:tc>
          <w:tcPr>
            <w:tcW w:w="1413" w:type="dxa"/>
          </w:tcPr>
          <w:p w:rsidR="00251998" w:rsidRPr="00DA63CB" w:rsidRDefault="00251998" w:rsidP="00475DB8">
            <w:pPr>
              <w:spacing w:after="20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Pr>
                <w:rFonts w:eastAsia="Times New Roman" w:cs="Times New Roman"/>
                <w:b/>
              </w:rPr>
              <w:t>41,991</w:t>
            </w:r>
          </w:p>
        </w:tc>
        <w:tc>
          <w:tcPr>
            <w:tcW w:w="1843" w:type="dxa"/>
          </w:tcPr>
          <w:p w:rsidR="00251998" w:rsidRPr="006A427F" w:rsidRDefault="00251998" w:rsidP="00475DB8">
            <w:pPr>
              <w:spacing w:after="20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6A427F">
              <w:rPr>
                <w:rFonts w:eastAsia="Times New Roman" w:cs="Times New Roman"/>
                <w:b/>
              </w:rPr>
              <w:t>-10,75</w:t>
            </w:r>
            <w:r>
              <w:rPr>
                <w:rFonts w:eastAsia="Times New Roman" w:cs="Times New Roman"/>
                <w:b/>
              </w:rPr>
              <w:t>3</w:t>
            </w:r>
          </w:p>
        </w:tc>
        <w:tc>
          <w:tcPr>
            <w:tcW w:w="1847" w:type="dxa"/>
          </w:tcPr>
          <w:p w:rsidR="00251998" w:rsidRPr="006A427F" w:rsidRDefault="00251998" w:rsidP="00475DB8">
            <w:pPr>
              <w:spacing w:after="20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6A427F">
              <w:rPr>
                <w:rFonts w:eastAsia="Times New Roman" w:cs="Times New Roman"/>
                <w:b/>
              </w:rPr>
              <w:t>31,238</w:t>
            </w:r>
          </w:p>
        </w:tc>
      </w:tr>
      <w:tr w:rsidR="00251998" w:rsidRPr="00DA63CB" w:rsidTr="00830681">
        <w:tc>
          <w:tcPr>
            <w:cnfStyle w:val="001000000000" w:firstRow="0" w:lastRow="0" w:firstColumn="1" w:lastColumn="0" w:oddVBand="0" w:evenVBand="0" w:oddHBand="0" w:evenHBand="0" w:firstRowFirstColumn="0" w:firstRowLastColumn="0" w:lastRowFirstColumn="0" w:lastRowLastColumn="0"/>
            <w:tcW w:w="4115" w:type="dxa"/>
          </w:tcPr>
          <w:p w:rsidR="00251998" w:rsidRPr="00DA63CB" w:rsidRDefault="00251998" w:rsidP="00475DB8">
            <w:pPr>
              <w:spacing w:after="200"/>
              <w:rPr>
                <w:rFonts w:eastAsia="Times New Roman" w:cs="Times New Roman"/>
                <w:b w:val="0"/>
              </w:rPr>
            </w:pPr>
            <w:r w:rsidRPr="00DA63CB">
              <w:rPr>
                <w:rFonts w:eastAsia="Times New Roman" w:cs="Times New Roman"/>
                <w:b w:val="0"/>
              </w:rPr>
              <w:t>General Fund Reserve</w:t>
            </w:r>
          </w:p>
        </w:tc>
        <w:tc>
          <w:tcPr>
            <w:tcW w:w="1413" w:type="dxa"/>
          </w:tcPr>
          <w:p w:rsidR="00251998" w:rsidRPr="00DA63CB" w:rsidRDefault="00251998" w:rsidP="00475DB8">
            <w:pPr>
              <w:spacing w:after="200"/>
              <w:jc w:val="right"/>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12,042</w:t>
            </w:r>
          </w:p>
        </w:tc>
        <w:tc>
          <w:tcPr>
            <w:tcW w:w="1843" w:type="dxa"/>
          </w:tcPr>
          <w:p w:rsidR="00251998" w:rsidRPr="00DA63CB" w:rsidRDefault="00251998" w:rsidP="00475DB8">
            <w:pPr>
              <w:spacing w:after="200"/>
              <w:jc w:val="right"/>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0</w:t>
            </w:r>
          </w:p>
        </w:tc>
        <w:tc>
          <w:tcPr>
            <w:tcW w:w="1847" w:type="dxa"/>
          </w:tcPr>
          <w:p w:rsidR="00251998" w:rsidRPr="00DA63CB" w:rsidRDefault="00251998" w:rsidP="00475DB8">
            <w:pPr>
              <w:spacing w:after="200"/>
              <w:jc w:val="right"/>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12,042</w:t>
            </w:r>
          </w:p>
        </w:tc>
      </w:tr>
      <w:tr w:rsidR="00251998" w:rsidRPr="00DA63CB" w:rsidTr="0083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5" w:type="dxa"/>
          </w:tcPr>
          <w:p w:rsidR="00251998" w:rsidRPr="00DA63CB" w:rsidRDefault="00251998" w:rsidP="00475DB8">
            <w:pPr>
              <w:spacing w:after="200"/>
              <w:rPr>
                <w:rFonts w:eastAsia="Times New Roman" w:cs="Times New Roman"/>
              </w:rPr>
            </w:pPr>
            <w:r>
              <w:rPr>
                <w:rFonts w:eastAsia="Times New Roman" w:cs="Times New Roman"/>
              </w:rPr>
              <w:t>Total Reserves</w:t>
            </w:r>
          </w:p>
        </w:tc>
        <w:tc>
          <w:tcPr>
            <w:tcW w:w="1413" w:type="dxa"/>
          </w:tcPr>
          <w:p w:rsidR="00251998" w:rsidRPr="00DA63CB" w:rsidRDefault="00251998" w:rsidP="00475DB8">
            <w:pPr>
              <w:spacing w:after="20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Pr>
                <w:rFonts w:eastAsia="Times New Roman" w:cs="Times New Roman"/>
                <w:b/>
              </w:rPr>
              <w:t>54,033</w:t>
            </w:r>
          </w:p>
        </w:tc>
        <w:tc>
          <w:tcPr>
            <w:tcW w:w="1843" w:type="dxa"/>
          </w:tcPr>
          <w:p w:rsidR="00251998" w:rsidRPr="00DA63CB" w:rsidRDefault="00251998" w:rsidP="00475DB8">
            <w:pPr>
              <w:spacing w:after="20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Pr>
                <w:rFonts w:eastAsia="Times New Roman" w:cs="Times New Roman"/>
                <w:b/>
              </w:rPr>
              <w:t>-10,753</w:t>
            </w:r>
          </w:p>
        </w:tc>
        <w:tc>
          <w:tcPr>
            <w:tcW w:w="1847" w:type="dxa"/>
          </w:tcPr>
          <w:p w:rsidR="00251998" w:rsidRPr="00DA63CB" w:rsidRDefault="00251998" w:rsidP="00475DB8">
            <w:pPr>
              <w:spacing w:after="20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Pr>
                <w:rFonts w:eastAsia="Times New Roman" w:cs="Times New Roman"/>
                <w:b/>
              </w:rPr>
              <w:t>43,280</w:t>
            </w:r>
          </w:p>
        </w:tc>
      </w:tr>
    </w:tbl>
    <w:p w:rsidR="00251998" w:rsidRPr="00BB0B49" w:rsidRDefault="00251998" w:rsidP="00251998">
      <w:pPr>
        <w:pStyle w:val="NumPara"/>
        <w:numPr>
          <w:ilvl w:val="0"/>
          <w:numId w:val="0"/>
        </w:numPr>
        <w:spacing w:after="200"/>
        <w:ind w:left="567"/>
      </w:pPr>
    </w:p>
    <w:p w:rsidR="00251998" w:rsidRPr="00BB0B49" w:rsidRDefault="00251998" w:rsidP="002631F6">
      <w:pPr>
        <w:pStyle w:val="Heading2"/>
      </w:pPr>
      <w:r w:rsidRPr="00BB0B49">
        <w:t xml:space="preserve">Details of the </w:t>
      </w:r>
      <w:r w:rsidR="00B362CB">
        <w:t>p</w:t>
      </w:r>
      <w:r w:rsidRPr="00BB0B49">
        <w:t xml:space="preserve">lanned </w:t>
      </w:r>
      <w:r w:rsidR="00B362CB">
        <w:t>m</w:t>
      </w:r>
      <w:r w:rsidRPr="00BB0B49">
        <w:t>ovement in Reserves are as follows:</w:t>
      </w:r>
    </w:p>
    <w:p w:rsidR="00251998" w:rsidRPr="00BB0B49" w:rsidRDefault="00251998" w:rsidP="002631F6">
      <w:pPr>
        <w:pStyle w:val="NumPara2"/>
        <w:numPr>
          <w:ilvl w:val="0"/>
          <w:numId w:val="5"/>
        </w:numPr>
        <w:jc w:val="both"/>
      </w:pPr>
      <w:r w:rsidRPr="00BB0B49">
        <w:rPr>
          <w:b/>
        </w:rPr>
        <w:t>Regional / National Teams Reserves</w:t>
      </w:r>
      <w:r w:rsidRPr="00BB0B49">
        <w:t xml:space="preserve"> – </w:t>
      </w:r>
      <w:r>
        <w:t>T</w:t>
      </w:r>
      <w:r w:rsidRPr="00BB0B49">
        <w:t>his utilises part of the ROCU reserve to fund agreed project activity during 2023/24.</w:t>
      </w:r>
    </w:p>
    <w:p w:rsidR="00251998" w:rsidRPr="00524057" w:rsidRDefault="00251998" w:rsidP="002631F6">
      <w:pPr>
        <w:pStyle w:val="NumPara2"/>
        <w:numPr>
          <w:ilvl w:val="0"/>
          <w:numId w:val="5"/>
        </w:numPr>
        <w:jc w:val="both"/>
      </w:pPr>
      <w:r w:rsidRPr="00BB0B49">
        <w:rPr>
          <w:b/>
        </w:rPr>
        <w:t>Budget Reserve</w:t>
      </w:r>
      <w:r w:rsidRPr="00524057">
        <w:rPr>
          <w:b/>
        </w:rPr>
        <w:t xml:space="preserve"> </w:t>
      </w:r>
      <w:r w:rsidRPr="00524057">
        <w:t xml:space="preserve">- Due to the scale of the savings required to balance the 2023/24 budget and an early forecast overspend in 2022/23 the </w:t>
      </w:r>
      <w:r>
        <w:t>F</w:t>
      </w:r>
      <w:r w:rsidRPr="00524057">
        <w:t>orce made some short-term decisions to: hold police staff vacancies, with operational exceptions; freeze Police Community Support Officers (PCSO) recruitment in the short term; reduce capital expenditure for IT and fleet; and reduce agency spend where possible. This has created an in-year underspend of £9.8m December year to date. This will be transferred to reserves and drawn down to help balance the 2023/24 budget, allowing time to generate more long-term sustainable solutions.  The current plan, subject to the on-going Priority Based Budget setting process is to utilise £5.6m of this reserve.</w:t>
      </w:r>
    </w:p>
    <w:p w:rsidR="00251998" w:rsidRPr="00524057" w:rsidRDefault="00251998" w:rsidP="002631F6">
      <w:pPr>
        <w:pStyle w:val="NumPara2"/>
        <w:numPr>
          <w:ilvl w:val="0"/>
          <w:numId w:val="5"/>
        </w:numPr>
        <w:jc w:val="both"/>
        <w:rPr>
          <w:b/>
        </w:rPr>
      </w:pPr>
      <w:r w:rsidRPr="00BB0B49">
        <w:rPr>
          <w:b/>
        </w:rPr>
        <w:t xml:space="preserve">Estates Strategy Reserve </w:t>
      </w:r>
      <w:r w:rsidRPr="00524057">
        <w:rPr>
          <w:b/>
        </w:rPr>
        <w:t xml:space="preserve">– </w:t>
      </w:r>
      <w:r>
        <w:t>T</w:t>
      </w:r>
      <w:r w:rsidRPr="00524057">
        <w:t>his utilises the estate strategy reserve to fund the in-year revenue costs of the estate’s strategy.</w:t>
      </w:r>
    </w:p>
    <w:p w:rsidR="00251998" w:rsidRPr="00524057" w:rsidRDefault="00251998" w:rsidP="002631F6">
      <w:pPr>
        <w:pStyle w:val="NumPara2"/>
        <w:numPr>
          <w:ilvl w:val="0"/>
          <w:numId w:val="5"/>
        </w:numPr>
        <w:jc w:val="both"/>
        <w:rPr>
          <w:b/>
        </w:rPr>
      </w:pPr>
      <w:r w:rsidRPr="00BB0B49">
        <w:rPr>
          <w:b/>
        </w:rPr>
        <w:lastRenderedPageBreak/>
        <w:t xml:space="preserve">Uniform and Equipment Reserve </w:t>
      </w:r>
      <w:r w:rsidRPr="00524057">
        <w:rPr>
          <w:b/>
        </w:rPr>
        <w:t xml:space="preserve">– </w:t>
      </w:r>
      <w:r>
        <w:t>T</w:t>
      </w:r>
      <w:r w:rsidRPr="00524057">
        <w:t xml:space="preserve">he net £3.7m use of reserve is to fund the 10-year replacement of Body Armour planned during 2023/24; £4.2m offset by £0.5m contribution to reserve to build back up the reserve over the next 10 years. </w:t>
      </w:r>
    </w:p>
    <w:p w:rsidR="00251998" w:rsidRPr="00524057" w:rsidRDefault="00251998" w:rsidP="002631F6">
      <w:pPr>
        <w:pStyle w:val="NumPara2"/>
        <w:numPr>
          <w:ilvl w:val="0"/>
          <w:numId w:val="5"/>
        </w:numPr>
        <w:jc w:val="both"/>
        <w:rPr>
          <w:b/>
        </w:rPr>
      </w:pPr>
      <w:r>
        <w:rPr>
          <w:b/>
        </w:rPr>
        <w:t xml:space="preserve">Drug Squad / PAA Reserve </w:t>
      </w:r>
      <w:r w:rsidRPr="00524057">
        <w:rPr>
          <w:b/>
        </w:rPr>
        <w:t xml:space="preserve">– </w:t>
      </w:r>
      <w:r>
        <w:t>T</w:t>
      </w:r>
      <w:r w:rsidRPr="00524057">
        <w:t xml:space="preserve">his contribution is used to partially fund the Commissioner’s </w:t>
      </w:r>
      <w:r>
        <w:t>Helping Communities Fund</w:t>
      </w:r>
      <w:r w:rsidRPr="00524057">
        <w:t xml:space="preserve"> (</w:t>
      </w:r>
      <w:r>
        <w:t>H</w:t>
      </w:r>
      <w:r w:rsidRPr="00524057">
        <w:t>CF) which supports projects across the West Midlands</w:t>
      </w:r>
      <w:r w:rsidRPr="00524057">
        <w:rPr>
          <w:b/>
        </w:rPr>
        <w:t>.</w:t>
      </w:r>
    </w:p>
    <w:p w:rsidR="00251998" w:rsidRPr="00524057" w:rsidRDefault="00251998" w:rsidP="002631F6">
      <w:pPr>
        <w:pStyle w:val="NumPara2"/>
        <w:numPr>
          <w:ilvl w:val="0"/>
          <w:numId w:val="5"/>
        </w:numPr>
        <w:jc w:val="both"/>
        <w:rPr>
          <w:b/>
        </w:rPr>
      </w:pPr>
      <w:r>
        <w:rPr>
          <w:b/>
        </w:rPr>
        <w:t xml:space="preserve">Insurance Reserve </w:t>
      </w:r>
      <w:r w:rsidRPr="00524057">
        <w:rPr>
          <w:b/>
        </w:rPr>
        <w:t xml:space="preserve">– </w:t>
      </w:r>
      <w:r w:rsidRPr="00524057">
        <w:t>This contribution to reserve increases the reserve to allow for increased inflationary costs.</w:t>
      </w:r>
      <w:r w:rsidRPr="00524057">
        <w:rPr>
          <w:b/>
        </w:rPr>
        <w:t xml:space="preserve">  </w:t>
      </w:r>
    </w:p>
    <w:p w:rsidR="00251998" w:rsidRDefault="00251998" w:rsidP="002638E0">
      <w:pPr>
        <w:pStyle w:val="Heading2"/>
      </w:pPr>
      <w:r>
        <w:t xml:space="preserve">The </w:t>
      </w:r>
      <w:r w:rsidRPr="002638E0">
        <w:t>Commissioner</w:t>
      </w:r>
      <w:r>
        <w:t xml:space="preserve"> needs to maintain an adequate General Reserve balance because:</w:t>
      </w:r>
    </w:p>
    <w:p w:rsidR="00251998" w:rsidRDefault="00251998" w:rsidP="002631F6">
      <w:pPr>
        <w:pStyle w:val="ListBullet"/>
        <w:jc w:val="both"/>
      </w:pPr>
      <w:r>
        <w:t>As a substantial organisation with a turnover in excess of £0.6 billion, there are no other such reserves to call on.</w:t>
      </w:r>
    </w:p>
    <w:p w:rsidR="00251998" w:rsidRDefault="00251998" w:rsidP="002631F6">
      <w:pPr>
        <w:pStyle w:val="ListBullet"/>
        <w:jc w:val="both"/>
      </w:pPr>
      <w:r>
        <w:t xml:space="preserve">There are no budgeted contingencies for very major incidents, which may require significant resource levels for a long period. </w:t>
      </w:r>
    </w:p>
    <w:p w:rsidR="00251998" w:rsidRDefault="00251998" w:rsidP="002631F6">
      <w:pPr>
        <w:pStyle w:val="Heading2"/>
      </w:pPr>
      <w:r>
        <w:t>There are a number of specific issues which need to be taken into account in considering how much of the earmarked reserves should be used in 2023/24, including:</w:t>
      </w:r>
    </w:p>
    <w:p w:rsidR="00251998" w:rsidRDefault="00251998" w:rsidP="002631F6">
      <w:pPr>
        <w:pStyle w:val="ListBullet"/>
        <w:jc w:val="both"/>
      </w:pPr>
      <w:r>
        <w:t>Retaining the maximum level possible to support spending in 2023/24 and later years when resource levels may be constrained;</w:t>
      </w:r>
    </w:p>
    <w:p w:rsidR="00251998" w:rsidRDefault="00251998" w:rsidP="002631F6">
      <w:pPr>
        <w:pStyle w:val="ListBullet"/>
        <w:jc w:val="both"/>
      </w:pPr>
      <w:r>
        <w:t>Striking a fair balance between how much should be used to support spending over the planning period and by how much the precept should increase;</w:t>
      </w:r>
    </w:p>
    <w:p w:rsidR="00251998" w:rsidRDefault="00251998" w:rsidP="002631F6">
      <w:pPr>
        <w:pStyle w:val="ListBullet"/>
        <w:jc w:val="both"/>
      </w:pPr>
      <w:r>
        <w:t xml:space="preserve">Risks and uncertainties in key budget assumptions, </w:t>
      </w:r>
      <w:r w:rsidR="00B362CB">
        <w:t>any</w:t>
      </w:r>
      <w:r>
        <w:t xml:space="preserve"> additional spending in 2023/24 which cannot be met from in year redirections would have to be met from reserves.</w:t>
      </w:r>
    </w:p>
    <w:p w:rsidR="00251998" w:rsidRPr="00BB0B49" w:rsidRDefault="00251998" w:rsidP="002631F6">
      <w:pPr>
        <w:pStyle w:val="Heading2"/>
      </w:pPr>
      <w:r>
        <w:t>Given these considerations</w:t>
      </w:r>
      <w:r w:rsidR="00CF69C1">
        <w:t xml:space="preserve"> and a precept increase at the maximum permitted without a referendum it will be necessary to </w:t>
      </w:r>
      <w:r w:rsidR="00CF69C1" w:rsidRPr="00CF69C1">
        <w:t>use £10.8m</w:t>
      </w:r>
      <w:r w:rsidR="00CF69C1">
        <w:t xml:space="preserve"> of reserves to support revenue spending in 2023/24.  The use of additional reserves will be subject to decisions and activities in year.  A</w:t>
      </w:r>
      <w:r w:rsidRPr="00BB0B49">
        <w:t>s in previous years a refresh of the financial reserve’s strategy will take place during early part of 2023/24.</w:t>
      </w:r>
    </w:p>
    <w:p w:rsidR="00CF69C1" w:rsidRPr="00854227" w:rsidRDefault="00CF69C1" w:rsidP="002631F6">
      <w:pPr>
        <w:pStyle w:val="Heading1"/>
      </w:pPr>
      <w:r w:rsidRPr="00854227">
        <w:t>Proposed Revenue Budget 2023/24</w:t>
      </w:r>
    </w:p>
    <w:p w:rsidR="00CF69C1" w:rsidRPr="000B030A" w:rsidRDefault="00CF69C1" w:rsidP="00D6167B">
      <w:pPr>
        <w:pStyle w:val="Heading2"/>
        <w:ind w:left="567" w:hanging="567"/>
      </w:pPr>
      <w:r w:rsidRPr="000B030A">
        <w:t>The Commissioner is proposing a Revenue Budget for 2023/24 based on the following:</w:t>
      </w:r>
    </w:p>
    <w:p w:rsidR="00CF69C1" w:rsidRPr="000B030A" w:rsidRDefault="00CF69C1" w:rsidP="00D6167B">
      <w:pPr>
        <w:pStyle w:val="ListBullet"/>
        <w:ind w:left="1077" w:hanging="357"/>
        <w:jc w:val="both"/>
      </w:pPr>
      <w:r w:rsidRPr="000B030A">
        <w:t>The priorities in the Police and Crime Plan.</w:t>
      </w:r>
    </w:p>
    <w:p w:rsidR="00CF69C1" w:rsidRPr="000B030A" w:rsidRDefault="00CF69C1" w:rsidP="00D6167B">
      <w:pPr>
        <w:pStyle w:val="ListBullet"/>
        <w:ind w:left="1077" w:hanging="357"/>
        <w:jc w:val="both"/>
      </w:pPr>
      <w:r w:rsidRPr="000B030A">
        <w:t>The implications of the funding settlement.</w:t>
      </w:r>
    </w:p>
    <w:p w:rsidR="00CF69C1" w:rsidRPr="000B030A" w:rsidRDefault="00CF69C1" w:rsidP="00D6167B">
      <w:pPr>
        <w:pStyle w:val="ListBullet"/>
        <w:ind w:left="1077" w:hanging="357"/>
        <w:jc w:val="both"/>
      </w:pPr>
      <w:r w:rsidRPr="000B030A">
        <w:t>Existing budget commitments and inflationary pressures.</w:t>
      </w:r>
    </w:p>
    <w:p w:rsidR="00CF69C1" w:rsidRPr="000B030A" w:rsidRDefault="00CF69C1" w:rsidP="00D6167B">
      <w:pPr>
        <w:pStyle w:val="ListBullet"/>
        <w:ind w:left="1077" w:hanging="357"/>
        <w:jc w:val="both"/>
      </w:pPr>
      <w:r w:rsidRPr="000B030A">
        <w:t xml:space="preserve">The continued recruitment of Police Officers to ensure than planned numbers are maintained as detailed in </w:t>
      </w:r>
      <w:r w:rsidRPr="00D6167B">
        <w:rPr>
          <w:b/>
        </w:rPr>
        <w:t xml:space="preserve">Section </w:t>
      </w:r>
      <w:r w:rsidR="000670B9" w:rsidRPr="00D6167B">
        <w:rPr>
          <w:b/>
        </w:rPr>
        <w:t>9</w:t>
      </w:r>
      <w:r w:rsidRPr="00D6167B">
        <w:rPr>
          <w:b/>
        </w:rPr>
        <w:t>.</w:t>
      </w:r>
    </w:p>
    <w:p w:rsidR="00CF69C1" w:rsidRPr="000B030A" w:rsidRDefault="00CF69C1" w:rsidP="00D6167B">
      <w:pPr>
        <w:pStyle w:val="ListBullet"/>
        <w:ind w:left="1077" w:hanging="357"/>
        <w:jc w:val="both"/>
      </w:pPr>
      <w:r w:rsidRPr="000B030A">
        <w:t>Maintain the Police Uplift headcount for West Midlands Police.</w:t>
      </w:r>
    </w:p>
    <w:p w:rsidR="00CF69C1" w:rsidRPr="000B030A" w:rsidRDefault="00CF69C1" w:rsidP="00D6167B">
      <w:pPr>
        <w:pStyle w:val="NumPara2"/>
        <w:numPr>
          <w:ilvl w:val="0"/>
          <w:numId w:val="3"/>
        </w:numPr>
        <w:ind w:left="1134" w:hanging="425"/>
        <w:jc w:val="both"/>
      </w:pPr>
      <w:r w:rsidRPr="000B030A">
        <w:t>The provision of improved equipment and technology to frontline officers to support capability, safety and welfare.</w:t>
      </w:r>
    </w:p>
    <w:p w:rsidR="00CF69C1" w:rsidRPr="000B030A" w:rsidRDefault="00CF69C1" w:rsidP="00D6167B">
      <w:pPr>
        <w:pStyle w:val="NumPara2"/>
        <w:numPr>
          <w:ilvl w:val="0"/>
          <w:numId w:val="3"/>
        </w:numPr>
        <w:ind w:left="1134" w:hanging="425"/>
        <w:jc w:val="both"/>
      </w:pPr>
      <w:r w:rsidRPr="000B030A">
        <w:lastRenderedPageBreak/>
        <w:t>The opportunity to have a workforce more representative of the public we serve by recruit</w:t>
      </w:r>
      <w:r w:rsidR="00E00059">
        <w:t>ing</w:t>
      </w:r>
      <w:r w:rsidRPr="000B030A">
        <w:t xml:space="preserve"> more police officers, police staff and PCSO’s from underrepresented groups.</w:t>
      </w:r>
    </w:p>
    <w:p w:rsidR="00CF69C1" w:rsidRPr="000B030A" w:rsidRDefault="00CF69C1" w:rsidP="00D6167B">
      <w:pPr>
        <w:pStyle w:val="NumPara2"/>
        <w:numPr>
          <w:ilvl w:val="0"/>
          <w:numId w:val="3"/>
        </w:numPr>
        <w:ind w:left="1134" w:hanging="425"/>
        <w:jc w:val="both"/>
      </w:pPr>
      <w:r w:rsidRPr="000B030A">
        <w:t>The continuation to support apprenticeships and the drive to increase and develop the police cadets’ scheme, volunteers and specials across the West Midlands.</w:t>
      </w:r>
    </w:p>
    <w:p w:rsidR="00CF69C1" w:rsidRPr="000B030A" w:rsidRDefault="00CF69C1" w:rsidP="00D6167B">
      <w:pPr>
        <w:pStyle w:val="NumPara2"/>
        <w:numPr>
          <w:ilvl w:val="0"/>
          <w:numId w:val="3"/>
        </w:numPr>
        <w:ind w:left="1134" w:hanging="425"/>
        <w:jc w:val="both"/>
      </w:pPr>
      <w:r w:rsidRPr="000B030A">
        <w:t>A precept increase of £15</w:t>
      </w:r>
      <w:r w:rsidR="00E00059">
        <w:t xml:space="preserve"> per annum</w:t>
      </w:r>
      <w:r w:rsidRPr="000B030A">
        <w:t xml:space="preserve"> in line with the Council Tax referendum limit principles that applies to West Midlands Police together with the prudent use of reserves.</w:t>
      </w:r>
    </w:p>
    <w:p w:rsidR="00CF69C1" w:rsidRPr="000B030A" w:rsidRDefault="00CF69C1" w:rsidP="00D6167B">
      <w:pPr>
        <w:pStyle w:val="NumPara2"/>
        <w:numPr>
          <w:ilvl w:val="0"/>
          <w:numId w:val="3"/>
        </w:numPr>
        <w:ind w:left="1134" w:hanging="425"/>
        <w:jc w:val="both"/>
      </w:pPr>
      <w:r w:rsidRPr="000B030A">
        <w:t>Maintain the Community Safety Funding and External Commissioning to support prevention and crime reduction activity at 2022/23 levels.</w:t>
      </w:r>
    </w:p>
    <w:p w:rsidR="00CF69C1" w:rsidRPr="000B030A" w:rsidRDefault="00CF69C1" w:rsidP="00D6167B">
      <w:pPr>
        <w:pStyle w:val="NumPara2"/>
        <w:numPr>
          <w:ilvl w:val="0"/>
          <w:numId w:val="3"/>
        </w:numPr>
        <w:ind w:left="1134" w:hanging="425"/>
        <w:jc w:val="both"/>
      </w:pPr>
      <w:r w:rsidRPr="000B030A">
        <w:t>Savings required to support the revenue budget in 2023/24 of £28.</w:t>
      </w:r>
      <w:r>
        <w:t>1</w:t>
      </w:r>
      <w:r w:rsidRPr="000B030A">
        <w:t xml:space="preserve">m.  </w:t>
      </w:r>
      <w:r w:rsidR="00767418">
        <w:t xml:space="preserve">This is explained in greater detail in </w:t>
      </w:r>
      <w:r w:rsidR="00B362CB" w:rsidRPr="00D6167B">
        <w:rPr>
          <w:b/>
        </w:rPr>
        <w:t>S</w:t>
      </w:r>
      <w:r w:rsidR="00767418" w:rsidRPr="00D6167B">
        <w:rPr>
          <w:b/>
        </w:rPr>
        <w:t>ection 5.3</w:t>
      </w:r>
      <w:r w:rsidR="00767418">
        <w:t xml:space="preserve"> below.</w:t>
      </w:r>
    </w:p>
    <w:p w:rsidR="00CF69C1" w:rsidRPr="000B030A" w:rsidRDefault="00CF69C1" w:rsidP="00D6167B">
      <w:pPr>
        <w:pStyle w:val="NumPara2"/>
        <w:numPr>
          <w:ilvl w:val="0"/>
          <w:numId w:val="3"/>
        </w:numPr>
        <w:ind w:left="1134" w:hanging="425"/>
        <w:jc w:val="both"/>
      </w:pPr>
      <w:r w:rsidRPr="000B030A">
        <w:t>Continued work on efficiencies and productivity to redirect resources to frontline policing as a priority.</w:t>
      </w:r>
    </w:p>
    <w:p w:rsidR="00CF69C1" w:rsidRPr="000B030A" w:rsidRDefault="00CF69C1" w:rsidP="00D6167B">
      <w:pPr>
        <w:pStyle w:val="NumPara2"/>
        <w:numPr>
          <w:ilvl w:val="0"/>
          <w:numId w:val="3"/>
        </w:numPr>
        <w:ind w:left="1134" w:hanging="425"/>
        <w:jc w:val="both"/>
      </w:pPr>
      <w:r w:rsidRPr="000B030A">
        <w:t xml:space="preserve">Continued support for the Estates </w:t>
      </w:r>
      <w:r w:rsidR="00B362CB">
        <w:t>S</w:t>
      </w:r>
      <w:r w:rsidRPr="000B030A">
        <w:t>trategy, and implementation of Continuous Improvement methodology and Priority Based Budgeting, to deliver savings and efficiencies in the short to medium term.  These will help the Force to continually challenge the way services are provided, maximise innovation and drive efficiency and productivity.</w:t>
      </w:r>
    </w:p>
    <w:p w:rsidR="00CF69C1" w:rsidRPr="006171BF" w:rsidRDefault="00CF69C1" w:rsidP="002631F6">
      <w:pPr>
        <w:pStyle w:val="Heading2"/>
      </w:pPr>
      <w:r>
        <w:t>Recognising that in the medium term there are significant cost pressures to the Force including inflation and other cost pressures.  There is a need to strike a careful balance between spending levels, the use of reserves and a precept increase across medium term.</w:t>
      </w:r>
    </w:p>
    <w:p w:rsidR="00CF69C1" w:rsidRDefault="00CF69C1" w:rsidP="002631F6">
      <w:pPr>
        <w:pStyle w:val="Heading2"/>
      </w:pPr>
      <w:r>
        <w:t xml:space="preserve">The table below shows the details of how the £28.1m budget gap </w:t>
      </w:r>
      <w:r w:rsidR="00767418">
        <w:t>has</w:t>
      </w:r>
      <w:r>
        <w:t xml:space="preserve"> be</w:t>
      </w:r>
      <w:r w:rsidR="00767418">
        <w:t>en</w:t>
      </w:r>
      <w:r>
        <w:t xml:space="preserve"> managed</w:t>
      </w:r>
      <w:r w:rsidR="00B362CB">
        <w:t xml:space="preserve">, as well as generating some savings which will contribute to 2024/25. </w:t>
      </w:r>
    </w:p>
    <w:tbl>
      <w:tblPr>
        <w:tblStyle w:val="GridTable4-Accent1"/>
        <w:tblW w:w="0" w:type="auto"/>
        <w:tblInd w:w="851" w:type="dxa"/>
        <w:tblLook w:val="04A0" w:firstRow="1" w:lastRow="0" w:firstColumn="1" w:lastColumn="0" w:noHBand="0" w:noVBand="1"/>
      </w:tblPr>
      <w:tblGrid>
        <w:gridCol w:w="6586"/>
        <w:gridCol w:w="1579"/>
      </w:tblGrid>
      <w:tr w:rsidR="00CF69C1" w:rsidRPr="00B362CB" w:rsidTr="00475D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6" w:type="dxa"/>
          </w:tcPr>
          <w:p w:rsidR="00CF69C1" w:rsidRPr="008D4D7E" w:rsidRDefault="00CF69C1" w:rsidP="00475DB8">
            <w:pPr>
              <w:pStyle w:val="NumPara"/>
              <w:numPr>
                <w:ilvl w:val="0"/>
                <w:numId w:val="0"/>
              </w:numPr>
              <w:rPr>
                <w:color w:val="000000" w:themeColor="text1"/>
              </w:rPr>
            </w:pPr>
            <w:r w:rsidRPr="008D4D7E">
              <w:rPr>
                <w:color w:val="000000" w:themeColor="text1"/>
              </w:rPr>
              <w:t>Balancing the £28.1m Gap</w:t>
            </w:r>
          </w:p>
        </w:tc>
        <w:tc>
          <w:tcPr>
            <w:tcW w:w="1579" w:type="dxa"/>
          </w:tcPr>
          <w:p w:rsidR="00CF69C1" w:rsidRPr="008D4D7E" w:rsidRDefault="00CF69C1" w:rsidP="00475DB8">
            <w:pPr>
              <w:pStyle w:val="NumPara"/>
              <w:numPr>
                <w:ilvl w:val="0"/>
                <w:numId w:val="0"/>
              </w:numPr>
              <w:jc w:val="right"/>
              <w:cnfStyle w:val="100000000000" w:firstRow="1" w:lastRow="0" w:firstColumn="0" w:lastColumn="0" w:oddVBand="0" w:evenVBand="0" w:oddHBand="0" w:evenHBand="0" w:firstRowFirstColumn="0" w:firstRowLastColumn="0" w:lastRowFirstColumn="0" w:lastRowLastColumn="0"/>
              <w:rPr>
                <w:color w:val="000000" w:themeColor="text1"/>
              </w:rPr>
            </w:pPr>
            <w:r w:rsidRPr="008D4D7E">
              <w:rPr>
                <w:color w:val="000000" w:themeColor="text1"/>
              </w:rPr>
              <w:t>£m</w:t>
            </w:r>
          </w:p>
        </w:tc>
      </w:tr>
      <w:tr w:rsidR="00CF69C1" w:rsidRPr="00B362CB" w:rsidTr="00475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6" w:type="dxa"/>
          </w:tcPr>
          <w:p w:rsidR="00CF69C1" w:rsidRPr="00BA108B" w:rsidRDefault="00CF69C1" w:rsidP="00475DB8">
            <w:pPr>
              <w:pStyle w:val="NumPara"/>
              <w:numPr>
                <w:ilvl w:val="0"/>
                <w:numId w:val="0"/>
              </w:numPr>
            </w:pPr>
            <w:r w:rsidRPr="00BA108B">
              <w:t>One Off Short Term borrowing to Fund Capital Programme</w:t>
            </w:r>
          </w:p>
        </w:tc>
        <w:tc>
          <w:tcPr>
            <w:tcW w:w="1579" w:type="dxa"/>
          </w:tcPr>
          <w:p w:rsidR="00CF69C1" w:rsidRPr="00BA108B" w:rsidRDefault="00CF69C1"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rsidRPr="00BA108B">
              <w:t>-7.0</w:t>
            </w:r>
          </w:p>
        </w:tc>
      </w:tr>
      <w:tr w:rsidR="00CF69C1" w:rsidRPr="00B362CB" w:rsidTr="00475DB8">
        <w:tc>
          <w:tcPr>
            <w:cnfStyle w:val="001000000000" w:firstRow="0" w:lastRow="0" w:firstColumn="1" w:lastColumn="0" w:oddVBand="0" w:evenVBand="0" w:oddHBand="0" w:evenHBand="0" w:firstRowFirstColumn="0" w:firstRowLastColumn="0" w:lastRowFirstColumn="0" w:lastRowLastColumn="0"/>
            <w:tcW w:w="6586" w:type="dxa"/>
          </w:tcPr>
          <w:p w:rsidR="00CF69C1" w:rsidRPr="00BA108B" w:rsidRDefault="00CF69C1" w:rsidP="00475DB8">
            <w:pPr>
              <w:pStyle w:val="NumPara"/>
              <w:numPr>
                <w:ilvl w:val="0"/>
                <w:numId w:val="0"/>
              </w:numPr>
            </w:pPr>
            <w:r w:rsidRPr="00BA108B">
              <w:t>One Off Use of the Budget Reserve</w:t>
            </w:r>
          </w:p>
        </w:tc>
        <w:tc>
          <w:tcPr>
            <w:tcW w:w="1579" w:type="dxa"/>
          </w:tcPr>
          <w:p w:rsidR="00CF69C1" w:rsidRPr="00BA108B" w:rsidRDefault="00CF69C1"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rsidRPr="00BA108B">
              <w:t>-5.6</w:t>
            </w:r>
          </w:p>
        </w:tc>
      </w:tr>
      <w:tr w:rsidR="00CF69C1" w:rsidRPr="00B362CB" w:rsidTr="00475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6" w:type="dxa"/>
          </w:tcPr>
          <w:p w:rsidR="00CF69C1" w:rsidRPr="00BA108B" w:rsidRDefault="00CF69C1" w:rsidP="00475DB8">
            <w:pPr>
              <w:pStyle w:val="NumPara"/>
              <w:numPr>
                <w:ilvl w:val="0"/>
                <w:numId w:val="0"/>
              </w:numPr>
            </w:pPr>
            <w:r w:rsidRPr="00BA108B">
              <w:t>One off Surplus on Collection Fund</w:t>
            </w:r>
          </w:p>
        </w:tc>
        <w:tc>
          <w:tcPr>
            <w:tcW w:w="1579" w:type="dxa"/>
          </w:tcPr>
          <w:p w:rsidR="00CF69C1" w:rsidRPr="00BA108B" w:rsidRDefault="00CF69C1"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rsidRPr="00BA108B">
              <w:t>-3.0</w:t>
            </w:r>
          </w:p>
        </w:tc>
      </w:tr>
      <w:tr w:rsidR="00CF69C1" w:rsidRPr="00B362CB" w:rsidTr="00475DB8">
        <w:tc>
          <w:tcPr>
            <w:cnfStyle w:val="001000000000" w:firstRow="0" w:lastRow="0" w:firstColumn="1" w:lastColumn="0" w:oddVBand="0" w:evenVBand="0" w:oddHBand="0" w:evenHBand="0" w:firstRowFirstColumn="0" w:firstRowLastColumn="0" w:lastRowFirstColumn="0" w:lastRowLastColumn="0"/>
            <w:tcW w:w="6586" w:type="dxa"/>
          </w:tcPr>
          <w:p w:rsidR="00CF69C1" w:rsidRPr="00BA108B" w:rsidRDefault="00CF69C1" w:rsidP="00475DB8">
            <w:pPr>
              <w:pStyle w:val="NumPara"/>
              <w:numPr>
                <w:ilvl w:val="0"/>
                <w:numId w:val="0"/>
              </w:numPr>
            </w:pPr>
            <w:r w:rsidRPr="00BA108B">
              <w:t>PCC Office Savings</w:t>
            </w:r>
          </w:p>
        </w:tc>
        <w:tc>
          <w:tcPr>
            <w:tcW w:w="1579" w:type="dxa"/>
          </w:tcPr>
          <w:p w:rsidR="00CF69C1" w:rsidRPr="00BA108B" w:rsidRDefault="00CF69C1"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rsidRPr="00BA108B">
              <w:t>-0.3</w:t>
            </w:r>
          </w:p>
        </w:tc>
      </w:tr>
      <w:tr w:rsidR="00CF69C1" w:rsidRPr="00B362CB" w:rsidTr="00475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6" w:type="dxa"/>
          </w:tcPr>
          <w:p w:rsidR="00CF69C1" w:rsidRPr="00BA108B" w:rsidRDefault="00767418" w:rsidP="00475DB8">
            <w:pPr>
              <w:pStyle w:val="NumPara"/>
              <w:numPr>
                <w:ilvl w:val="0"/>
                <w:numId w:val="0"/>
              </w:numPr>
              <w:rPr>
                <w:b w:val="0"/>
              </w:rPr>
            </w:pPr>
            <w:r w:rsidRPr="00BA108B">
              <w:t xml:space="preserve">PBB Savings </w:t>
            </w:r>
          </w:p>
        </w:tc>
        <w:tc>
          <w:tcPr>
            <w:tcW w:w="1579" w:type="dxa"/>
          </w:tcPr>
          <w:p w:rsidR="00CF69C1" w:rsidRPr="00BA108B" w:rsidRDefault="00767418"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rsidRPr="00BA108B">
              <w:t>-1</w:t>
            </w:r>
            <w:r w:rsidR="00D6167B">
              <w:t>2</w:t>
            </w:r>
            <w:r w:rsidRPr="00BA108B">
              <w:t>.</w:t>
            </w:r>
            <w:r w:rsidR="00D6167B">
              <w:t>2</w:t>
            </w:r>
          </w:p>
        </w:tc>
      </w:tr>
      <w:tr w:rsidR="00CF69C1" w:rsidTr="00475DB8">
        <w:tc>
          <w:tcPr>
            <w:cnfStyle w:val="001000000000" w:firstRow="0" w:lastRow="0" w:firstColumn="1" w:lastColumn="0" w:oddVBand="0" w:evenVBand="0" w:oddHBand="0" w:evenHBand="0" w:firstRowFirstColumn="0" w:firstRowLastColumn="0" w:lastRowFirstColumn="0" w:lastRowLastColumn="0"/>
            <w:tcW w:w="6586" w:type="dxa"/>
          </w:tcPr>
          <w:p w:rsidR="00CF69C1" w:rsidRPr="00BA108B" w:rsidRDefault="00CF69C1" w:rsidP="00475DB8">
            <w:pPr>
              <w:pStyle w:val="NumPara"/>
              <w:numPr>
                <w:ilvl w:val="0"/>
                <w:numId w:val="0"/>
              </w:numPr>
            </w:pPr>
            <w:r w:rsidRPr="00BA108B">
              <w:t xml:space="preserve">Total </w:t>
            </w:r>
          </w:p>
        </w:tc>
        <w:tc>
          <w:tcPr>
            <w:tcW w:w="1579" w:type="dxa"/>
          </w:tcPr>
          <w:p w:rsidR="00CF69C1" w:rsidRPr="006171BF" w:rsidRDefault="00CF69C1"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rPr>
                <w:b/>
              </w:rPr>
            </w:pPr>
            <w:r w:rsidRPr="00BA108B">
              <w:rPr>
                <w:b/>
              </w:rPr>
              <w:t>-</w:t>
            </w:r>
            <w:r w:rsidR="00D6167B">
              <w:rPr>
                <w:b/>
              </w:rPr>
              <w:t>28</w:t>
            </w:r>
            <w:r w:rsidRPr="00BA108B">
              <w:rPr>
                <w:b/>
              </w:rPr>
              <w:t>.</w:t>
            </w:r>
            <w:r w:rsidR="00D6167B">
              <w:rPr>
                <w:b/>
              </w:rPr>
              <w:t>1</w:t>
            </w:r>
          </w:p>
        </w:tc>
      </w:tr>
    </w:tbl>
    <w:p w:rsidR="00CF69C1" w:rsidRDefault="00CF69C1" w:rsidP="00CF69C1">
      <w:pPr>
        <w:pStyle w:val="NumPara"/>
        <w:numPr>
          <w:ilvl w:val="0"/>
          <w:numId w:val="0"/>
        </w:numPr>
        <w:ind w:left="851"/>
      </w:pPr>
    </w:p>
    <w:p w:rsidR="00CF69C1" w:rsidRPr="004C773C" w:rsidRDefault="00CF69C1" w:rsidP="002631F6">
      <w:pPr>
        <w:pStyle w:val="Heading2"/>
      </w:pPr>
      <w:r>
        <w:t xml:space="preserve">To assist in generating resources available in 2023/24, </w:t>
      </w:r>
      <w:r w:rsidRPr="004C773C">
        <w:t>WMP are currently holding police staff vacancies, with operational exceptions</w:t>
      </w:r>
      <w:r>
        <w:t xml:space="preserve">; </w:t>
      </w:r>
      <w:r w:rsidRPr="004C773C">
        <w:t>frozen Police Community Support Officers (PCSO) recruitment in the short term</w:t>
      </w:r>
      <w:r>
        <w:t>;</w:t>
      </w:r>
      <w:r w:rsidRPr="004C773C">
        <w:t xml:space="preserve"> reduced capital expenditure for IT and fleet and ha</w:t>
      </w:r>
      <w:r>
        <w:t>s</w:t>
      </w:r>
      <w:r w:rsidRPr="004C773C">
        <w:t xml:space="preserve"> reviewed / reduced agency spend where possible. This has created an in-year underspend of £</w:t>
      </w:r>
      <w:r>
        <w:t>9</w:t>
      </w:r>
      <w:r w:rsidRPr="0006109B">
        <w:t xml:space="preserve">.8m </w:t>
      </w:r>
      <w:r w:rsidR="00E00059">
        <w:t xml:space="preserve">as at </w:t>
      </w:r>
      <w:r>
        <w:lastRenderedPageBreak/>
        <w:t>December Year to</w:t>
      </w:r>
      <w:r w:rsidRPr="0006109B">
        <w:t xml:space="preserve"> date</w:t>
      </w:r>
      <w:r w:rsidRPr="004C773C">
        <w:t xml:space="preserve">. This will be transferred to reserves and drawn down to help balance the 2023/24 budget, allowing time to generate more long-term </w:t>
      </w:r>
      <w:r>
        <w:t xml:space="preserve">sustainable </w:t>
      </w:r>
      <w:r w:rsidRPr="004C773C">
        <w:t>solutions to balance the budget.</w:t>
      </w:r>
    </w:p>
    <w:p w:rsidR="00CF69C1" w:rsidRDefault="00CF69C1" w:rsidP="002631F6">
      <w:pPr>
        <w:pStyle w:val="Heading2"/>
      </w:pPr>
      <w:r w:rsidRPr="004C773C">
        <w:t xml:space="preserve">A priority-based budgeting style exercise </w:t>
      </w:r>
      <w:r w:rsidR="00767418">
        <w:t xml:space="preserve">was completed in January 2023 and has </w:t>
      </w:r>
      <w:r w:rsidR="00E00059" w:rsidRPr="004C773C">
        <w:t>identif</w:t>
      </w:r>
      <w:r w:rsidR="00E00059">
        <w:t>ied</w:t>
      </w:r>
      <w:r w:rsidR="00767418">
        <w:t xml:space="preserve"> savings worth £13.1m to enable us to balance the budget for 2023/24.</w:t>
      </w:r>
      <w:r w:rsidRPr="004C773C">
        <w:t xml:space="preserve"> </w:t>
      </w:r>
    </w:p>
    <w:p w:rsidR="00065C65" w:rsidRDefault="00CF69C1" w:rsidP="002631F6">
      <w:pPr>
        <w:pStyle w:val="Heading2"/>
      </w:pPr>
      <w:r w:rsidRPr="001E0BF0">
        <w:t>The table below summari</w:t>
      </w:r>
      <w:r w:rsidR="00E00059">
        <w:t>ses</w:t>
      </w:r>
      <w:r w:rsidRPr="001E0BF0">
        <w:t xml:space="preserve"> the savings</w:t>
      </w:r>
      <w:r w:rsidR="00767418">
        <w:t xml:space="preserve"> identified as part of the PBB exercise by Force Executive portfolio.</w:t>
      </w:r>
      <w:r w:rsidRPr="001E0BF0">
        <w:t xml:space="preserve"> The associated risks to service levels </w:t>
      </w:r>
      <w:r w:rsidR="00921F25">
        <w:t xml:space="preserve">were considered and are all relatively low level.  </w:t>
      </w:r>
    </w:p>
    <w:tbl>
      <w:tblPr>
        <w:tblStyle w:val="GridTable4-Accent1"/>
        <w:tblW w:w="8510" w:type="dxa"/>
        <w:jc w:val="center"/>
        <w:tblInd w:w="0" w:type="dxa"/>
        <w:tblLayout w:type="fixed"/>
        <w:tblLook w:val="04A0" w:firstRow="1" w:lastRow="0" w:firstColumn="1" w:lastColumn="0" w:noHBand="0" w:noVBand="1"/>
      </w:tblPr>
      <w:tblGrid>
        <w:gridCol w:w="2263"/>
        <w:gridCol w:w="1843"/>
        <w:gridCol w:w="1418"/>
        <w:gridCol w:w="1275"/>
        <w:gridCol w:w="1711"/>
      </w:tblGrid>
      <w:tr w:rsidR="00B362CB" w:rsidRPr="00830681" w:rsidTr="00BA108B">
        <w:trPr>
          <w:cnfStyle w:val="100000000000" w:firstRow="1" w:lastRow="0" w:firstColumn="0" w:lastColumn="0" w:oddVBand="0" w:evenVBand="0" w:oddHBand="0" w:evenHBand="0" w:firstRowFirstColumn="0" w:firstRowLastColumn="0" w:lastRowFirstColumn="0" w:lastRowLastColumn="0"/>
          <w:trHeight w:val="1408"/>
          <w:jc w:val="center"/>
        </w:trPr>
        <w:tc>
          <w:tcPr>
            <w:cnfStyle w:val="001000000000" w:firstRow="0" w:lastRow="0" w:firstColumn="1" w:lastColumn="0" w:oddVBand="0" w:evenVBand="0" w:oddHBand="0" w:evenHBand="0" w:firstRowFirstColumn="0" w:firstRowLastColumn="0" w:lastRowFirstColumn="0" w:lastRowLastColumn="0"/>
            <w:tcW w:w="2263" w:type="dxa"/>
            <w:vAlign w:val="bottom"/>
          </w:tcPr>
          <w:p w:rsidR="00B362CB" w:rsidRPr="008D4D7E" w:rsidRDefault="00B362CB" w:rsidP="00475DB8">
            <w:pPr>
              <w:pStyle w:val="NumPara"/>
              <w:numPr>
                <w:ilvl w:val="0"/>
                <w:numId w:val="0"/>
              </w:numPr>
              <w:rPr>
                <w:color w:val="000000" w:themeColor="text1"/>
              </w:rPr>
            </w:pPr>
            <w:r w:rsidRPr="008D4D7E">
              <w:rPr>
                <w:color w:val="000000" w:themeColor="text1"/>
              </w:rPr>
              <w:t>Portfolio</w:t>
            </w:r>
          </w:p>
        </w:tc>
        <w:tc>
          <w:tcPr>
            <w:tcW w:w="1843" w:type="dxa"/>
            <w:vAlign w:val="bottom"/>
          </w:tcPr>
          <w:p w:rsidR="00B362CB" w:rsidRPr="008D4D7E" w:rsidRDefault="00B362CB" w:rsidP="00475DB8">
            <w:pPr>
              <w:pStyle w:val="NumPara"/>
              <w:numPr>
                <w:ilvl w:val="0"/>
                <w:numId w:val="0"/>
              </w:numPr>
              <w:jc w:val="right"/>
              <w:cnfStyle w:val="100000000000" w:firstRow="1" w:lastRow="0" w:firstColumn="0" w:lastColumn="0" w:oddVBand="0" w:evenVBand="0" w:oddHBand="0" w:evenHBand="0" w:firstRowFirstColumn="0" w:firstRowLastColumn="0" w:lastRowFirstColumn="0" w:lastRowLastColumn="0"/>
              <w:rPr>
                <w:color w:val="000000" w:themeColor="text1"/>
              </w:rPr>
            </w:pPr>
            <w:r w:rsidRPr="008D4D7E">
              <w:rPr>
                <w:color w:val="000000" w:themeColor="text1"/>
              </w:rPr>
              <w:t>Pay Saving £m</w:t>
            </w:r>
          </w:p>
        </w:tc>
        <w:tc>
          <w:tcPr>
            <w:tcW w:w="1418" w:type="dxa"/>
            <w:vAlign w:val="bottom"/>
          </w:tcPr>
          <w:p w:rsidR="00B362CB" w:rsidRPr="008D4D7E" w:rsidRDefault="00B362CB" w:rsidP="00475DB8">
            <w:pPr>
              <w:pStyle w:val="NumPara"/>
              <w:numPr>
                <w:ilvl w:val="0"/>
                <w:numId w:val="0"/>
              </w:numPr>
              <w:jc w:val="right"/>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8D4D7E">
              <w:rPr>
                <w:color w:val="000000" w:themeColor="text1"/>
              </w:rPr>
              <w:t>Overtime Saving £m</w:t>
            </w:r>
          </w:p>
        </w:tc>
        <w:tc>
          <w:tcPr>
            <w:tcW w:w="1275" w:type="dxa"/>
            <w:vAlign w:val="bottom"/>
          </w:tcPr>
          <w:p w:rsidR="00B362CB" w:rsidRPr="008D4D7E" w:rsidRDefault="00B362CB" w:rsidP="00475DB8">
            <w:pPr>
              <w:pStyle w:val="NumPara"/>
              <w:numPr>
                <w:ilvl w:val="0"/>
                <w:numId w:val="0"/>
              </w:numPr>
              <w:jc w:val="right"/>
              <w:cnfStyle w:val="100000000000" w:firstRow="1" w:lastRow="0" w:firstColumn="0" w:lastColumn="0" w:oddVBand="0" w:evenVBand="0" w:oddHBand="0" w:evenHBand="0" w:firstRowFirstColumn="0" w:firstRowLastColumn="0" w:lastRowFirstColumn="0" w:lastRowLastColumn="0"/>
              <w:rPr>
                <w:color w:val="000000" w:themeColor="text1"/>
              </w:rPr>
            </w:pPr>
            <w:r w:rsidRPr="008D4D7E">
              <w:rPr>
                <w:color w:val="000000" w:themeColor="text1"/>
              </w:rPr>
              <w:t>Non-pay saving £m</w:t>
            </w:r>
          </w:p>
        </w:tc>
        <w:tc>
          <w:tcPr>
            <w:tcW w:w="1711" w:type="dxa"/>
            <w:vAlign w:val="bottom"/>
          </w:tcPr>
          <w:p w:rsidR="00B362CB" w:rsidRPr="008D4D7E" w:rsidRDefault="00B362CB" w:rsidP="00475DB8">
            <w:pPr>
              <w:pStyle w:val="NumPara"/>
              <w:numPr>
                <w:ilvl w:val="0"/>
                <w:numId w:val="0"/>
              </w:numPr>
              <w:jc w:val="right"/>
              <w:cnfStyle w:val="100000000000" w:firstRow="1" w:lastRow="0" w:firstColumn="0" w:lastColumn="0" w:oddVBand="0" w:evenVBand="0" w:oddHBand="0" w:evenHBand="0" w:firstRowFirstColumn="0" w:firstRowLastColumn="0" w:lastRowFirstColumn="0" w:lastRowLastColumn="0"/>
              <w:rPr>
                <w:color w:val="000000" w:themeColor="text1"/>
              </w:rPr>
            </w:pPr>
            <w:r w:rsidRPr="008D4D7E">
              <w:rPr>
                <w:color w:val="000000" w:themeColor="text1"/>
              </w:rPr>
              <w:t>Total Saving £m</w:t>
            </w:r>
          </w:p>
        </w:tc>
      </w:tr>
      <w:tr w:rsidR="00B362CB" w:rsidRPr="00830681" w:rsidTr="00BA10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rsidR="00B362CB" w:rsidRPr="00BA108B" w:rsidRDefault="00B362CB" w:rsidP="00475DB8">
            <w:pPr>
              <w:pStyle w:val="NumPara"/>
              <w:numPr>
                <w:ilvl w:val="0"/>
                <w:numId w:val="0"/>
              </w:numPr>
              <w:rPr>
                <w:b w:val="0"/>
              </w:rPr>
            </w:pPr>
            <w:r w:rsidRPr="00BA108B">
              <w:t>Crime</w:t>
            </w:r>
          </w:p>
        </w:tc>
        <w:tc>
          <w:tcPr>
            <w:tcW w:w="1843" w:type="dxa"/>
          </w:tcPr>
          <w:p w:rsidR="00B362CB" w:rsidRPr="00BA108B" w:rsidRDefault="00B362CB"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rsidRPr="00BA108B">
              <w:t>2.49</w:t>
            </w:r>
          </w:p>
        </w:tc>
        <w:tc>
          <w:tcPr>
            <w:tcW w:w="1418" w:type="dxa"/>
          </w:tcPr>
          <w:p w:rsidR="00B362CB" w:rsidRPr="00BA108B" w:rsidRDefault="00B362CB"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rsidRPr="00BA108B">
              <w:t>1.44</w:t>
            </w:r>
          </w:p>
        </w:tc>
        <w:tc>
          <w:tcPr>
            <w:tcW w:w="1275" w:type="dxa"/>
          </w:tcPr>
          <w:p w:rsidR="00B362CB" w:rsidRPr="00BA108B" w:rsidRDefault="00B362CB"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rsidRPr="00BA108B">
              <w:t>0.38</w:t>
            </w:r>
          </w:p>
        </w:tc>
        <w:tc>
          <w:tcPr>
            <w:tcW w:w="1711" w:type="dxa"/>
          </w:tcPr>
          <w:p w:rsidR="00B362CB" w:rsidRPr="00BA108B" w:rsidRDefault="00B362CB"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rsidRPr="00BA108B">
              <w:t>4.31</w:t>
            </w:r>
          </w:p>
        </w:tc>
      </w:tr>
      <w:tr w:rsidR="00B362CB" w:rsidRPr="00830681" w:rsidTr="00BA108B">
        <w:trPr>
          <w:jc w:val="center"/>
        </w:trPr>
        <w:tc>
          <w:tcPr>
            <w:cnfStyle w:val="001000000000" w:firstRow="0" w:lastRow="0" w:firstColumn="1" w:lastColumn="0" w:oddVBand="0" w:evenVBand="0" w:oddHBand="0" w:evenHBand="0" w:firstRowFirstColumn="0" w:firstRowLastColumn="0" w:lastRowFirstColumn="0" w:lastRowLastColumn="0"/>
            <w:tcW w:w="2263" w:type="dxa"/>
          </w:tcPr>
          <w:p w:rsidR="00B362CB" w:rsidRPr="00BA108B" w:rsidRDefault="00B362CB" w:rsidP="00475DB8">
            <w:pPr>
              <w:pStyle w:val="NumPara"/>
              <w:numPr>
                <w:ilvl w:val="0"/>
                <w:numId w:val="0"/>
              </w:numPr>
              <w:rPr>
                <w:b w:val="0"/>
              </w:rPr>
            </w:pPr>
            <w:r w:rsidRPr="00BA108B">
              <w:t>Operations</w:t>
            </w:r>
          </w:p>
        </w:tc>
        <w:tc>
          <w:tcPr>
            <w:tcW w:w="1843" w:type="dxa"/>
          </w:tcPr>
          <w:p w:rsidR="00B362CB" w:rsidRPr="00BA108B" w:rsidRDefault="00B362CB"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rsidRPr="00BA108B">
              <w:t>0.26</w:t>
            </w:r>
          </w:p>
        </w:tc>
        <w:tc>
          <w:tcPr>
            <w:tcW w:w="1418" w:type="dxa"/>
          </w:tcPr>
          <w:p w:rsidR="00B362CB" w:rsidRPr="00BA108B" w:rsidRDefault="00B362CB"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rsidRPr="00BA108B">
              <w:t>0.09</w:t>
            </w:r>
          </w:p>
        </w:tc>
        <w:tc>
          <w:tcPr>
            <w:tcW w:w="1275" w:type="dxa"/>
          </w:tcPr>
          <w:p w:rsidR="00B362CB" w:rsidRPr="00BA108B" w:rsidRDefault="00B362CB"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rsidRPr="00BA108B">
              <w:t>0.04</w:t>
            </w:r>
          </w:p>
        </w:tc>
        <w:tc>
          <w:tcPr>
            <w:tcW w:w="1711" w:type="dxa"/>
          </w:tcPr>
          <w:p w:rsidR="00B362CB" w:rsidRPr="00BA108B" w:rsidRDefault="00B362CB"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rsidRPr="00BA108B">
              <w:t>0.39</w:t>
            </w:r>
          </w:p>
        </w:tc>
      </w:tr>
      <w:tr w:rsidR="00B362CB" w:rsidRPr="00830681" w:rsidTr="00BA10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rsidR="00B362CB" w:rsidRPr="00BA108B" w:rsidRDefault="00B362CB" w:rsidP="00475DB8">
            <w:pPr>
              <w:pStyle w:val="NumPara"/>
              <w:numPr>
                <w:ilvl w:val="0"/>
                <w:numId w:val="0"/>
              </w:numPr>
              <w:rPr>
                <w:b w:val="0"/>
              </w:rPr>
            </w:pPr>
            <w:r w:rsidRPr="00BA108B">
              <w:t>Local Policing</w:t>
            </w:r>
          </w:p>
        </w:tc>
        <w:tc>
          <w:tcPr>
            <w:tcW w:w="1843" w:type="dxa"/>
          </w:tcPr>
          <w:p w:rsidR="00B362CB" w:rsidRPr="00BA108B" w:rsidRDefault="00B362CB"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rsidRPr="00BA108B">
              <w:t>0.06</w:t>
            </w:r>
          </w:p>
        </w:tc>
        <w:tc>
          <w:tcPr>
            <w:tcW w:w="1418" w:type="dxa"/>
          </w:tcPr>
          <w:p w:rsidR="00B362CB" w:rsidRPr="00BA108B" w:rsidRDefault="00B362CB"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rsidRPr="00BA108B">
              <w:t>0.22</w:t>
            </w:r>
          </w:p>
        </w:tc>
        <w:tc>
          <w:tcPr>
            <w:tcW w:w="1275" w:type="dxa"/>
          </w:tcPr>
          <w:p w:rsidR="00B362CB" w:rsidRPr="00BA108B" w:rsidRDefault="00B362CB"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rsidRPr="00BA108B">
              <w:t>0.0</w:t>
            </w:r>
          </w:p>
        </w:tc>
        <w:tc>
          <w:tcPr>
            <w:tcW w:w="1711" w:type="dxa"/>
          </w:tcPr>
          <w:p w:rsidR="00B362CB" w:rsidRPr="00BA108B" w:rsidRDefault="00B362CB"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rsidRPr="00BA108B">
              <w:t>0.28</w:t>
            </w:r>
          </w:p>
        </w:tc>
      </w:tr>
      <w:tr w:rsidR="00B362CB" w:rsidRPr="00830681" w:rsidTr="00BA108B">
        <w:trPr>
          <w:jc w:val="center"/>
        </w:trPr>
        <w:tc>
          <w:tcPr>
            <w:cnfStyle w:val="001000000000" w:firstRow="0" w:lastRow="0" w:firstColumn="1" w:lastColumn="0" w:oddVBand="0" w:evenVBand="0" w:oddHBand="0" w:evenHBand="0" w:firstRowFirstColumn="0" w:firstRowLastColumn="0" w:lastRowFirstColumn="0" w:lastRowLastColumn="0"/>
            <w:tcW w:w="2263" w:type="dxa"/>
          </w:tcPr>
          <w:p w:rsidR="00B362CB" w:rsidRPr="00BA108B" w:rsidRDefault="00B362CB" w:rsidP="00475DB8">
            <w:pPr>
              <w:pStyle w:val="NumPara"/>
              <w:numPr>
                <w:ilvl w:val="0"/>
                <w:numId w:val="0"/>
              </w:numPr>
              <w:rPr>
                <w:b w:val="0"/>
              </w:rPr>
            </w:pPr>
            <w:r w:rsidRPr="00BA108B">
              <w:t>Security</w:t>
            </w:r>
          </w:p>
        </w:tc>
        <w:tc>
          <w:tcPr>
            <w:tcW w:w="1843" w:type="dxa"/>
          </w:tcPr>
          <w:p w:rsidR="00B362CB" w:rsidRPr="00BA108B" w:rsidRDefault="00B362CB"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rsidRPr="00BA108B">
              <w:t>1.31</w:t>
            </w:r>
          </w:p>
        </w:tc>
        <w:tc>
          <w:tcPr>
            <w:tcW w:w="1418" w:type="dxa"/>
          </w:tcPr>
          <w:p w:rsidR="00B362CB" w:rsidRPr="00BA108B" w:rsidRDefault="00B362CB"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rsidRPr="00BA108B">
              <w:t>0.08</w:t>
            </w:r>
          </w:p>
        </w:tc>
        <w:tc>
          <w:tcPr>
            <w:tcW w:w="1275" w:type="dxa"/>
          </w:tcPr>
          <w:p w:rsidR="00B362CB" w:rsidRPr="00BA108B" w:rsidRDefault="00B362CB"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rsidRPr="00BA108B">
              <w:t>0.43</w:t>
            </w:r>
          </w:p>
        </w:tc>
        <w:tc>
          <w:tcPr>
            <w:tcW w:w="1711" w:type="dxa"/>
          </w:tcPr>
          <w:p w:rsidR="00B362CB" w:rsidRPr="00BA108B" w:rsidRDefault="00B362CB"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rsidRPr="00BA108B">
              <w:t>1.82</w:t>
            </w:r>
          </w:p>
        </w:tc>
      </w:tr>
      <w:tr w:rsidR="00B362CB" w:rsidRPr="00830681" w:rsidTr="00BA10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rsidR="00B362CB" w:rsidRPr="00BA108B" w:rsidRDefault="00B362CB" w:rsidP="00475DB8">
            <w:pPr>
              <w:pStyle w:val="NumPara"/>
              <w:numPr>
                <w:ilvl w:val="0"/>
                <w:numId w:val="0"/>
              </w:numPr>
              <w:rPr>
                <w:b w:val="0"/>
              </w:rPr>
            </w:pPr>
            <w:r w:rsidRPr="00BA108B">
              <w:t>DCC</w:t>
            </w:r>
          </w:p>
        </w:tc>
        <w:tc>
          <w:tcPr>
            <w:tcW w:w="1843" w:type="dxa"/>
          </w:tcPr>
          <w:p w:rsidR="00B362CB" w:rsidRPr="00BA108B" w:rsidRDefault="00B362CB"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rsidRPr="00BA108B">
              <w:t>0.54</w:t>
            </w:r>
          </w:p>
        </w:tc>
        <w:tc>
          <w:tcPr>
            <w:tcW w:w="1418" w:type="dxa"/>
          </w:tcPr>
          <w:p w:rsidR="00B362CB" w:rsidRPr="00BA108B" w:rsidRDefault="00B362CB"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rsidRPr="00BA108B">
              <w:t>0.00</w:t>
            </w:r>
          </w:p>
        </w:tc>
        <w:tc>
          <w:tcPr>
            <w:tcW w:w="1275" w:type="dxa"/>
          </w:tcPr>
          <w:p w:rsidR="00B362CB" w:rsidRPr="00BA108B" w:rsidRDefault="00B362CB"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rsidRPr="00BA108B">
              <w:t>0.05</w:t>
            </w:r>
          </w:p>
        </w:tc>
        <w:tc>
          <w:tcPr>
            <w:tcW w:w="1711" w:type="dxa"/>
          </w:tcPr>
          <w:p w:rsidR="00B362CB" w:rsidRPr="00BA108B" w:rsidRDefault="00B362CB"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rsidRPr="00BA108B">
              <w:t>0.59</w:t>
            </w:r>
          </w:p>
        </w:tc>
      </w:tr>
      <w:tr w:rsidR="00B362CB" w:rsidRPr="00830681" w:rsidTr="00BA108B">
        <w:trPr>
          <w:jc w:val="center"/>
        </w:trPr>
        <w:tc>
          <w:tcPr>
            <w:cnfStyle w:val="001000000000" w:firstRow="0" w:lastRow="0" w:firstColumn="1" w:lastColumn="0" w:oddVBand="0" w:evenVBand="0" w:oddHBand="0" w:evenHBand="0" w:firstRowFirstColumn="0" w:firstRowLastColumn="0" w:lastRowFirstColumn="0" w:lastRowLastColumn="0"/>
            <w:tcW w:w="2263" w:type="dxa"/>
          </w:tcPr>
          <w:p w:rsidR="00B362CB" w:rsidRPr="00BA108B" w:rsidRDefault="00B362CB" w:rsidP="00475DB8">
            <w:pPr>
              <w:pStyle w:val="NumPara"/>
              <w:numPr>
                <w:ilvl w:val="0"/>
                <w:numId w:val="0"/>
              </w:numPr>
              <w:rPr>
                <w:b w:val="0"/>
              </w:rPr>
            </w:pPr>
            <w:r w:rsidRPr="00BA108B">
              <w:t>Commercial Services</w:t>
            </w:r>
          </w:p>
        </w:tc>
        <w:tc>
          <w:tcPr>
            <w:tcW w:w="1843" w:type="dxa"/>
          </w:tcPr>
          <w:p w:rsidR="00B362CB" w:rsidRPr="00BA108B" w:rsidRDefault="00B362CB"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rsidRPr="00BA108B">
              <w:t>1.09</w:t>
            </w:r>
          </w:p>
        </w:tc>
        <w:tc>
          <w:tcPr>
            <w:tcW w:w="1418" w:type="dxa"/>
          </w:tcPr>
          <w:p w:rsidR="00B362CB" w:rsidRPr="00BA108B" w:rsidRDefault="00B362CB"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rsidRPr="00BA108B">
              <w:t>0.05</w:t>
            </w:r>
          </w:p>
        </w:tc>
        <w:tc>
          <w:tcPr>
            <w:tcW w:w="1275" w:type="dxa"/>
          </w:tcPr>
          <w:p w:rsidR="00B362CB" w:rsidRPr="00BA108B" w:rsidRDefault="00B362CB"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rsidRPr="00BA108B">
              <w:t>3.46</w:t>
            </w:r>
          </w:p>
        </w:tc>
        <w:tc>
          <w:tcPr>
            <w:tcW w:w="1711" w:type="dxa"/>
          </w:tcPr>
          <w:p w:rsidR="00B362CB" w:rsidRPr="00BA108B" w:rsidRDefault="00B362CB"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rsidRPr="00BA108B">
              <w:t>4.60</w:t>
            </w:r>
          </w:p>
        </w:tc>
      </w:tr>
      <w:tr w:rsidR="00B362CB" w:rsidRPr="00830681" w:rsidTr="00BA10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rsidR="00B362CB" w:rsidRPr="00BA108B" w:rsidRDefault="00B362CB" w:rsidP="00475DB8">
            <w:pPr>
              <w:pStyle w:val="NumPara"/>
              <w:numPr>
                <w:ilvl w:val="0"/>
                <w:numId w:val="0"/>
              </w:numPr>
              <w:rPr>
                <w:b w:val="0"/>
              </w:rPr>
            </w:pPr>
            <w:r w:rsidRPr="00BA108B">
              <w:t>People and Learning</w:t>
            </w:r>
          </w:p>
        </w:tc>
        <w:tc>
          <w:tcPr>
            <w:tcW w:w="1843" w:type="dxa"/>
          </w:tcPr>
          <w:p w:rsidR="00B362CB" w:rsidRPr="00BA108B" w:rsidRDefault="00B362CB"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rsidRPr="00BA108B">
              <w:t>0.14</w:t>
            </w:r>
          </w:p>
        </w:tc>
        <w:tc>
          <w:tcPr>
            <w:tcW w:w="1418" w:type="dxa"/>
          </w:tcPr>
          <w:p w:rsidR="00B362CB" w:rsidRPr="00BA108B" w:rsidRDefault="00B362CB"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rsidRPr="00BA108B">
              <w:t>0.00</w:t>
            </w:r>
          </w:p>
        </w:tc>
        <w:tc>
          <w:tcPr>
            <w:tcW w:w="1275" w:type="dxa"/>
          </w:tcPr>
          <w:p w:rsidR="00B362CB" w:rsidRPr="00BA108B" w:rsidRDefault="00B362CB"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rsidRPr="00BA108B">
              <w:t>0.93</w:t>
            </w:r>
          </w:p>
        </w:tc>
        <w:tc>
          <w:tcPr>
            <w:tcW w:w="1711" w:type="dxa"/>
          </w:tcPr>
          <w:p w:rsidR="00B362CB" w:rsidRPr="00BA108B" w:rsidRDefault="00B362CB"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rsidRPr="00BA108B">
              <w:t>1.07</w:t>
            </w:r>
          </w:p>
        </w:tc>
      </w:tr>
      <w:tr w:rsidR="00B362CB" w:rsidTr="00BA108B">
        <w:trPr>
          <w:jc w:val="center"/>
        </w:trPr>
        <w:tc>
          <w:tcPr>
            <w:cnfStyle w:val="001000000000" w:firstRow="0" w:lastRow="0" w:firstColumn="1" w:lastColumn="0" w:oddVBand="0" w:evenVBand="0" w:oddHBand="0" w:evenHBand="0" w:firstRowFirstColumn="0" w:firstRowLastColumn="0" w:lastRowFirstColumn="0" w:lastRowLastColumn="0"/>
            <w:tcW w:w="2263" w:type="dxa"/>
          </w:tcPr>
          <w:p w:rsidR="00B362CB" w:rsidRPr="00BA108B" w:rsidRDefault="00B362CB" w:rsidP="00475DB8">
            <w:pPr>
              <w:pStyle w:val="NumPara"/>
              <w:numPr>
                <w:ilvl w:val="0"/>
                <w:numId w:val="0"/>
              </w:numPr>
            </w:pPr>
            <w:r w:rsidRPr="00BA108B">
              <w:t>Total</w:t>
            </w:r>
          </w:p>
        </w:tc>
        <w:tc>
          <w:tcPr>
            <w:tcW w:w="1843" w:type="dxa"/>
          </w:tcPr>
          <w:p w:rsidR="00B362CB" w:rsidRPr="00BA108B" w:rsidRDefault="00B362CB"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rPr>
                <w:b/>
              </w:rPr>
            </w:pPr>
            <w:r w:rsidRPr="00BA108B">
              <w:rPr>
                <w:b/>
              </w:rPr>
              <w:t>5.89</w:t>
            </w:r>
          </w:p>
        </w:tc>
        <w:tc>
          <w:tcPr>
            <w:tcW w:w="1418" w:type="dxa"/>
          </w:tcPr>
          <w:p w:rsidR="00B362CB" w:rsidRPr="00BA108B" w:rsidRDefault="00B362CB"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rPr>
                <w:b/>
              </w:rPr>
            </w:pPr>
            <w:r w:rsidRPr="00BA108B">
              <w:rPr>
                <w:b/>
              </w:rPr>
              <w:t>1.88</w:t>
            </w:r>
          </w:p>
        </w:tc>
        <w:tc>
          <w:tcPr>
            <w:tcW w:w="1275" w:type="dxa"/>
          </w:tcPr>
          <w:p w:rsidR="00B362CB" w:rsidRPr="00BA108B" w:rsidRDefault="00B362CB"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rPr>
                <w:b/>
              </w:rPr>
            </w:pPr>
            <w:r w:rsidRPr="00BA108B">
              <w:rPr>
                <w:b/>
              </w:rPr>
              <w:t>5.29</w:t>
            </w:r>
          </w:p>
        </w:tc>
        <w:tc>
          <w:tcPr>
            <w:tcW w:w="1711" w:type="dxa"/>
          </w:tcPr>
          <w:p w:rsidR="00B362CB" w:rsidRPr="00B362CB" w:rsidRDefault="00B362CB"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rPr>
                <w:b/>
              </w:rPr>
            </w:pPr>
            <w:r w:rsidRPr="00BA108B">
              <w:rPr>
                <w:b/>
              </w:rPr>
              <w:t>13.06</w:t>
            </w:r>
          </w:p>
        </w:tc>
      </w:tr>
    </w:tbl>
    <w:p w:rsidR="000670B9" w:rsidRDefault="000670B9" w:rsidP="000670B9">
      <w:pPr>
        <w:pStyle w:val="Heading2"/>
      </w:pPr>
      <w:r w:rsidRPr="000B030A">
        <w:t xml:space="preserve">The subjective analysis of the proposed 2023/24 budget is shown in </w:t>
      </w:r>
      <w:r w:rsidRPr="000B030A">
        <w:rPr>
          <w:b/>
        </w:rPr>
        <w:t>Appendix 1</w:t>
      </w:r>
      <w:r w:rsidRPr="000B030A">
        <w:t>, along with the base budget from 2022/23.</w:t>
      </w:r>
    </w:p>
    <w:p w:rsidR="003160C7" w:rsidRDefault="003160C7" w:rsidP="00D6167B">
      <w:pPr>
        <w:pStyle w:val="Heading1"/>
        <w:ind w:left="567" w:hanging="567"/>
      </w:pPr>
      <w:r>
        <w:t>Police and Crime Commissioner</w:t>
      </w:r>
      <w:r w:rsidR="00E00059">
        <w:t xml:space="preserve"> Office</w:t>
      </w:r>
    </w:p>
    <w:p w:rsidR="003160C7" w:rsidRDefault="003160C7" w:rsidP="002631F6">
      <w:pPr>
        <w:pStyle w:val="Heading2"/>
      </w:pPr>
      <w:r>
        <w:t xml:space="preserve">The proposed budget for the Police and Crime Commission’s office for 2023/24 compared to the budget for 2022/23 is shown in the table below.  The 2023/24 budget includes provisions for the impact of the national 2022/23 and 2023/24 pay award, staff increments and an increase in the employer’s pension contribution.  </w:t>
      </w:r>
    </w:p>
    <w:p w:rsidR="003160C7" w:rsidRDefault="003160C7" w:rsidP="002631F6">
      <w:pPr>
        <w:pStyle w:val="Heading2"/>
      </w:pPr>
      <w:r>
        <w:t xml:space="preserve">The Office supports the functions of the PCC, including commissioned services, supporting victims, engaging with the </w:t>
      </w:r>
      <w:r w:rsidRPr="008A11CA">
        <w:t xml:space="preserve">public, internal audit, running grants schemes, custody visiting, managing complaints appeals and responsibility for overseeing, scrutinising and leading the police force.  The Office is responsible for victim services in the region, including supporting victims of domestic abuse and sexual assault.  For many of these grant funded schemes the Office absorbs the overhead ensuring the maximum amount of money is allocated to the receivers of the services.  The Office continues to support projects such as the </w:t>
      </w:r>
      <w:r w:rsidRPr="008A11CA">
        <w:lastRenderedPageBreak/>
        <w:t>Regional Criminal Justice Forum on behalf of the four-regional force / OPCC areas</w:t>
      </w:r>
      <w:r>
        <w:t>.</w:t>
      </w:r>
    </w:p>
    <w:p w:rsidR="00374B8C" w:rsidRDefault="003160C7" w:rsidP="002631F6">
      <w:pPr>
        <w:pStyle w:val="Heading2"/>
      </w:pPr>
      <w:r>
        <w:t xml:space="preserve">The PCC’s Office has identified £276k worth of savings (around 8%) as part of the budget setting process of its 2023/24 base budget.  </w:t>
      </w:r>
      <w:r w:rsidRPr="00524057">
        <w:t>These savings relate to vacant posts, posts that are now funded from alternative sources of funding and other non-pay budgets.</w:t>
      </w:r>
    </w:p>
    <w:tbl>
      <w:tblPr>
        <w:tblStyle w:val="GridTable4-Accent1"/>
        <w:tblW w:w="0" w:type="auto"/>
        <w:jc w:val="center"/>
        <w:tblInd w:w="0" w:type="dxa"/>
        <w:tblLook w:val="04A0" w:firstRow="1" w:lastRow="0" w:firstColumn="1" w:lastColumn="0" w:noHBand="0" w:noVBand="1"/>
      </w:tblPr>
      <w:tblGrid>
        <w:gridCol w:w="4537"/>
        <w:gridCol w:w="1701"/>
        <w:gridCol w:w="1701"/>
      </w:tblGrid>
      <w:tr w:rsidR="003160C7" w:rsidTr="00475D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vAlign w:val="bottom"/>
          </w:tcPr>
          <w:p w:rsidR="003160C7" w:rsidRPr="001648B6" w:rsidRDefault="003160C7" w:rsidP="00475DB8">
            <w:pPr>
              <w:pStyle w:val="NumPara"/>
              <w:numPr>
                <w:ilvl w:val="0"/>
                <w:numId w:val="0"/>
              </w:numPr>
              <w:rPr>
                <w:color w:val="auto"/>
              </w:rPr>
            </w:pPr>
            <w:r w:rsidRPr="001648B6">
              <w:rPr>
                <w:color w:val="auto"/>
              </w:rPr>
              <w:t>Office of the Police and Crime Commissioner Breakdown</w:t>
            </w:r>
          </w:p>
        </w:tc>
        <w:tc>
          <w:tcPr>
            <w:tcW w:w="1701" w:type="dxa"/>
            <w:vAlign w:val="bottom"/>
          </w:tcPr>
          <w:p w:rsidR="003160C7" w:rsidRPr="001648B6" w:rsidRDefault="003160C7" w:rsidP="00475DB8">
            <w:pPr>
              <w:pStyle w:val="NumPara"/>
              <w:numPr>
                <w:ilvl w:val="0"/>
                <w:numId w:val="0"/>
              </w:numPr>
              <w:jc w:val="right"/>
              <w:cnfStyle w:val="100000000000" w:firstRow="1" w:lastRow="0" w:firstColumn="0" w:lastColumn="0" w:oddVBand="0" w:evenVBand="0" w:oddHBand="0" w:evenHBand="0" w:firstRowFirstColumn="0" w:firstRowLastColumn="0" w:lastRowFirstColumn="0" w:lastRowLastColumn="0"/>
              <w:rPr>
                <w:color w:val="auto"/>
              </w:rPr>
            </w:pPr>
            <w:r w:rsidRPr="001648B6">
              <w:rPr>
                <w:color w:val="auto"/>
              </w:rPr>
              <w:t>Budget 2022/23</w:t>
            </w:r>
            <w:r w:rsidRPr="001648B6">
              <w:rPr>
                <w:color w:val="auto"/>
              </w:rPr>
              <w:br/>
              <w:t>£,000</w:t>
            </w:r>
          </w:p>
        </w:tc>
        <w:tc>
          <w:tcPr>
            <w:tcW w:w="1701" w:type="dxa"/>
            <w:vAlign w:val="bottom"/>
          </w:tcPr>
          <w:p w:rsidR="003160C7" w:rsidRPr="001648B6" w:rsidRDefault="003160C7" w:rsidP="00475DB8">
            <w:pPr>
              <w:pStyle w:val="NumPara"/>
              <w:numPr>
                <w:ilvl w:val="0"/>
                <w:numId w:val="0"/>
              </w:numPr>
              <w:jc w:val="right"/>
              <w:cnfStyle w:val="100000000000" w:firstRow="1" w:lastRow="0" w:firstColumn="0" w:lastColumn="0" w:oddVBand="0" w:evenVBand="0" w:oddHBand="0" w:evenHBand="0" w:firstRowFirstColumn="0" w:firstRowLastColumn="0" w:lastRowFirstColumn="0" w:lastRowLastColumn="0"/>
              <w:rPr>
                <w:color w:val="auto"/>
              </w:rPr>
            </w:pPr>
            <w:r w:rsidRPr="001648B6">
              <w:rPr>
                <w:color w:val="auto"/>
              </w:rPr>
              <w:t>Proposed Budget 2023/24</w:t>
            </w:r>
            <w:r w:rsidRPr="001648B6">
              <w:rPr>
                <w:color w:val="auto"/>
              </w:rPr>
              <w:br/>
              <w:t>£,000</w:t>
            </w:r>
          </w:p>
        </w:tc>
      </w:tr>
      <w:tr w:rsidR="003160C7" w:rsidTr="00475D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tcPr>
          <w:p w:rsidR="003160C7" w:rsidRPr="001648B6" w:rsidRDefault="003160C7" w:rsidP="00475DB8">
            <w:pPr>
              <w:pStyle w:val="NumPara"/>
              <w:numPr>
                <w:ilvl w:val="0"/>
                <w:numId w:val="0"/>
              </w:numPr>
              <w:rPr>
                <w:b w:val="0"/>
              </w:rPr>
            </w:pPr>
            <w:r w:rsidRPr="001648B6">
              <w:rPr>
                <w:b w:val="0"/>
              </w:rPr>
              <w:t>Governance</w:t>
            </w:r>
          </w:p>
        </w:tc>
        <w:tc>
          <w:tcPr>
            <w:tcW w:w="1701" w:type="dxa"/>
          </w:tcPr>
          <w:p w:rsidR="003160C7" w:rsidRDefault="003160C7"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311</w:t>
            </w:r>
          </w:p>
        </w:tc>
        <w:tc>
          <w:tcPr>
            <w:tcW w:w="1701" w:type="dxa"/>
          </w:tcPr>
          <w:p w:rsidR="003160C7" w:rsidRDefault="003160C7"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309</w:t>
            </w:r>
          </w:p>
        </w:tc>
      </w:tr>
      <w:tr w:rsidR="003160C7" w:rsidTr="00475DB8">
        <w:trPr>
          <w:jc w:val="center"/>
        </w:trPr>
        <w:tc>
          <w:tcPr>
            <w:cnfStyle w:val="001000000000" w:firstRow="0" w:lastRow="0" w:firstColumn="1" w:lastColumn="0" w:oddVBand="0" w:evenVBand="0" w:oddHBand="0" w:evenHBand="0" w:firstRowFirstColumn="0" w:firstRowLastColumn="0" w:lastRowFirstColumn="0" w:lastRowLastColumn="0"/>
            <w:tcW w:w="4537" w:type="dxa"/>
          </w:tcPr>
          <w:p w:rsidR="003160C7" w:rsidRPr="001648B6" w:rsidRDefault="003160C7" w:rsidP="00475DB8">
            <w:pPr>
              <w:pStyle w:val="NumPara"/>
              <w:numPr>
                <w:ilvl w:val="0"/>
                <w:numId w:val="0"/>
              </w:numPr>
              <w:rPr>
                <w:b w:val="0"/>
              </w:rPr>
            </w:pPr>
            <w:r w:rsidRPr="001648B6">
              <w:rPr>
                <w:b w:val="0"/>
              </w:rPr>
              <w:t>Staff and Office Support costs</w:t>
            </w:r>
          </w:p>
        </w:tc>
        <w:tc>
          <w:tcPr>
            <w:tcW w:w="1701" w:type="dxa"/>
          </w:tcPr>
          <w:p w:rsidR="003160C7" w:rsidRDefault="003160C7"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2,284</w:t>
            </w:r>
          </w:p>
        </w:tc>
        <w:tc>
          <w:tcPr>
            <w:tcW w:w="1701" w:type="dxa"/>
          </w:tcPr>
          <w:p w:rsidR="003160C7" w:rsidRDefault="003160C7"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2,234</w:t>
            </w:r>
          </w:p>
        </w:tc>
      </w:tr>
      <w:tr w:rsidR="003160C7" w:rsidTr="00475D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tcPr>
          <w:p w:rsidR="003160C7" w:rsidRPr="001648B6" w:rsidRDefault="003160C7" w:rsidP="00475DB8">
            <w:pPr>
              <w:pStyle w:val="NumPara"/>
              <w:numPr>
                <w:ilvl w:val="0"/>
                <w:numId w:val="0"/>
              </w:numPr>
              <w:rPr>
                <w:b w:val="0"/>
              </w:rPr>
            </w:pPr>
            <w:r w:rsidRPr="001648B6">
              <w:rPr>
                <w:b w:val="0"/>
              </w:rPr>
              <w:t xml:space="preserve">Consultation, ICT </w:t>
            </w:r>
            <w:r>
              <w:rPr>
                <w:b w:val="0"/>
              </w:rPr>
              <w:t>and Supplies and Services</w:t>
            </w:r>
          </w:p>
        </w:tc>
        <w:tc>
          <w:tcPr>
            <w:tcW w:w="1701" w:type="dxa"/>
          </w:tcPr>
          <w:p w:rsidR="003160C7" w:rsidRDefault="003160C7"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114</w:t>
            </w:r>
          </w:p>
        </w:tc>
        <w:tc>
          <w:tcPr>
            <w:tcW w:w="1701" w:type="dxa"/>
          </w:tcPr>
          <w:p w:rsidR="003160C7" w:rsidRDefault="003160C7"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42</w:t>
            </w:r>
          </w:p>
        </w:tc>
      </w:tr>
      <w:tr w:rsidR="003160C7" w:rsidTr="00475DB8">
        <w:trPr>
          <w:jc w:val="center"/>
        </w:trPr>
        <w:tc>
          <w:tcPr>
            <w:cnfStyle w:val="001000000000" w:firstRow="0" w:lastRow="0" w:firstColumn="1" w:lastColumn="0" w:oddVBand="0" w:evenVBand="0" w:oddHBand="0" w:evenHBand="0" w:firstRowFirstColumn="0" w:firstRowLastColumn="0" w:lastRowFirstColumn="0" w:lastRowLastColumn="0"/>
            <w:tcW w:w="4537" w:type="dxa"/>
          </w:tcPr>
          <w:p w:rsidR="003160C7" w:rsidRPr="001648B6" w:rsidRDefault="003160C7" w:rsidP="00475DB8">
            <w:pPr>
              <w:pStyle w:val="NumPara"/>
              <w:numPr>
                <w:ilvl w:val="0"/>
                <w:numId w:val="0"/>
              </w:numPr>
              <w:rPr>
                <w:b w:val="0"/>
              </w:rPr>
            </w:pPr>
            <w:r w:rsidRPr="001648B6">
              <w:rPr>
                <w:b w:val="0"/>
              </w:rPr>
              <w:t>Police Misconduct Hearings inc</w:t>
            </w:r>
            <w:r>
              <w:rPr>
                <w:b w:val="0"/>
              </w:rPr>
              <w:t>luding</w:t>
            </w:r>
            <w:r w:rsidRPr="001648B6">
              <w:rPr>
                <w:b w:val="0"/>
              </w:rPr>
              <w:t xml:space="preserve"> Legally Qualified Chairs</w:t>
            </w:r>
          </w:p>
        </w:tc>
        <w:tc>
          <w:tcPr>
            <w:tcW w:w="1701" w:type="dxa"/>
            <w:vAlign w:val="center"/>
          </w:tcPr>
          <w:p w:rsidR="003160C7" w:rsidRDefault="003160C7"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35</w:t>
            </w:r>
          </w:p>
        </w:tc>
        <w:tc>
          <w:tcPr>
            <w:tcW w:w="1701" w:type="dxa"/>
            <w:vAlign w:val="center"/>
          </w:tcPr>
          <w:p w:rsidR="003160C7" w:rsidRDefault="003160C7"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35</w:t>
            </w:r>
          </w:p>
        </w:tc>
      </w:tr>
      <w:tr w:rsidR="003160C7" w:rsidTr="00475D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tcPr>
          <w:p w:rsidR="003160C7" w:rsidRPr="001648B6" w:rsidRDefault="003160C7" w:rsidP="00475DB8">
            <w:pPr>
              <w:pStyle w:val="NumPara"/>
              <w:numPr>
                <w:ilvl w:val="0"/>
                <w:numId w:val="0"/>
              </w:numPr>
              <w:rPr>
                <w:b w:val="0"/>
              </w:rPr>
            </w:pPr>
            <w:r w:rsidRPr="001648B6">
              <w:rPr>
                <w:b w:val="0"/>
              </w:rPr>
              <w:t>Subscriptions</w:t>
            </w:r>
          </w:p>
        </w:tc>
        <w:tc>
          <w:tcPr>
            <w:tcW w:w="1701" w:type="dxa"/>
          </w:tcPr>
          <w:p w:rsidR="003160C7" w:rsidRDefault="003160C7"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40</w:t>
            </w:r>
          </w:p>
        </w:tc>
        <w:tc>
          <w:tcPr>
            <w:tcW w:w="1701" w:type="dxa"/>
          </w:tcPr>
          <w:p w:rsidR="003160C7" w:rsidRDefault="003160C7"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40</w:t>
            </w:r>
          </w:p>
        </w:tc>
      </w:tr>
      <w:tr w:rsidR="003160C7" w:rsidTr="00475DB8">
        <w:trPr>
          <w:jc w:val="center"/>
        </w:trPr>
        <w:tc>
          <w:tcPr>
            <w:cnfStyle w:val="001000000000" w:firstRow="0" w:lastRow="0" w:firstColumn="1" w:lastColumn="0" w:oddVBand="0" w:evenVBand="0" w:oddHBand="0" w:evenHBand="0" w:firstRowFirstColumn="0" w:firstRowLastColumn="0" w:lastRowFirstColumn="0" w:lastRowLastColumn="0"/>
            <w:tcW w:w="4537" w:type="dxa"/>
          </w:tcPr>
          <w:p w:rsidR="003160C7" w:rsidRPr="001648B6" w:rsidRDefault="003160C7" w:rsidP="00475DB8">
            <w:pPr>
              <w:pStyle w:val="NumPara"/>
              <w:numPr>
                <w:ilvl w:val="0"/>
                <w:numId w:val="0"/>
              </w:numPr>
              <w:rPr>
                <w:b w:val="0"/>
              </w:rPr>
            </w:pPr>
            <w:r w:rsidRPr="001648B6">
              <w:rPr>
                <w:b w:val="0"/>
              </w:rPr>
              <w:t>Bank Charges and External Audit Fees</w:t>
            </w:r>
          </w:p>
        </w:tc>
        <w:tc>
          <w:tcPr>
            <w:tcW w:w="1701" w:type="dxa"/>
          </w:tcPr>
          <w:p w:rsidR="003160C7" w:rsidRDefault="003160C7"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85</w:t>
            </w:r>
          </w:p>
        </w:tc>
        <w:tc>
          <w:tcPr>
            <w:tcW w:w="1701" w:type="dxa"/>
          </w:tcPr>
          <w:p w:rsidR="003160C7" w:rsidRDefault="003160C7"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85</w:t>
            </w:r>
          </w:p>
        </w:tc>
      </w:tr>
      <w:tr w:rsidR="003160C7" w:rsidTr="00475D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tcPr>
          <w:p w:rsidR="003160C7" w:rsidRPr="001648B6" w:rsidRDefault="003160C7" w:rsidP="00475DB8">
            <w:pPr>
              <w:pStyle w:val="NumPara"/>
              <w:numPr>
                <w:ilvl w:val="0"/>
                <w:numId w:val="0"/>
              </w:numPr>
              <w:rPr>
                <w:b w:val="0"/>
              </w:rPr>
            </w:pPr>
            <w:r w:rsidRPr="001648B6">
              <w:rPr>
                <w:b w:val="0"/>
              </w:rPr>
              <w:t>Custody Visiting</w:t>
            </w:r>
          </w:p>
        </w:tc>
        <w:tc>
          <w:tcPr>
            <w:tcW w:w="1701" w:type="dxa"/>
          </w:tcPr>
          <w:p w:rsidR="003160C7" w:rsidRDefault="003160C7"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10</w:t>
            </w:r>
          </w:p>
        </w:tc>
        <w:tc>
          <w:tcPr>
            <w:tcW w:w="1701" w:type="dxa"/>
          </w:tcPr>
          <w:p w:rsidR="003160C7" w:rsidRDefault="003160C7"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10</w:t>
            </w:r>
          </w:p>
        </w:tc>
      </w:tr>
      <w:tr w:rsidR="003160C7" w:rsidTr="00475DB8">
        <w:trPr>
          <w:jc w:val="center"/>
        </w:trPr>
        <w:tc>
          <w:tcPr>
            <w:cnfStyle w:val="001000000000" w:firstRow="0" w:lastRow="0" w:firstColumn="1" w:lastColumn="0" w:oddVBand="0" w:evenVBand="0" w:oddHBand="0" w:evenHBand="0" w:firstRowFirstColumn="0" w:firstRowLastColumn="0" w:lastRowFirstColumn="0" w:lastRowLastColumn="0"/>
            <w:tcW w:w="4537" w:type="dxa"/>
          </w:tcPr>
          <w:p w:rsidR="003160C7" w:rsidRPr="001648B6" w:rsidRDefault="003160C7" w:rsidP="00475DB8">
            <w:pPr>
              <w:pStyle w:val="NumPara"/>
              <w:numPr>
                <w:ilvl w:val="0"/>
                <w:numId w:val="0"/>
              </w:numPr>
              <w:rPr>
                <w:b w:val="0"/>
              </w:rPr>
            </w:pPr>
            <w:r w:rsidRPr="001648B6">
              <w:rPr>
                <w:b w:val="0"/>
              </w:rPr>
              <w:t>Professional Services</w:t>
            </w:r>
          </w:p>
        </w:tc>
        <w:tc>
          <w:tcPr>
            <w:tcW w:w="1701" w:type="dxa"/>
          </w:tcPr>
          <w:p w:rsidR="003160C7" w:rsidRDefault="003160C7"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66</w:t>
            </w:r>
          </w:p>
        </w:tc>
        <w:tc>
          <w:tcPr>
            <w:tcW w:w="1701" w:type="dxa"/>
          </w:tcPr>
          <w:p w:rsidR="003160C7" w:rsidRDefault="003160C7"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66</w:t>
            </w:r>
          </w:p>
        </w:tc>
      </w:tr>
      <w:tr w:rsidR="003160C7" w:rsidTr="00475D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7" w:type="dxa"/>
          </w:tcPr>
          <w:p w:rsidR="003160C7" w:rsidRDefault="003160C7" w:rsidP="00475DB8">
            <w:pPr>
              <w:pStyle w:val="NumPara"/>
              <w:numPr>
                <w:ilvl w:val="0"/>
                <w:numId w:val="0"/>
              </w:numPr>
            </w:pPr>
            <w:r>
              <w:t>Total Budget</w:t>
            </w:r>
          </w:p>
        </w:tc>
        <w:tc>
          <w:tcPr>
            <w:tcW w:w="1701" w:type="dxa"/>
          </w:tcPr>
          <w:p w:rsidR="003160C7" w:rsidRPr="001648B6" w:rsidRDefault="003160C7"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rPr>
                <w:b/>
              </w:rPr>
            </w:pPr>
            <w:r w:rsidRPr="001648B6">
              <w:rPr>
                <w:b/>
              </w:rPr>
              <w:t>2,945</w:t>
            </w:r>
          </w:p>
        </w:tc>
        <w:tc>
          <w:tcPr>
            <w:tcW w:w="1701" w:type="dxa"/>
          </w:tcPr>
          <w:p w:rsidR="003160C7" w:rsidRPr="001648B6" w:rsidRDefault="003160C7"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rPr>
                <w:b/>
              </w:rPr>
            </w:pPr>
            <w:r>
              <w:rPr>
                <w:b/>
              </w:rPr>
              <w:t>2,821</w:t>
            </w:r>
          </w:p>
        </w:tc>
      </w:tr>
    </w:tbl>
    <w:p w:rsidR="003160C7" w:rsidRDefault="003160C7" w:rsidP="00D6167B">
      <w:pPr>
        <w:pStyle w:val="Heading1"/>
        <w:ind w:left="567" w:hanging="567"/>
      </w:pPr>
      <w:r>
        <w:t>Community Safety Funding</w:t>
      </w:r>
    </w:p>
    <w:p w:rsidR="003160C7" w:rsidRPr="008A11CA" w:rsidRDefault="003160C7" w:rsidP="002631F6">
      <w:pPr>
        <w:pStyle w:val="Heading2"/>
      </w:pPr>
      <w:r>
        <w:t>The Commissioner has made a commitment to maintain the levels of Community Safety Funding in 2023/24 at 2022/23 levels at £3,863,308.</w:t>
      </w:r>
    </w:p>
    <w:p w:rsidR="00374B8C" w:rsidRDefault="00374B8C" w:rsidP="00D6167B">
      <w:pPr>
        <w:pStyle w:val="Heading1"/>
        <w:ind w:left="567" w:hanging="567"/>
      </w:pPr>
      <w:r>
        <w:t>Operational Policing Budget</w:t>
      </w:r>
    </w:p>
    <w:p w:rsidR="00374B8C" w:rsidRDefault="00374B8C" w:rsidP="002631F6">
      <w:pPr>
        <w:pStyle w:val="Heading2"/>
      </w:pPr>
      <w:r>
        <w:t xml:space="preserve">In accordance with the Scheme of Consent, it is necessary for the Commissioner to approve an operational policing budget which can be delegated as detailed within the Scheme of Consent.  It is consistent with policies and priorities included in the Police and Crime Plan.  The proposed operational policing budget is set out in </w:t>
      </w:r>
      <w:r w:rsidRPr="00374B8C">
        <w:rPr>
          <w:b/>
        </w:rPr>
        <w:t>Appendix 2.</w:t>
      </w:r>
      <w:r>
        <w:t xml:space="preserve">  This represents, in more detail, a cost centre-based view of Operational and non-Operational policing in the West Midlands.</w:t>
      </w:r>
    </w:p>
    <w:p w:rsidR="00374B8C" w:rsidRDefault="00374B8C" w:rsidP="002631F6">
      <w:pPr>
        <w:pStyle w:val="Heading2"/>
      </w:pPr>
      <w:r>
        <w:t xml:space="preserve">Furthermore, the Chief Constable has commissioned an Operating Model Review with the aim of moving towards </w:t>
      </w:r>
      <w:r w:rsidR="00A2097E">
        <w:t>an enhanced</w:t>
      </w:r>
      <w:r>
        <w:t xml:space="preserve"> local policing model. It is too early to reflect the potential impact that this may have on the allocation of budgets, but will remain within the overall envelope. A</w:t>
      </w:r>
      <w:r w:rsidR="00B96797">
        <w:t>n</w:t>
      </w:r>
      <w:r>
        <w:t xml:space="preserve"> update will </w:t>
      </w:r>
      <w:r w:rsidR="00A2097E">
        <w:t xml:space="preserve">be </w:t>
      </w:r>
      <w:r>
        <w:t>provided as details are finalised.</w:t>
      </w:r>
    </w:p>
    <w:p w:rsidR="00374B8C" w:rsidRDefault="00374B8C" w:rsidP="00D6167B">
      <w:pPr>
        <w:pStyle w:val="Heading1"/>
        <w:ind w:left="567" w:hanging="567"/>
      </w:pPr>
      <w:r>
        <w:t>Staffing Budgets 2023/24</w:t>
      </w:r>
    </w:p>
    <w:p w:rsidR="00374B8C" w:rsidRDefault="00374B8C" w:rsidP="002631F6">
      <w:pPr>
        <w:pStyle w:val="Heading2"/>
      </w:pPr>
      <w:r>
        <w:t xml:space="preserve">The table below details the forecast staffing levels including those relating to retaining the national uplift programme across the Force for police officers, </w:t>
      </w:r>
      <w:r>
        <w:lastRenderedPageBreak/>
        <w:t>police staff and PCSO’s.  There is a continued commitment to recruit up to the number of Police Officers outline</w:t>
      </w:r>
      <w:r w:rsidR="00A2097E">
        <w:t>d</w:t>
      </w:r>
      <w:r>
        <w:t xml:space="preserve"> below:</w:t>
      </w:r>
    </w:p>
    <w:tbl>
      <w:tblPr>
        <w:tblStyle w:val="GridTable4-Accent1"/>
        <w:tblW w:w="8636" w:type="dxa"/>
        <w:jc w:val="center"/>
        <w:tblInd w:w="0" w:type="dxa"/>
        <w:tblLook w:val="04A0" w:firstRow="1" w:lastRow="0" w:firstColumn="1" w:lastColumn="0" w:noHBand="0" w:noVBand="1"/>
      </w:tblPr>
      <w:tblGrid>
        <w:gridCol w:w="2981"/>
        <w:gridCol w:w="1907"/>
        <w:gridCol w:w="1816"/>
        <w:gridCol w:w="1932"/>
      </w:tblGrid>
      <w:tr w:rsidR="00374B8C" w:rsidRPr="00D00B8F" w:rsidTr="00475DB8">
        <w:trPr>
          <w:cnfStyle w:val="100000000000" w:firstRow="1" w:lastRow="0" w:firstColumn="0" w:lastColumn="0" w:oddVBand="0" w:evenVBand="0" w:oddHBand="0"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2981" w:type="dxa"/>
          </w:tcPr>
          <w:p w:rsidR="00374B8C" w:rsidRPr="00606A72" w:rsidRDefault="00374B8C" w:rsidP="00475DB8">
            <w:pPr>
              <w:pStyle w:val="NumPara"/>
              <w:numPr>
                <w:ilvl w:val="0"/>
                <w:numId w:val="0"/>
              </w:numPr>
              <w:jc w:val="right"/>
              <w:rPr>
                <w:color w:val="auto"/>
              </w:rPr>
            </w:pPr>
            <w:r w:rsidRPr="00606A72">
              <w:rPr>
                <w:color w:val="auto"/>
              </w:rPr>
              <w:t>Workforce Breakdown</w:t>
            </w:r>
          </w:p>
        </w:tc>
        <w:tc>
          <w:tcPr>
            <w:tcW w:w="1907" w:type="dxa"/>
          </w:tcPr>
          <w:p w:rsidR="00374B8C" w:rsidRDefault="00374B8C" w:rsidP="00475DB8">
            <w:pPr>
              <w:pStyle w:val="NumPara"/>
              <w:numPr>
                <w:ilvl w:val="0"/>
                <w:numId w:val="0"/>
              </w:numPr>
              <w:jc w:val="right"/>
              <w:cnfStyle w:val="100000000000" w:firstRow="1" w:lastRow="0" w:firstColumn="0" w:lastColumn="0" w:oddVBand="0" w:evenVBand="0" w:oddHBand="0" w:evenHBand="0" w:firstRowFirstColumn="0" w:firstRowLastColumn="0" w:lastRowFirstColumn="0" w:lastRowLastColumn="0"/>
              <w:rPr>
                <w:b w:val="0"/>
              </w:rPr>
            </w:pPr>
            <w:r w:rsidRPr="00606A72">
              <w:rPr>
                <w:bCs w:val="0"/>
                <w:color w:val="auto"/>
              </w:rPr>
              <w:t>Target FTE</w:t>
            </w:r>
            <w:r>
              <w:rPr>
                <w:bCs w:val="0"/>
                <w:color w:val="auto"/>
              </w:rPr>
              <w:t xml:space="preserve"> </w:t>
            </w:r>
          </w:p>
          <w:p w:rsidR="00374B8C" w:rsidRPr="009C0EBC" w:rsidRDefault="00374B8C" w:rsidP="00475DB8">
            <w:pPr>
              <w:pStyle w:val="NumPara"/>
              <w:numPr>
                <w:ilvl w:val="0"/>
                <w:numId w:val="0"/>
              </w:numPr>
              <w:jc w:val="right"/>
              <w:cnfStyle w:val="100000000000" w:firstRow="1" w:lastRow="0" w:firstColumn="0" w:lastColumn="0" w:oddVBand="0" w:evenVBand="0" w:oddHBand="0" w:evenHBand="0" w:firstRowFirstColumn="0" w:firstRowLastColumn="0" w:lastRowFirstColumn="0" w:lastRowLastColumn="0"/>
              <w:rPr>
                <w:bCs w:val="0"/>
                <w:color w:val="auto"/>
              </w:rPr>
            </w:pPr>
            <w:r w:rsidRPr="00606A72">
              <w:rPr>
                <w:bCs w:val="0"/>
                <w:color w:val="auto"/>
              </w:rPr>
              <w:t>@</w:t>
            </w:r>
            <w:r>
              <w:rPr>
                <w:bCs w:val="0"/>
                <w:color w:val="auto"/>
              </w:rPr>
              <w:t xml:space="preserve"> </w:t>
            </w:r>
            <w:r w:rsidRPr="00606A72">
              <w:rPr>
                <w:color w:val="auto"/>
              </w:rPr>
              <w:t>31/03/2023</w:t>
            </w:r>
          </w:p>
        </w:tc>
        <w:tc>
          <w:tcPr>
            <w:tcW w:w="1816" w:type="dxa"/>
          </w:tcPr>
          <w:p w:rsidR="00374B8C" w:rsidRDefault="00374B8C" w:rsidP="00475DB8">
            <w:pPr>
              <w:pStyle w:val="NumPara"/>
              <w:numPr>
                <w:ilvl w:val="0"/>
                <w:numId w:val="0"/>
              </w:numPr>
              <w:jc w:val="right"/>
              <w:cnfStyle w:val="100000000000" w:firstRow="1" w:lastRow="0" w:firstColumn="0" w:lastColumn="0" w:oddVBand="0" w:evenVBand="0" w:oddHBand="0" w:evenHBand="0" w:firstRowFirstColumn="0" w:firstRowLastColumn="0" w:lastRowFirstColumn="0" w:lastRowLastColumn="0"/>
              <w:rPr>
                <w:b w:val="0"/>
                <w:bCs w:val="0"/>
              </w:rPr>
            </w:pPr>
            <w:r w:rsidRPr="004313F1">
              <w:rPr>
                <w:color w:val="auto"/>
              </w:rPr>
              <w:t>Target FT</w:t>
            </w:r>
            <w:r>
              <w:rPr>
                <w:color w:val="auto"/>
              </w:rPr>
              <w:t>E</w:t>
            </w:r>
            <w:r w:rsidRPr="004313F1">
              <w:rPr>
                <w:color w:val="auto"/>
              </w:rPr>
              <w:t xml:space="preserve"> </w:t>
            </w:r>
          </w:p>
          <w:p w:rsidR="00374B8C" w:rsidRPr="004313F1" w:rsidRDefault="00374B8C" w:rsidP="00475DB8">
            <w:pPr>
              <w:pStyle w:val="NumPara"/>
              <w:numPr>
                <w:ilvl w:val="0"/>
                <w:numId w:val="0"/>
              </w:numPr>
              <w:jc w:val="right"/>
              <w:cnfStyle w:val="100000000000" w:firstRow="1" w:lastRow="0" w:firstColumn="0" w:lastColumn="0" w:oddVBand="0" w:evenVBand="0" w:oddHBand="0" w:evenHBand="0" w:firstRowFirstColumn="0" w:firstRowLastColumn="0" w:lastRowFirstColumn="0" w:lastRowLastColumn="0"/>
              <w:rPr>
                <w:color w:val="auto"/>
              </w:rPr>
            </w:pPr>
            <w:r w:rsidRPr="004313F1">
              <w:rPr>
                <w:color w:val="auto"/>
              </w:rPr>
              <w:t>@ 31/03/2024</w:t>
            </w:r>
          </w:p>
        </w:tc>
        <w:tc>
          <w:tcPr>
            <w:tcW w:w="1932" w:type="dxa"/>
          </w:tcPr>
          <w:p w:rsidR="00374B8C" w:rsidRPr="00606A72" w:rsidRDefault="00374B8C" w:rsidP="00475DB8">
            <w:pPr>
              <w:pStyle w:val="NumPara"/>
              <w:numPr>
                <w:ilvl w:val="0"/>
                <w:numId w:val="0"/>
              </w:numPr>
              <w:jc w:val="right"/>
              <w:cnfStyle w:val="100000000000" w:firstRow="1" w:lastRow="0" w:firstColumn="0" w:lastColumn="0" w:oddVBand="0" w:evenVBand="0" w:oddHBand="0" w:evenHBand="0" w:firstRowFirstColumn="0" w:firstRowLastColumn="0" w:lastRowFirstColumn="0" w:lastRowLastColumn="0"/>
            </w:pPr>
            <w:r w:rsidRPr="00606A72">
              <w:rPr>
                <w:color w:val="auto"/>
              </w:rPr>
              <w:t>Current Strength FTE @ 01/0</w:t>
            </w:r>
            <w:r>
              <w:rPr>
                <w:color w:val="auto"/>
              </w:rPr>
              <w:t>2</w:t>
            </w:r>
            <w:r w:rsidRPr="00606A72">
              <w:rPr>
                <w:color w:val="auto"/>
              </w:rPr>
              <w:t xml:space="preserve">/2023 </w:t>
            </w:r>
          </w:p>
        </w:tc>
      </w:tr>
      <w:tr w:rsidR="00374B8C" w:rsidRPr="00D00B8F" w:rsidTr="00475DB8">
        <w:trPr>
          <w:cnfStyle w:val="000000100000" w:firstRow="0" w:lastRow="0" w:firstColumn="0" w:lastColumn="0" w:oddVBand="0" w:evenVBand="0" w:oddHBand="1"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2981" w:type="dxa"/>
          </w:tcPr>
          <w:p w:rsidR="00374B8C" w:rsidRPr="00606A72" w:rsidRDefault="00374B8C" w:rsidP="00475DB8">
            <w:pPr>
              <w:pStyle w:val="NumPara"/>
              <w:numPr>
                <w:ilvl w:val="0"/>
                <w:numId w:val="0"/>
              </w:numPr>
              <w:rPr>
                <w:b w:val="0"/>
              </w:rPr>
            </w:pPr>
            <w:r w:rsidRPr="00606A72">
              <w:rPr>
                <w:b w:val="0"/>
              </w:rPr>
              <w:t>Police Officers</w:t>
            </w:r>
          </w:p>
        </w:tc>
        <w:tc>
          <w:tcPr>
            <w:tcW w:w="1907" w:type="dxa"/>
          </w:tcPr>
          <w:p w:rsidR="00374B8C" w:rsidRPr="00606A72" w:rsidRDefault="00374B8C"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rsidRPr="00606A72">
              <w:t>7,839</w:t>
            </w:r>
          </w:p>
        </w:tc>
        <w:tc>
          <w:tcPr>
            <w:tcW w:w="1816" w:type="dxa"/>
          </w:tcPr>
          <w:p w:rsidR="00374B8C" w:rsidRPr="00606A72" w:rsidRDefault="00374B8C"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7,839</w:t>
            </w:r>
          </w:p>
        </w:tc>
        <w:tc>
          <w:tcPr>
            <w:tcW w:w="1932" w:type="dxa"/>
          </w:tcPr>
          <w:p w:rsidR="00374B8C" w:rsidRPr="00606A72" w:rsidRDefault="00374B8C"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7,655</w:t>
            </w:r>
          </w:p>
        </w:tc>
      </w:tr>
      <w:tr w:rsidR="00374B8C" w:rsidRPr="00D00B8F" w:rsidTr="00475DB8">
        <w:trPr>
          <w:trHeight w:val="117"/>
          <w:jc w:val="center"/>
        </w:trPr>
        <w:tc>
          <w:tcPr>
            <w:cnfStyle w:val="001000000000" w:firstRow="0" w:lastRow="0" w:firstColumn="1" w:lastColumn="0" w:oddVBand="0" w:evenVBand="0" w:oddHBand="0" w:evenHBand="0" w:firstRowFirstColumn="0" w:firstRowLastColumn="0" w:lastRowFirstColumn="0" w:lastRowLastColumn="0"/>
            <w:tcW w:w="2981" w:type="dxa"/>
          </w:tcPr>
          <w:p w:rsidR="00374B8C" w:rsidRPr="00606A72" w:rsidRDefault="00374B8C" w:rsidP="00475DB8">
            <w:pPr>
              <w:pStyle w:val="NumPara"/>
              <w:numPr>
                <w:ilvl w:val="0"/>
                <w:numId w:val="0"/>
              </w:numPr>
              <w:rPr>
                <w:b w:val="0"/>
              </w:rPr>
            </w:pPr>
            <w:r w:rsidRPr="00606A72">
              <w:rPr>
                <w:b w:val="0"/>
              </w:rPr>
              <w:t>Police Staff</w:t>
            </w:r>
            <w:r>
              <w:rPr>
                <w:b w:val="0"/>
              </w:rPr>
              <w:t>*</w:t>
            </w:r>
          </w:p>
        </w:tc>
        <w:tc>
          <w:tcPr>
            <w:tcW w:w="1907" w:type="dxa"/>
          </w:tcPr>
          <w:p w:rsidR="00374B8C" w:rsidRPr="00606A72" w:rsidRDefault="00374B8C"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rsidRPr="00606A72">
              <w:t>4,</w:t>
            </w:r>
            <w:r>
              <w:t>199</w:t>
            </w:r>
          </w:p>
        </w:tc>
        <w:tc>
          <w:tcPr>
            <w:tcW w:w="1816" w:type="dxa"/>
          </w:tcPr>
          <w:p w:rsidR="00374B8C" w:rsidRPr="00606A72" w:rsidRDefault="00374B8C"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4,199</w:t>
            </w:r>
          </w:p>
        </w:tc>
        <w:tc>
          <w:tcPr>
            <w:tcW w:w="1932" w:type="dxa"/>
          </w:tcPr>
          <w:p w:rsidR="00374B8C" w:rsidRPr="00606A72" w:rsidRDefault="00374B8C"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rsidRPr="00606A72">
              <w:t>3,81</w:t>
            </w:r>
            <w:r>
              <w:t>7</w:t>
            </w:r>
          </w:p>
        </w:tc>
      </w:tr>
      <w:tr w:rsidR="00374B8C" w:rsidRPr="00D00B8F" w:rsidTr="00475DB8">
        <w:trPr>
          <w:cnfStyle w:val="000000100000" w:firstRow="0" w:lastRow="0" w:firstColumn="0" w:lastColumn="0" w:oddVBand="0" w:evenVBand="0" w:oddHBand="1"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2981" w:type="dxa"/>
          </w:tcPr>
          <w:p w:rsidR="00374B8C" w:rsidRPr="00606A72" w:rsidRDefault="00374B8C" w:rsidP="00475DB8">
            <w:pPr>
              <w:pStyle w:val="NumPara"/>
              <w:numPr>
                <w:ilvl w:val="0"/>
                <w:numId w:val="0"/>
              </w:numPr>
              <w:rPr>
                <w:b w:val="0"/>
              </w:rPr>
            </w:pPr>
            <w:r w:rsidRPr="00606A72">
              <w:rPr>
                <w:b w:val="0"/>
              </w:rPr>
              <w:t>PCSO</w:t>
            </w:r>
          </w:p>
        </w:tc>
        <w:tc>
          <w:tcPr>
            <w:tcW w:w="1907" w:type="dxa"/>
          </w:tcPr>
          <w:p w:rsidR="00374B8C" w:rsidRPr="00606A72" w:rsidRDefault="00374B8C"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rsidRPr="00606A72">
              <w:t>464</w:t>
            </w:r>
          </w:p>
        </w:tc>
        <w:tc>
          <w:tcPr>
            <w:tcW w:w="1816" w:type="dxa"/>
          </w:tcPr>
          <w:p w:rsidR="00374B8C" w:rsidRPr="00606A72" w:rsidRDefault="00374B8C"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464</w:t>
            </w:r>
          </w:p>
        </w:tc>
        <w:tc>
          <w:tcPr>
            <w:tcW w:w="1932" w:type="dxa"/>
          </w:tcPr>
          <w:p w:rsidR="00374B8C" w:rsidRPr="00606A72" w:rsidRDefault="00374B8C"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rsidRPr="00606A72">
              <w:t>4</w:t>
            </w:r>
            <w:r>
              <w:t>02</w:t>
            </w:r>
          </w:p>
        </w:tc>
      </w:tr>
      <w:tr w:rsidR="00374B8C" w:rsidTr="00475DB8">
        <w:trPr>
          <w:trHeight w:val="117"/>
          <w:jc w:val="center"/>
        </w:trPr>
        <w:tc>
          <w:tcPr>
            <w:cnfStyle w:val="001000000000" w:firstRow="0" w:lastRow="0" w:firstColumn="1" w:lastColumn="0" w:oddVBand="0" w:evenVBand="0" w:oddHBand="0" w:evenHBand="0" w:firstRowFirstColumn="0" w:firstRowLastColumn="0" w:lastRowFirstColumn="0" w:lastRowLastColumn="0"/>
            <w:tcW w:w="2981" w:type="dxa"/>
          </w:tcPr>
          <w:p w:rsidR="00374B8C" w:rsidRPr="00606A72" w:rsidRDefault="00374B8C" w:rsidP="00475DB8">
            <w:pPr>
              <w:pStyle w:val="NumPara"/>
              <w:numPr>
                <w:ilvl w:val="0"/>
                <w:numId w:val="0"/>
              </w:numPr>
            </w:pPr>
            <w:r w:rsidRPr="00606A72">
              <w:t>Total Workforce</w:t>
            </w:r>
          </w:p>
        </w:tc>
        <w:tc>
          <w:tcPr>
            <w:tcW w:w="1907" w:type="dxa"/>
          </w:tcPr>
          <w:p w:rsidR="00374B8C" w:rsidRPr="00606A72" w:rsidRDefault="00374B8C"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rPr>
                <w:b/>
              </w:rPr>
            </w:pPr>
            <w:r w:rsidRPr="00606A72">
              <w:rPr>
                <w:b/>
              </w:rPr>
              <w:t>12,</w:t>
            </w:r>
            <w:r>
              <w:rPr>
                <w:b/>
              </w:rPr>
              <w:t>502</w:t>
            </w:r>
          </w:p>
        </w:tc>
        <w:tc>
          <w:tcPr>
            <w:tcW w:w="1816" w:type="dxa"/>
          </w:tcPr>
          <w:p w:rsidR="00374B8C" w:rsidRPr="00606A72" w:rsidRDefault="00374B8C"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rPr>
                <w:b/>
              </w:rPr>
            </w:pPr>
            <w:r>
              <w:rPr>
                <w:b/>
              </w:rPr>
              <w:t>12,502</w:t>
            </w:r>
          </w:p>
        </w:tc>
        <w:tc>
          <w:tcPr>
            <w:tcW w:w="1932" w:type="dxa"/>
          </w:tcPr>
          <w:p w:rsidR="00374B8C" w:rsidRPr="00606A72" w:rsidRDefault="00374B8C"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rPr>
                <w:b/>
              </w:rPr>
            </w:pPr>
            <w:r w:rsidRPr="00606A72">
              <w:rPr>
                <w:b/>
              </w:rPr>
              <w:t>11,</w:t>
            </w:r>
            <w:r>
              <w:rPr>
                <w:b/>
              </w:rPr>
              <w:t>874</w:t>
            </w:r>
          </w:p>
        </w:tc>
      </w:tr>
    </w:tbl>
    <w:p w:rsidR="00374B8C" w:rsidRPr="004313F1" w:rsidRDefault="00374B8C" w:rsidP="00374B8C">
      <w:pPr>
        <w:pStyle w:val="NumPara"/>
        <w:numPr>
          <w:ilvl w:val="0"/>
          <w:numId w:val="0"/>
        </w:numPr>
        <w:ind w:left="567"/>
        <w:rPr>
          <w:i/>
        </w:rPr>
      </w:pPr>
      <w:r w:rsidRPr="004313F1">
        <w:rPr>
          <w:i/>
        </w:rPr>
        <w:t xml:space="preserve">* </w:t>
      </w:r>
      <w:r>
        <w:rPr>
          <w:i/>
          <w:sz w:val="20"/>
          <w:szCs w:val="20"/>
        </w:rPr>
        <w:t>Following the decisions of the PBB exercise detailed above</w:t>
      </w:r>
    </w:p>
    <w:p w:rsidR="00374B8C" w:rsidRDefault="00374B8C" w:rsidP="002631F6">
      <w:pPr>
        <w:pStyle w:val="Heading2"/>
      </w:pPr>
      <w:r>
        <w:t xml:space="preserve">The 2023/24 funding settlement requires </w:t>
      </w:r>
      <w:r w:rsidRPr="008A11CA">
        <w:t xml:space="preserve">PCCs to maintain their overall </w:t>
      </w:r>
      <w:r>
        <w:t>officer numbers.</w:t>
      </w:r>
      <w:r>
        <w:rPr>
          <w:rStyle w:val="CommentReference"/>
          <w:rFonts w:ascii="Calibri" w:eastAsia="Calibri" w:hAnsi="Calibri"/>
          <w:lang w:eastAsia="en-US"/>
        </w:rPr>
        <w:t xml:space="preserve"> </w:t>
      </w:r>
      <w:r>
        <w:t xml:space="preserve"> Significant recruitment is on-going during the final quarter of 2022/23 to bring our strength up to this target.  The 2023/24 budget proposal looks to maintain these numbers to ensure no financial penalties are faced by the Force in the loss of the ringfenced uplift grant.</w:t>
      </w:r>
    </w:p>
    <w:p w:rsidR="00374B8C" w:rsidRPr="008A11CA" w:rsidRDefault="00374B8C" w:rsidP="002631F6">
      <w:pPr>
        <w:pStyle w:val="Heading2"/>
      </w:pPr>
      <w:r w:rsidRPr="007648AA">
        <w:t>Due to the short-term freeze on PCSO and Staff recruitment</w:t>
      </w:r>
      <w:r w:rsidR="00A2097E">
        <w:t>,</w:t>
      </w:r>
      <w:r w:rsidRPr="007648AA">
        <w:t xml:space="preserve"> strength is currently significantly below our target establishment.  </w:t>
      </w:r>
      <w:r w:rsidRPr="002631F6">
        <w:rPr>
          <w:rStyle w:val="Heading2Char"/>
        </w:rPr>
        <w:t>The proposed budget makes full provision for the full PCSO establishment.</w:t>
      </w:r>
      <w:r w:rsidRPr="000F17DA">
        <w:t xml:space="preserve"> </w:t>
      </w:r>
      <w:r w:rsidRPr="007648AA">
        <w:t xml:space="preserve"> It should be noted however, that the Force is currently piloting a non-degree officer entry route for internal staff and Special Constables, which has been secured with an extra 50 places from the Home Office.  The Force will look to run similar pilots for non-degree entry in 2023/24. </w:t>
      </w:r>
      <w:r>
        <w:t>The Commissioner and Chief Constable are also working together on continued efficiencies and increasing the capability of officers and staff.</w:t>
      </w:r>
    </w:p>
    <w:p w:rsidR="00374B8C" w:rsidRPr="00333981" w:rsidRDefault="00374B8C" w:rsidP="00D6167B">
      <w:pPr>
        <w:pStyle w:val="Heading1"/>
        <w:ind w:left="567" w:hanging="567"/>
      </w:pPr>
      <w:r w:rsidRPr="00333981">
        <w:t>Medium Term Financial Plan</w:t>
      </w:r>
    </w:p>
    <w:p w:rsidR="00374B8C" w:rsidRPr="00333981" w:rsidRDefault="00374B8C" w:rsidP="002631F6">
      <w:pPr>
        <w:pStyle w:val="Heading2"/>
      </w:pPr>
      <w:r w:rsidRPr="00333981">
        <w:t xml:space="preserve">The </w:t>
      </w:r>
      <w:r w:rsidR="002245C7">
        <w:t>M</w:t>
      </w:r>
      <w:r w:rsidRPr="00333981">
        <w:t xml:space="preserve">edium-Term Financial Plan has been refreshed and updated based on a number of key assumptions covering likely funding, inflationary increases, expenditure items and the </w:t>
      </w:r>
      <w:r w:rsidR="00A2097E" w:rsidRPr="00333981">
        <w:t>maintena</w:t>
      </w:r>
      <w:r w:rsidR="00A2097E">
        <w:t>nce</w:t>
      </w:r>
      <w:r w:rsidRPr="00333981">
        <w:t xml:space="preserve"> of the uplift headcount.  The table below outlines these assumptions. </w:t>
      </w:r>
    </w:p>
    <w:p w:rsidR="00593588" w:rsidRDefault="00593588">
      <w:r>
        <w:rPr>
          <w:b/>
          <w:bCs/>
        </w:rPr>
        <w:br w:type="page"/>
      </w:r>
    </w:p>
    <w:tbl>
      <w:tblPr>
        <w:tblStyle w:val="GridTable4-Accent1"/>
        <w:tblW w:w="0" w:type="auto"/>
        <w:tblInd w:w="851" w:type="dxa"/>
        <w:tblLook w:val="04A0" w:firstRow="1" w:lastRow="0" w:firstColumn="1" w:lastColumn="0" w:noHBand="0" w:noVBand="1"/>
      </w:tblPr>
      <w:tblGrid>
        <w:gridCol w:w="3609"/>
        <w:gridCol w:w="1737"/>
        <w:gridCol w:w="1737"/>
        <w:gridCol w:w="1410"/>
      </w:tblGrid>
      <w:tr w:rsidR="00374B8C" w:rsidRPr="00333981" w:rsidTr="00475D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9" w:type="dxa"/>
            <w:vAlign w:val="bottom"/>
          </w:tcPr>
          <w:p w:rsidR="00374B8C" w:rsidRPr="00374B8C" w:rsidRDefault="00374B8C" w:rsidP="00475DB8">
            <w:pPr>
              <w:pStyle w:val="NumPara"/>
              <w:numPr>
                <w:ilvl w:val="0"/>
                <w:numId w:val="0"/>
              </w:numPr>
              <w:jc w:val="right"/>
              <w:rPr>
                <w:color w:val="auto"/>
              </w:rPr>
            </w:pPr>
            <w:r w:rsidRPr="00374B8C">
              <w:rPr>
                <w:color w:val="auto"/>
              </w:rPr>
              <w:lastRenderedPageBreak/>
              <w:t>Expenditure Type</w:t>
            </w:r>
          </w:p>
        </w:tc>
        <w:tc>
          <w:tcPr>
            <w:tcW w:w="1737" w:type="dxa"/>
            <w:vAlign w:val="bottom"/>
          </w:tcPr>
          <w:p w:rsidR="00374B8C" w:rsidRPr="00374B8C" w:rsidRDefault="00374B8C" w:rsidP="00475DB8">
            <w:pPr>
              <w:pStyle w:val="NumPara"/>
              <w:numPr>
                <w:ilvl w:val="0"/>
                <w:numId w:val="0"/>
              </w:numPr>
              <w:jc w:val="right"/>
              <w:cnfStyle w:val="100000000000" w:firstRow="1" w:lastRow="0" w:firstColumn="0" w:lastColumn="0" w:oddVBand="0" w:evenVBand="0" w:oddHBand="0" w:evenHBand="0" w:firstRowFirstColumn="0" w:firstRowLastColumn="0" w:lastRowFirstColumn="0" w:lastRowLastColumn="0"/>
              <w:rPr>
                <w:b w:val="0"/>
                <w:bCs w:val="0"/>
                <w:color w:val="auto"/>
              </w:rPr>
            </w:pPr>
            <w:r w:rsidRPr="00374B8C">
              <w:rPr>
                <w:color w:val="auto"/>
              </w:rPr>
              <w:t>Planning Assumptions 2024/25</w:t>
            </w:r>
          </w:p>
        </w:tc>
        <w:tc>
          <w:tcPr>
            <w:tcW w:w="1737" w:type="dxa"/>
            <w:vAlign w:val="bottom"/>
          </w:tcPr>
          <w:p w:rsidR="00374B8C" w:rsidRPr="00374B8C" w:rsidRDefault="00374B8C" w:rsidP="00475DB8">
            <w:pPr>
              <w:pStyle w:val="NumPara"/>
              <w:numPr>
                <w:ilvl w:val="0"/>
                <w:numId w:val="0"/>
              </w:numPr>
              <w:jc w:val="right"/>
              <w:cnfStyle w:val="100000000000" w:firstRow="1" w:lastRow="0" w:firstColumn="0" w:lastColumn="0" w:oddVBand="0" w:evenVBand="0" w:oddHBand="0" w:evenHBand="0" w:firstRowFirstColumn="0" w:firstRowLastColumn="0" w:lastRowFirstColumn="0" w:lastRowLastColumn="0"/>
              <w:rPr>
                <w:b w:val="0"/>
                <w:bCs w:val="0"/>
                <w:color w:val="auto"/>
              </w:rPr>
            </w:pPr>
            <w:r w:rsidRPr="00374B8C">
              <w:rPr>
                <w:color w:val="auto"/>
              </w:rPr>
              <w:t>Planning Assumptions 2025/26 onwards</w:t>
            </w:r>
          </w:p>
        </w:tc>
        <w:tc>
          <w:tcPr>
            <w:tcW w:w="1410" w:type="dxa"/>
            <w:vAlign w:val="bottom"/>
          </w:tcPr>
          <w:p w:rsidR="00374B8C" w:rsidRPr="00374B8C" w:rsidRDefault="00374B8C" w:rsidP="00475DB8">
            <w:pPr>
              <w:pStyle w:val="NumPara"/>
              <w:numPr>
                <w:ilvl w:val="0"/>
                <w:numId w:val="0"/>
              </w:numPr>
              <w:jc w:val="right"/>
              <w:cnfStyle w:val="100000000000" w:firstRow="1" w:lastRow="0" w:firstColumn="0" w:lastColumn="0" w:oddVBand="0" w:evenVBand="0" w:oddHBand="0" w:evenHBand="0" w:firstRowFirstColumn="0" w:firstRowLastColumn="0" w:lastRowFirstColumn="0" w:lastRowLastColumn="0"/>
              <w:rPr>
                <w:b w:val="0"/>
                <w:bCs w:val="0"/>
                <w:color w:val="auto"/>
              </w:rPr>
            </w:pPr>
            <w:r w:rsidRPr="00374B8C">
              <w:rPr>
                <w:color w:val="auto"/>
              </w:rPr>
              <w:t>1% Movement</w:t>
            </w:r>
          </w:p>
          <w:p w:rsidR="00374B8C" w:rsidRPr="00374B8C" w:rsidRDefault="00374B8C" w:rsidP="00475DB8">
            <w:pPr>
              <w:pStyle w:val="NumPara"/>
              <w:numPr>
                <w:ilvl w:val="0"/>
                <w:numId w:val="0"/>
              </w:numPr>
              <w:jc w:val="right"/>
              <w:cnfStyle w:val="100000000000" w:firstRow="1" w:lastRow="0" w:firstColumn="0" w:lastColumn="0" w:oddVBand="0" w:evenVBand="0" w:oddHBand="0" w:evenHBand="0" w:firstRowFirstColumn="0" w:firstRowLastColumn="0" w:lastRowFirstColumn="0" w:lastRowLastColumn="0"/>
              <w:rPr>
                <w:color w:val="auto"/>
              </w:rPr>
            </w:pPr>
            <w:r w:rsidRPr="00374B8C">
              <w:rPr>
                <w:color w:val="auto"/>
              </w:rPr>
              <w:t>£m (+/-)</w:t>
            </w:r>
          </w:p>
        </w:tc>
      </w:tr>
      <w:tr w:rsidR="00374B8C" w:rsidRPr="00333981" w:rsidTr="00475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9" w:type="dxa"/>
          </w:tcPr>
          <w:p w:rsidR="00374B8C" w:rsidRPr="00333981" w:rsidRDefault="00374B8C" w:rsidP="00475DB8">
            <w:pPr>
              <w:pStyle w:val="NumPara"/>
              <w:numPr>
                <w:ilvl w:val="0"/>
                <w:numId w:val="0"/>
              </w:numPr>
              <w:rPr>
                <w:b w:val="0"/>
              </w:rPr>
            </w:pPr>
            <w:r w:rsidRPr="00333981">
              <w:rPr>
                <w:b w:val="0"/>
              </w:rPr>
              <w:t>Salaries</w:t>
            </w:r>
          </w:p>
        </w:tc>
        <w:tc>
          <w:tcPr>
            <w:tcW w:w="1737" w:type="dxa"/>
          </w:tcPr>
          <w:p w:rsidR="00374B8C" w:rsidRPr="00333981" w:rsidRDefault="00374B8C"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2.0%</w:t>
            </w:r>
          </w:p>
        </w:tc>
        <w:tc>
          <w:tcPr>
            <w:tcW w:w="1737" w:type="dxa"/>
          </w:tcPr>
          <w:p w:rsidR="00374B8C" w:rsidRPr="00333981" w:rsidRDefault="00374B8C"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2.0%</w:t>
            </w:r>
          </w:p>
        </w:tc>
        <w:tc>
          <w:tcPr>
            <w:tcW w:w="1410" w:type="dxa"/>
          </w:tcPr>
          <w:p w:rsidR="00374B8C" w:rsidRPr="00333981" w:rsidRDefault="00374B8C"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6.0</w:t>
            </w:r>
          </w:p>
        </w:tc>
      </w:tr>
      <w:tr w:rsidR="00374B8C" w:rsidRPr="00333981" w:rsidTr="00475DB8">
        <w:tc>
          <w:tcPr>
            <w:cnfStyle w:val="001000000000" w:firstRow="0" w:lastRow="0" w:firstColumn="1" w:lastColumn="0" w:oddVBand="0" w:evenVBand="0" w:oddHBand="0" w:evenHBand="0" w:firstRowFirstColumn="0" w:firstRowLastColumn="0" w:lastRowFirstColumn="0" w:lastRowLastColumn="0"/>
            <w:tcW w:w="3609" w:type="dxa"/>
          </w:tcPr>
          <w:p w:rsidR="00374B8C" w:rsidRPr="00333981" w:rsidRDefault="00374B8C" w:rsidP="00475DB8">
            <w:pPr>
              <w:pStyle w:val="NumPara"/>
              <w:numPr>
                <w:ilvl w:val="0"/>
                <w:numId w:val="0"/>
              </w:numPr>
              <w:rPr>
                <w:b w:val="0"/>
              </w:rPr>
            </w:pPr>
            <w:r w:rsidRPr="00333981">
              <w:rPr>
                <w:b w:val="0"/>
              </w:rPr>
              <w:t>Supplies &amp; Services</w:t>
            </w:r>
          </w:p>
        </w:tc>
        <w:tc>
          <w:tcPr>
            <w:tcW w:w="1737" w:type="dxa"/>
          </w:tcPr>
          <w:p w:rsidR="00374B8C" w:rsidRPr="00333981" w:rsidRDefault="00374B8C"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5.0%</w:t>
            </w:r>
          </w:p>
        </w:tc>
        <w:tc>
          <w:tcPr>
            <w:tcW w:w="1737" w:type="dxa"/>
          </w:tcPr>
          <w:p w:rsidR="00374B8C" w:rsidRPr="00333981" w:rsidRDefault="00374B8C"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3.0%</w:t>
            </w:r>
          </w:p>
        </w:tc>
        <w:tc>
          <w:tcPr>
            <w:tcW w:w="1410" w:type="dxa"/>
          </w:tcPr>
          <w:p w:rsidR="00374B8C" w:rsidRPr="00333981" w:rsidRDefault="00374B8C"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0.6</w:t>
            </w:r>
          </w:p>
        </w:tc>
      </w:tr>
      <w:tr w:rsidR="00374B8C" w:rsidRPr="00333981" w:rsidTr="00475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9" w:type="dxa"/>
          </w:tcPr>
          <w:p w:rsidR="00374B8C" w:rsidRPr="00333981" w:rsidRDefault="00374B8C" w:rsidP="00475DB8">
            <w:pPr>
              <w:pStyle w:val="NumPara"/>
              <w:numPr>
                <w:ilvl w:val="0"/>
                <w:numId w:val="0"/>
              </w:numPr>
              <w:rPr>
                <w:b w:val="0"/>
              </w:rPr>
            </w:pPr>
            <w:r w:rsidRPr="00333981">
              <w:rPr>
                <w:b w:val="0"/>
              </w:rPr>
              <w:t>Premises inc</w:t>
            </w:r>
            <w:r>
              <w:rPr>
                <w:b w:val="0"/>
              </w:rPr>
              <w:t>luding</w:t>
            </w:r>
            <w:r w:rsidRPr="00333981">
              <w:rPr>
                <w:b w:val="0"/>
              </w:rPr>
              <w:t xml:space="preserve"> utilities</w:t>
            </w:r>
          </w:p>
        </w:tc>
        <w:tc>
          <w:tcPr>
            <w:tcW w:w="1737" w:type="dxa"/>
          </w:tcPr>
          <w:p w:rsidR="00374B8C" w:rsidRPr="00333981" w:rsidRDefault="00374B8C"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5.0%</w:t>
            </w:r>
          </w:p>
        </w:tc>
        <w:tc>
          <w:tcPr>
            <w:tcW w:w="1737" w:type="dxa"/>
          </w:tcPr>
          <w:p w:rsidR="00374B8C" w:rsidRPr="00333981" w:rsidRDefault="00374B8C"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5.0%</w:t>
            </w:r>
          </w:p>
        </w:tc>
        <w:tc>
          <w:tcPr>
            <w:tcW w:w="1410" w:type="dxa"/>
          </w:tcPr>
          <w:p w:rsidR="00374B8C" w:rsidRPr="00333981" w:rsidRDefault="00374B8C"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0.6</w:t>
            </w:r>
          </w:p>
        </w:tc>
      </w:tr>
      <w:tr w:rsidR="00374B8C" w:rsidTr="00475DB8">
        <w:tc>
          <w:tcPr>
            <w:cnfStyle w:val="001000000000" w:firstRow="0" w:lastRow="0" w:firstColumn="1" w:lastColumn="0" w:oddVBand="0" w:evenVBand="0" w:oddHBand="0" w:evenHBand="0" w:firstRowFirstColumn="0" w:firstRowLastColumn="0" w:lastRowFirstColumn="0" w:lastRowLastColumn="0"/>
            <w:tcW w:w="3609" w:type="dxa"/>
          </w:tcPr>
          <w:p w:rsidR="00374B8C" w:rsidRPr="00333981" w:rsidRDefault="00374B8C" w:rsidP="00475DB8">
            <w:pPr>
              <w:pStyle w:val="NumPara"/>
              <w:numPr>
                <w:ilvl w:val="0"/>
                <w:numId w:val="0"/>
              </w:numPr>
              <w:rPr>
                <w:b w:val="0"/>
              </w:rPr>
            </w:pPr>
            <w:r w:rsidRPr="00333981">
              <w:rPr>
                <w:b w:val="0"/>
              </w:rPr>
              <w:t>Income</w:t>
            </w:r>
          </w:p>
        </w:tc>
        <w:tc>
          <w:tcPr>
            <w:tcW w:w="1737" w:type="dxa"/>
          </w:tcPr>
          <w:p w:rsidR="00374B8C" w:rsidRPr="00333981" w:rsidRDefault="00374B8C"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rsidRPr="00333981">
              <w:t>1.0%</w:t>
            </w:r>
          </w:p>
        </w:tc>
        <w:tc>
          <w:tcPr>
            <w:tcW w:w="1737" w:type="dxa"/>
          </w:tcPr>
          <w:p w:rsidR="00374B8C" w:rsidRPr="00333981" w:rsidRDefault="00374B8C"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rsidRPr="00333981">
              <w:t>1.0%</w:t>
            </w:r>
          </w:p>
        </w:tc>
        <w:tc>
          <w:tcPr>
            <w:tcW w:w="1410" w:type="dxa"/>
          </w:tcPr>
          <w:p w:rsidR="00374B8C" w:rsidRPr="00333981" w:rsidRDefault="00374B8C"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rsidRPr="00333981">
              <w:t>0.4</w:t>
            </w:r>
          </w:p>
        </w:tc>
      </w:tr>
      <w:tr w:rsidR="00374B8C" w:rsidTr="00475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9" w:type="dxa"/>
          </w:tcPr>
          <w:p w:rsidR="00374B8C" w:rsidRPr="00333981" w:rsidRDefault="00374B8C" w:rsidP="00475DB8">
            <w:pPr>
              <w:pStyle w:val="NumPara"/>
              <w:numPr>
                <w:ilvl w:val="0"/>
                <w:numId w:val="0"/>
              </w:numPr>
              <w:rPr>
                <w:b w:val="0"/>
              </w:rPr>
            </w:pPr>
            <w:r w:rsidRPr="00333981">
              <w:rPr>
                <w:b w:val="0"/>
              </w:rPr>
              <w:t>Fuel</w:t>
            </w:r>
          </w:p>
        </w:tc>
        <w:tc>
          <w:tcPr>
            <w:tcW w:w="1737" w:type="dxa"/>
          </w:tcPr>
          <w:p w:rsidR="00374B8C" w:rsidRPr="00333981" w:rsidRDefault="00374B8C"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rsidRPr="00333981">
              <w:t>5.0%</w:t>
            </w:r>
          </w:p>
        </w:tc>
        <w:tc>
          <w:tcPr>
            <w:tcW w:w="1737" w:type="dxa"/>
          </w:tcPr>
          <w:p w:rsidR="00374B8C" w:rsidRPr="00333981" w:rsidRDefault="00374B8C"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rsidRPr="00333981">
              <w:t>5.0%</w:t>
            </w:r>
          </w:p>
        </w:tc>
        <w:tc>
          <w:tcPr>
            <w:tcW w:w="1410" w:type="dxa"/>
          </w:tcPr>
          <w:p w:rsidR="00374B8C" w:rsidRPr="00333981" w:rsidRDefault="00374B8C"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rsidRPr="00333981">
              <w:t>0.1</w:t>
            </w:r>
          </w:p>
        </w:tc>
      </w:tr>
      <w:tr w:rsidR="00374B8C" w:rsidTr="00475DB8">
        <w:tc>
          <w:tcPr>
            <w:cnfStyle w:val="001000000000" w:firstRow="0" w:lastRow="0" w:firstColumn="1" w:lastColumn="0" w:oddVBand="0" w:evenVBand="0" w:oddHBand="0" w:evenHBand="0" w:firstRowFirstColumn="0" w:firstRowLastColumn="0" w:lastRowFirstColumn="0" w:lastRowLastColumn="0"/>
            <w:tcW w:w="3609" w:type="dxa"/>
          </w:tcPr>
          <w:p w:rsidR="00374B8C" w:rsidRPr="00333981" w:rsidRDefault="00374B8C" w:rsidP="00475DB8">
            <w:pPr>
              <w:pStyle w:val="NumPara"/>
              <w:numPr>
                <w:ilvl w:val="0"/>
                <w:numId w:val="0"/>
              </w:numPr>
              <w:rPr>
                <w:b w:val="0"/>
              </w:rPr>
            </w:pPr>
            <w:r w:rsidRPr="00333981">
              <w:rPr>
                <w:b w:val="0"/>
              </w:rPr>
              <w:t>Other Transport</w:t>
            </w:r>
          </w:p>
        </w:tc>
        <w:tc>
          <w:tcPr>
            <w:tcW w:w="1737" w:type="dxa"/>
          </w:tcPr>
          <w:p w:rsidR="00374B8C" w:rsidRPr="00333981" w:rsidRDefault="00374B8C"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rsidRPr="00333981">
              <w:t>3.0%</w:t>
            </w:r>
          </w:p>
        </w:tc>
        <w:tc>
          <w:tcPr>
            <w:tcW w:w="1737" w:type="dxa"/>
          </w:tcPr>
          <w:p w:rsidR="00374B8C" w:rsidRPr="00333981" w:rsidRDefault="00374B8C"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3</w:t>
            </w:r>
            <w:r w:rsidRPr="00333981">
              <w:t>.0%</w:t>
            </w:r>
          </w:p>
        </w:tc>
        <w:tc>
          <w:tcPr>
            <w:tcW w:w="1410" w:type="dxa"/>
          </w:tcPr>
          <w:p w:rsidR="00374B8C" w:rsidRPr="00333981" w:rsidRDefault="00374B8C"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rsidRPr="00333981">
              <w:t>0.1</w:t>
            </w:r>
          </w:p>
        </w:tc>
      </w:tr>
      <w:tr w:rsidR="00374B8C" w:rsidTr="00475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9" w:type="dxa"/>
          </w:tcPr>
          <w:p w:rsidR="00374B8C" w:rsidRPr="00333981" w:rsidRDefault="00374B8C" w:rsidP="00475DB8">
            <w:pPr>
              <w:pStyle w:val="NumPara"/>
              <w:numPr>
                <w:ilvl w:val="0"/>
                <w:numId w:val="0"/>
              </w:numPr>
              <w:rPr>
                <w:b w:val="0"/>
              </w:rPr>
            </w:pPr>
            <w:r w:rsidRPr="00333981">
              <w:rPr>
                <w:b w:val="0"/>
              </w:rPr>
              <w:t>Third Party Payments</w:t>
            </w:r>
          </w:p>
        </w:tc>
        <w:tc>
          <w:tcPr>
            <w:tcW w:w="1737" w:type="dxa"/>
          </w:tcPr>
          <w:p w:rsidR="00374B8C" w:rsidRPr="00333981" w:rsidRDefault="00374B8C"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rsidRPr="00333981">
              <w:t>5.0%</w:t>
            </w:r>
          </w:p>
        </w:tc>
        <w:tc>
          <w:tcPr>
            <w:tcW w:w="1737" w:type="dxa"/>
          </w:tcPr>
          <w:p w:rsidR="00374B8C" w:rsidRPr="00333981" w:rsidRDefault="00374B8C"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3</w:t>
            </w:r>
            <w:r w:rsidRPr="00333981">
              <w:t>.0%</w:t>
            </w:r>
          </w:p>
        </w:tc>
        <w:tc>
          <w:tcPr>
            <w:tcW w:w="1410" w:type="dxa"/>
          </w:tcPr>
          <w:p w:rsidR="00374B8C" w:rsidRPr="00333981" w:rsidRDefault="00374B8C"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rsidRPr="00333981">
              <w:t>0.1</w:t>
            </w:r>
          </w:p>
        </w:tc>
      </w:tr>
      <w:tr w:rsidR="00374B8C" w:rsidTr="00475DB8">
        <w:tc>
          <w:tcPr>
            <w:cnfStyle w:val="001000000000" w:firstRow="0" w:lastRow="0" w:firstColumn="1" w:lastColumn="0" w:oddVBand="0" w:evenVBand="0" w:oddHBand="0" w:evenHBand="0" w:firstRowFirstColumn="0" w:firstRowLastColumn="0" w:lastRowFirstColumn="0" w:lastRowLastColumn="0"/>
            <w:tcW w:w="3609" w:type="dxa"/>
          </w:tcPr>
          <w:p w:rsidR="00374B8C" w:rsidRPr="00333981" w:rsidRDefault="00374B8C" w:rsidP="00475DB8">
            <w:pPr>
              <w:pStyle w:val="NumPara"/>
              <w:numPr>
                <w:ilvl w:val="0"/>
                <w:numId w:val="0"/>
              </w:numPr>
              <w:rPr>
                <w:b w:val="0"/>
              </w:rPr>
            </w:pPr>
            <w:r w:rsidRPr="00333981">
              <w:rPr>
                <w:b w:val="0"/>
              </w:rPr>
              <w:t>Police Grant</w:t>
            </w:r>
          </w:p>
        </w:tc>
        <w:tc>
          <w:tcPr>
            <w:tcW w:w="1737" w:type="dxa"/>
          </w:tcPr>
          <w:p w:rsidR="00374B8C" w:rsidRPr="00333981" w:rsidRDefault="00374B8C"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rsidRPr="00333981">
              <w:t>1.6%</w:t>
            </w:r>
          </w:p>
        </w:tc>
        <w:tc>
          <w:tcPr>
            <w:tcW w:w="1737" w:type="dxa"/>
          </w:tcPr>
          <w:p w:rsidR="00374B8C" w:rsidRPr="00333981" w:rsidRDefault="00374B8C"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rsidRPr="00333981">
              <w:t>1.5%</w:t>
            </w:r>
          </w:p>
        </w:tc>
        <w:tc>
          <w:tcPr>
            <w:tcW w:w="1410" w:type="dxa"/>
          </w:tcPr>
          <w:p w:rsidR="00374B8C" w:rsidRPr="00333981" w:rsidRDefault="00374B8C"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rsidRPr="00333981">
              <w:t>5.5</w:t>
            </w:r>
          </w:p>
        </w:tc>
      </w:tr>
      <w:tr w:rsidR="00374B8C" w:rsidRPr="00BA11CA" w:rsidTr="00475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9" w:type="dxa"/>
          </w:tcPr>
          <w:p w:rsidR="00374B8C" w:rsidRPr="00BA11CA" w:rsidRDefault="00374B8C" w:rsidP="00475DB8">
            <w:pPr>
              <w:pStyle w:val="NumPara"/>
              <w:numPr>
                <w:ilvl w:val="0"/>
                <w:numId w:val="0"/>
              </w:numPr>
              <w:rPr>
                <w:b w:val="0"/>
              </w:rPr>
            </w:pPr>
            <w:r w:rsidRPr="00BA11CA">
              <w:rPr>
                <w:b w:val="0"/>
              </w:rPr>
              <w:t>Tax Base</w:t>
            </w:r>
          </w:p>
        </w:tc>
        <w:tc>
          <w:tcPr>
            <w:tcW w:w="1737" w:type="dxa"/>
          </w:tcPr>
          <w:p w:rsidR="00374B8C" w:rsidRPr="00BA11CA" w:rsidRDefault="00374B8C"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rsidRPr="00BA11CA">
              <w:t>1.0%</w:t>
            </w:r>
          </w:p>
        </w:tc>
        <w:tc>
          <w:tcPr>
            <w:tcW w:w="1737" w:type="dxa"/>
          </w:tcPr>
          <w:p w:rsidR="00374B8C" w:rsidRPr="00BA11CA" w:rsidRDefault="00374B8C"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rsidRPr="00BA11CA">
              <w:t>1.2% - 1.4%</w:t>
            </w:r>
          </w:p>
        </w:tc>
        <w:tc>
          <w:tcPr>
            <w:tcW w:w="1410" w:type="dxa"/>
          </w:tcPr>
          <w:p w:rsidR="00374B8C" w:rsidRPr="00BA11CA" w:rsidRDefault="00374B8C"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rsidRPr="00BA11CA">
              <w:t>1.7</w:t>
            </w:r>
          </w:p>
        </w:tc>
      </w:tr>
      <w:tr w:rsidR="00374B8C" w:rsidRPr="00BA11CA" w:rsidTr="00475DB8">
        <w:tc>
          <w:tcPr>
            <w:cnfStyle w:val="001000000000" w:firstRow="0" w:lastRow="0" w:firstColumn="1" w:lastColumn="0" w:oddVBand="0" w:evenVBand="0" w:oddHBand="0" w:evenHBand="0" w:firstRowFirstColumn="0" w:firstRowLastColumn="0" w:lastRowFirstColumn="0" w:lastRowLastColumn="0"/>
            <w:tcW w:w="3609" w:type="dxa"/>
          </w:tcPr>
          <w:p w:rsidR="00374B8C" w:rsidRPr="00BA11CA" w:rsidRDefault="00374B8C" w:rsidP="00475DB8">
            <w:pPr>
              <w:pStyle w:val="NumPara"/>
              <w:numPr>
                <w:ilvl w:val="0"/>
                <w:numId w:val="0"/>
              </w:numPr>
              <w:rPr>
                <w:b w:val="0"/>
              </w:rPr>
            </w:pPr>
            <w:r w:rsidRPr="00BA11CA">
              <w:rPr>
                <w:b w:val="0"/>
              </w:rPr>
              <w:t>Precept (£)</w:t>
            </w:r>
          </w:p>
        </w:tc>
        <w:tc>
          <w:tcPr>
            <w:tcW w:w="1737" w:type="dxa"/>
          </w:tcPr>
          <w:p w:rsidR="00374B8C" w:rsidRPr="00BA11CA" w:rsidRDefault="00374B8C"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rsidRPr="00BA11CA">
              <w:t>£10</w:t>
            </w:r>
          </w:p>
        </w:tc>
        <w:tc>
          <w:tcPr>
            <w:tcW w:w="1737" w:type="dxa"/>
          </w:tcPr>
          <w:p w:rsidR="00374B8C" w:rsidRPr="00BA11CA" w:rsidRDefault="00374B8C"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rsidRPr="00BA11CA">
              <w:t>£10</w:t>
            </w:r>
          </w:p>
        </w:tc>
        <w:tc>
          <w:tcPr>
            <w:tcW w:w="1410" w:type="dxa"/>
          </w:tcPr>
          <w:p w:rsidR="00374B8C" w:rsidRPr="00BA11CA" w:rsidRDefault="00374B8C"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rsidRPr="00BA11CA">
              <w:t>0.7</w:t>
            </w:r>
          </w:p>
        </w:tc>
      </w:tr>
    </w:tbl>
    <w:p w:rsidR="00374B8C" w:rsidRDefault="00374B8C" w:rsidP="00374B8C">
      <w:pPr>
        <w:pStyle w:val="NumPara"/>
        <w:numPr>
          <w:ilvl w:val="0"/>
          <w:numId w:val="0"/>
        </w:numPr>
        <w:ind w:left="851"/>
        <w:rPr>
          <w:highlight w:val="yellow"/>
        </w:rPr>
      </w:pPr>
    </w:p>
    <w:p w:rsidR="00374B8C" w:rsidRDefault="00374B8C" w:rsidP="002631F6">
      <w:pPr>
        <w:pStyle w:val="Heading2"/>
      </w:pPr>
      <w:r w:rsidRPr="00A859AE">
        <w:t xml:space="preserve">The </w:t>
      </w:r>
      <w:r w:rsidR="002245C7">
        <w:t>M</w:t>
      </w:r>
      <w:r w:rsidRPr="00A859AE">
        <w:t>edium-</w:t>
      </w:r>
      <w:r w:rsidR="002245C7">
        <w:t>T</w:t>
      </w:r>
      <w:r w:rsidRPr="00A859AE">
        <w:t xml:space="preserve">erm </w:t>
      </w:r>
      <w:r w:rsidR="002245C7">
        <w:t>F</w:t>
      </w:r>
      <w:r w:rsidRPr="00A859AE">
        <w:t xml:space="preserve">inancial </w:t>
      </w:r>
      <w:r w:rsidR="002245C7">
        <w:t>P</w:t>
      </w:r>
      <w:r w:rsidRPr="00A859AE">
        <w:t>lan reflecting the assumptions outlined above is shown in the table below.  Assuming a £10 precept increase through the medium term the forecast funding gap is current £25.2m in 202</w:t>
      </w:r>
      <w:r>
        <w:t>4</w:t>
      </w:r>
      <w:r w:rsidRPr="00A859AE">
        <w:t>/2</w:t>
      </w:r>
      <w:r>
        <w:t>5</w:t>
      </w:r>
      <w:r w:rsidRPr="00A859AE">
        <w:t xml:space="preserve"> growing to £3</w:t>
      </w:r>
      <w:r w:rsidR="002D7732">
        <w:t>4</w:t>
      </w:r>
      <w:r w:rsidRPr="00A859AE">
        <w:t>.</w:t>
      </w:r>
      <w:r w:rsidR="002D7732">
        <w:t>9</w:t>
      </w:r>
      <w:r w:rsidRPr="00A859AE">
        <w:t>m over the medium term.</w:t>
      </w:r>
    </w:p>
    <w:tbl>
      <w:tblPr>
        <w:tblStyle w:val="GridTable4-Accent1"/>
        <w:tblW w:w="9647" w:type="dxa"/>
        <w:jc w:val="center"/>
        <w:tblInd w:w="0" w:type="dxa"/>
        <w:tblLayout w:type="fixed"/>
        <w:tblLook w:val="04A0" w:firstRow="1" w:lastRow="0" w:firstColumn="1" w:lastColumn="0" w:noHBand="0" w:noVBand="1"/>
      </w:tblPr>
      <w:tblGrid>
        <w:gridCol w:w="3402"/>
        <w:gridCol w:w="1249"/>
        <w:gridCol w:w="1249"/>
        <w:gridCol w:w="1249"/>
        <w:gridCol w:w="1249"/>
        <w:gridCol w:w="1249"/>
      </w:tblGrid>
      <w:tr w:rsidR="00374B8C" w:rsidRPr="00E76C48" w:rsidTr="00475D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vAlign w:val="bottom"/>
          </w:tcPr>
          <w:p w:rsidR="00374B8C" w:rsidRPr="00E76C48" w:rsidRDefault="00374B8C" w:rsidP="00475DB8">
            <w:pPr>
              <w:pStyle w:val="NumPara"/>
              <w:numPr>
                <w:ilvl w:val="0"/>
                <w:numId w:val="0"/>
              </w:numPr>
              <w:jc w:val="right"/>
              <w:rPr>
                <w:color w:val="auto"/>
              </w:rPr>
            </w:pPr>
            <w:r w:rsidRPr="00E76C48">
              <w:rPr>
                <w:color w:val="auto"/>
              </w:rPr>
              <w:t>Revenue Budget £m</w:t>
            </w:r>
          </w:p>
        </w:tc>
        <w:tc>
          <w:tcPr>
            <w:tcW w:w="1249" w:type="dxa"/>
            <w:vAlign w:val="bottom"/>
          </w:tcPr>
          <w:p w:rsidR="00374B8C" w:rsidRPr="00E76C48" w:rsidRDefault="00374B8C" w:rsidP="00475DB8">
            <w:pPr>
              <w:pStyle w:val="NumPara"/>
              <w:numPr>
                <w:ilvl w:val="0"/>
                <w:numId w:val="0"/>
              </w:numPr>
              <w:jc w:val="right"/>
              <w:cnfStyle w:val="100000000000" w:firstRow="1" w:lastRow="0" w:firstColumn="0" w:lastColumn="0" w:oddVBand="0" w:evenVBand="0" w:oddHBand="0" w:evenHBand="0" w:firstRowFirstColumn="0" w:firstRowLastColumn="0" w:lastRowFirstColumn="0" w:lastRowLastColumn="0"/>
              <w:rPr>
                <w:color w:val="auto"/>
              </w:rPr>
            </w:pPr>
            <w:r w:rsidRPr="00E76C48">
              <w:rPr>
                <w:color w:val="auto"/>
              </w:rPr>
              <w:t>Current Budget 2023/24</w:t>
            </w:r>
          </w:p>
        </w:tc>
        <w:tc>
          <w:tcPr>
            <w:tcW w:w="1249" w:type="dxa"/>
            <w:vAlign w:val="bottom"/>
          </w:tcPr>
          <w:p w:rsidR="00374B8C" w:rsidRPr="00E76C48" w:rsidRDefault="00374B8C" w:rsidP="00475DB8">
            <w:pPr>
              <w:pStyle w:val="NumPara"/>
              <w:numPr>
                <w:ilvl w:val="0"/>
                <w:numId w:val="0"/>
              </w:numPr>
              <w:jc w:val="right"/>
              <w:cnfStyle w:val="100000000000" w:firstRow="1" w:lastRow="0" w:firstColumn="0" w:lastColumn="0" w:oddVBand="0" w:evenVBand="0" w:oddHBand="0" w:evenHBand="0" w:firstRowFirstColumn="0" w:firstRowLastColumn="0" w:lastRowFirstColumn="0" w:lastRowLastColumn="0"/>
              <w:rPr>
                <w:color w:val="auto"/>
              </w:rPr>
            </w:pPr>
            <w:r w:rsidRPr="00E76C48">
              <w:rPr>
                <w:color w:val="auto"/>
              </w:rPr>
              <w:t>MTFP 2024/25</w:t>
            </w:r>
          </w:p>
        </w:tc>
        <w:tc>
          <w:tcPr>
            <w:tcW w:w="1249" w:type="dxa"/>
            <w:vAlign w:val="bottom"/>
          </w:tcPr>
          <w:p w:rsidR="00374B8C" w:rsidRPr="00E76C48" w:rsidRDefault="00374B8C" w:rsidP="00475DB8">
            <w:pPr>
              <w:pStyle w:val="NumPara"/>
              <w:numPr>
                <w:ilvl w:val="0"/>
                <w:numId w:val="0"/>
              </w:numPr>
              <w:jc w:val="right"/>
              <w:cnfStyle w:val="100000000000" w:firstRow="1" w:lastRow="0" w:firstColumn="0" w:lastColumn="0" w:oddVBand="0" w:evenVBand="0" w:oddHBand="0" w:evenHBand="0" w:firstRowFirstColumn="0" w:firstRowLastColumn="0" w:lastRowFirstColumn="0" w:lastRowLastColumn="0"/>
              <w:rPr>
                <w:color w:val="auto"/>
              </w:rPr>
            </w:pPr>
            <w:r w:rsidRPr="00E76C48">
              <w:rPr>
                <w:color w:val="auto"/>
              </w:rPr>
              <w:t>MTFP 2025/26</w:t>
            </w:r>
          </w:p>
        </w:tc>
        <w:tc>
          <w:tcPr>
            <w:tcW w:w="1249" w:type="dxa"/>
            <w:vAlign w:val="bottom"/>
          </w:tcPr>
          <w:p w:rsidR="00374B8C" w:rsidRPr="00E76C48" w:rsidRDefault="00374B8C" w:rsidP="00475DB8">
            <w:pPr>
              <w:pStyle w:val="NumPara"/>
              <w:numPr>
                <w:ilvl w:val="0"/>
                <w:numId w:val="0"/>
              </w:numPr>
              <w:jc w:val="right"/>
              <w:cnfStyle w:val="100000000000" w:firstRow="1" w:lastRow="0" w:firstColumn="0" w:lastColumn="0" w:oddVBand="0" w:evenVBand="0" w:oddHBand="0" w:evenHBand="0" w:firstRowFirstColumn="0" w:firstRowLastColumn="0" w:lastRowFirstColumn="0" w:lastRowLastColumn="0"/>
              <w:rPr>
                <w:color w:val="auto"/>
              </w:rPr>
            </w:pPr>
            <w:r w:rsidRPr="00E76C48">
              <w:rPr>
                <w:color w:val="auto"/>
              </w:rPr>
              <w:t>MTFP 2026/27</w:t>
            </w:r>
          </w:p>
        </w:tc>
        <w:tc>
          <w:tcPr>
            <w:tcW w:w="1249" w:type="dxa"/>
            <w:vAlign w:val="bottom"/>
          </w:tcPr>
          <w:p w:rsidR="00374B8C" w:rsidRPr="00E76C48" w:rsidRDefault="00374B8C" w:rsidP="00475DB8">
            <w:pPr>
              <w:pStyle w:val="NumPara"/>
              <w:numPr>
                <w:ilvl w:val="0"/>
                <w:numId w:val="0"/>
              </w:numPr>
              <w:jc w:val="right"/>
              <w:cnfStyle w:val="100000000000" w:firstRow="1" w:lastRow="0" w:firstColumn="0" w:lastColumn="0" w:oddVBand="0" w:evenVBand="0" w:oddHBand="0" w:evenHBand="0" w:firstRowFirstColumn="0" w:firstRowLastColumn="0" w:lastRowFirstColumn="0" w:lastRowLastColumn="0"/>
              <w:rPr>
                <w:color w:val="auto"/>
              </w:rPr>
            </w:pPr>
            <w:r w:rsidRPr="00E76C48">
              <w:rPr>
                <w:color w:val="auto"/>
              </w:rPr>
              <w:t>MTFP 2027/28</w:t>
            </w:r>
          </w:p>
        </w:tc>
      </w:tr>
      <w:tr w:rsidR="00374B8C" w:rsidRPr="00E76C48" w:rsidTr="00475D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tcPr>
          <w:p w:rsidR="00374B8C" w:rsidRPr="00E76C48" w:rsidRDefault="00374B8C" w:rsidP="00475DB8">
            <w:pPr>
              <w:pStyle w:val="NumPara"/>
              <w:numPr>
                <w:ilvl w:val="0"/>
                <w:numId w:val="0"/>
              </w:numPr>
              <w:rPr>
                <w:b w:val="0"/>
              </w:rPr>
            </w:pPr>
            <w:r w:rsidRPr="00E76C48">
              <w:rPr>
                <w:b w:val="0"/>
              </w:rPr>
              <w:t>Police Force Net Expenditure</w:t>
            </w:r>
          </w:p>
        </w:tc>
        <w:tc>
          <w:tcPr>
            <w:tcW w:w="1249" w:type="dxa"/>
          </w:tcPr>
          <w:p w:rsidR="00374B8C" w:rsidRPr="00E76C48" w:rsidRDefault="00374B8C"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rsidRPr="00E76C48">
              <w:t>700.3</w:t>
            </w:r>
          </w:p>
        </w:tc>
        <w:tc>
          <w:tcPr>
            <w:tcW w:w="1249" w:type="dxa"/>
          </w:tcPr>
          <w:p w:rsidR="00374B8C" w:rsidRPr="00E76C48" w:rsidRDefault="00374B8C"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rsidRPr="00E76C48">
              <w:t>753.7</w:t>
            </w:r>
          </w:p>
        </w:tc>
        <w:tc>
          <w:tcPr>
            <w:tcW w:w="1249" w:type="dxa"/>
          </w:tcPr>
          <w:p w:rsidR="00374B8C" w:rsidRPr="00E76C48" w:rsidRDefault="00374B8C"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rsidRPr="00E76C48">
              <w:t>771.1</w:t>
            </w:r>
          </w:p>
        </w:tc>
        <w:tc>
          <w:tcPr>
            <w:tcW w:w="1249" w:type="dxa"/>
          </w:tcPr>
          <w:p w:rsidR="00374B8C" w:rsidRPr="00E76C48" w:rsidRDefault="00374B8C"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rsidRPr="00E76C48">
              <w:t>790.7</w:t>
            </w:r>
          </w:p>
        </w:tc>
        <w:tc>
          <w:tcPr>
            <w:tcW w:w="1249" w:type="dxa"/>
          </w:tcPr>
          <w:p w:rsidR="00374B8C" w:rsidRPr="00E76C48" w:rsidRDefault="00374B8C"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rsidRPr="00E76C48">
              <w:t>807.0</w:t>
            </w:r>
          </w:p>
        </w:tc>
      </w:tr>
      <w:tr w:rsidR="00374B8C" w:rsidRPr="00E76C48" w:rsidTr="00475DB8">
        <w:trPr>
          <w:jc w:val="center"/>
        </w:trPr>
        <w:tc>
          <w:tcPr>
            <w:cnfStyle w:val="001000000000" w:firstRow="0" w:lastRow="0" w:firstColumn="1" w:lastColumn="0" w:oddVBand="0" w:evenVBand="0" w:oddHBand="0" w:evenHBand="0" w:firstRowFirstColumn="0" w:firstRowLastColumn="0" w:lastRowFirstColumn="0" w:lastRowLastColumn="0"/>
            <w:tcW w:w="3402" w:type="dxa"/>
          </w:tcPr>
          <w:p w:rsidR="00374B8C" w:rsidRPr="00E76C48" w:rsidRDefault="00374B8C" w:rsidP="00475DB8">
            <w:pPr>
              <w:pStyle w:val="NumPara"/>
              <w:numPr>
                <w:ilvl w:val="0"/>
                <w:numId w:val="0"/>
              </w:numPr>
              <w:rPr>
                <w:b w:val="0"/>
              </w:rPr>
            </w:pPr>
            <w:r w:rsidRPr="00E76C48">
              <w:rPr>
                <w:b w:val="0"/>
              </w:rPr>
              <w:t>Police &amp; Crime Commissioner</w:t>
            </w:r>
          </w:p>
        </w:tc>
        <w:tc>
          <w:tcPr>
            <w:tcW w:w="1249" w:type="dxa"/>
          </w:tcPr>
          <w:p w:rsidR="00374B8C" w:rsidRPr="00E76C48" w:rsidRDefault="00374B8C"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rsidRPr="00E76C48">
              <w:t>8.8</w:t>
            </w:r>
          </w:p>
        </w:tc>
        <w:tc>
          <w:tcPr>
            <w:tcW w:w="1249" w:type="dxa"/>
          </w:tcPr>
          <w:p w:rsidR="00374B8C" w:rsidRPr="00E76C48" w:rsidRDefault="00374B8C"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rsidRPr="00E76C48">
              <w:t>8.9</w:t>
            </w:r>
          </w:p>
        </w:tc>
        <w:tc>
          <w:tcPr>
            <w:tcW w:w="1249" w:type="dxa"/>
          </w:tcPr>
          <w:p w:rsidR="00374B8C" w:rsidRPr="00E76C48" w:rsidRDefault="00374B8C"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rsidRPr="00E76C48">
              <w:t>8.9</w:t>
            </w:r>
          </w:p>
        </w:tc>
        <w:tc>
          <w:tcPr>
            <w:tcW w:w="1249" w:type="dxa"/>
          </w:tcPr>
          <w:p w:rsidR="00374B8C" w:rsidRPr="00E76C48" w:rsidRDefault="00374B8C"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rsidRPr="00E76C48">
              <w:t>9.0</w:t>
            </w:r>
          </w:p>
        </w:tc>
        <w:tc>
          <w:tcPr>
            <w:tcW w:w="1249" w:type="dxa"/>
          </w:tcPr>
          <w:p w:rsidR="00374B8C" w:rsidRPr="00E76C48" w:rsidRDefault="00374B8C"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rsidRPr="00E76C48">
              <w:t>9.1</w:t>
            </w:r>
          </w:p>
        </w:tc>
      </w:tr>
      <w:tr w:rsidR="00374B8C" w:rsidRPr="00E76C48" w:rsidTr="00475D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tcPr>
          <w:p w:rsidR="00374B8C" w:rsidRPr="00E76C48" w:rsidRDefault="00374B8C" w:rsidP="00475DB8">
            <w:pPr>
              <w:pStyle w:val="NumPara"/>
              <w:numPr>
                <w:ilvl w:val="0"/>
                <w:numId w:val="0"/>
              </w:numPr>
            </w:pPr>
            <w:r w:rsidRPr="00E76C48">
              <w:t>Total Expenditure</w:t>
            </w:r>
          </w:p>
        </w:tc>
        <w:tc>
          <w:tcPr>
            <w:tcW w:w="1249" w:type="dxa"/>
          </w:tcPr>
          <w:p w:rsidR="00374B8C" w:rsidRPr="00E76C48" w:rsidRDefault="00374B8C"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rPr>
                <w:b/>
              </w:rPr>
            </w:pPr>
            <w:r w:rsidRPr="00E76C48">
              <w:rPr>
                <w:b/>
              </w:rPr>
              <w:t>709.0</w:t>
            </w:r>
          </w:p>
        </w:tc>
        <w:tc>
          <w:tcPr>
            <w:tcW w:w="1249" w:type="dxa"/>
          </w:tcPr>
          <w:p w:rsidR="00374B8C" w:rsidRPr="00E76C48" w:rsidRDefault="00374B8C"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rPr>
                <w:b/>
              </w:rPr>
            </w:pPr>
            <w:r w:rsidRPr="00E76C48">
              <w:rPr>
                <w:b/>
              </w:rPr>
              <w:t>762.6</w:t>
            </w:r>
          </w:p>
        </w:tc>
        <w:tc>
          <w:tcPr>
            <w:tcW w:w="1249" w:type="dxa"/>
          </w:tcPr>
          <w:p w:rsidR="00374B8C" w:rsidRPr="00E76C48" w:rsidRDefault="00374B8C"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rPr>
                <w:b/>
              </w:rPr>
            </w:pPr>
            <w:r w:rsidRPr="00E76C48">
              <w:rPr>
                <w:b/>
              </w:rPr>
              <w:t>780.0</w:t>
            </w:r>
          </w:p>
        </w:tc>
        <w:tc>
          <w:tcPr>
            <w:tcW w:w="1249" w:type="dxa"/>
          </w:tcPr>
          <w:p w:rsidR="00374B8C" w:rsidRPr="00E76C48" w:rsidRDefault="00374B8C"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rPr>
                <w:b/>
              </w:rPr>
            </w:pPr>
            <w:r w:rsidRPr="00E76C48">
              <w:rPr>
                <w:b/>
              </w:rPr>
              <w:t>799.7</w:t>
            </w:r>
          </w:p>
        </w:tc>
        <w:tc>
          <w:tcPr>
            <w:tcW w:w="1249" w:type="dxa"/>
          </w:tcPr>
          <w:p w:rsidR="00374B8C" w:rsidRPr="00E76C48" w:rsidRDefault="00374B8C"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rPr>
                <w:b/>
              </w:rPr>
            </w:pPr>
            <w:r w:rsidRPr="00E76C48">
              <w:rPr>
                <w:b/>
              </w:rPr>
              <w:t>816.0</w:t>
            </w:r>
          </w:p>
        </w:tc>
      </w:tr>
      <w:tr w:rsidR="00374B8C" w:rsidRPr="00E76C48" w:rsidTr="00475DB8">
        <w:trPr>
          <w:jc w:val="center"/>
        </w:trPr>
        <w:tc>
          <w:tcPr>
            <w:cnfStyle w:val="001000000000" w:firstRow="0" w:lastRow="0" w:firstColumn="1" w:lastColumn="0" w:oddVBand="0" w:evenVBand="0" w:oddHBand="0" w:evenHBand="0" w:firstRowFirstColumn="0" w:firstRowLastColumn="0" w:lastRowFirstColumn="0" w:lastRowLastColumn="0"/>
            <w:tcW w:w="3402" w:type="dxa"/>
          </w:tcPr>
          <w:p w:rsidR="00374B8C" w:rsidRPr="00E76C48" w:rsidRDefault="00374B8C" w:rsidP="00475DB8">
            <w:pPr>
              <w:pStyle w:val="NumPara"/>
              <w:numPr>
                <w:ilvl w:val="0"/>
                <w:numId w:val="0"/>
              </w:numPr>
              <w:rPr>
                <w:b w:val="0"/>
              </w:rPr>
            </w:pPr>
            <w:r w:rsidRPr="00E76C48">
              <w:rPr>
                <w:b w:val="0"/>
              </w:rPr>
              <w:t>Police Grants</w:t>
            </w:r>
          </w:p>
        </w:tc>
        <w:tc>
          <w:tcPr>
            <w:tcW w:w="1249" w:type="dxa"/>
          </w:tcPr>
          <w:p w:rsidR="00374B8C" w:rsidRPr="00E76C48" w:rsidRDefault="00374B8C"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rsidRPr="00E76C48">
              <w:t>546.0</w:t>
            </w:r>
          </w:p>
        </w:tc>
        <w:tc>
          <w:tcPr>
            <w:tcW w:w="1249" w:type="dxa"/>
          </w:tcPr>
          <w:p w:rsidR="00374B8C" w:rsidRPr="00E76C48" w:rsidRDefault="00374B8C"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rsidRPr="00E76C48">
              <w:t>571.9</w:t>
            </w:r>
          </w:p>
        </w:tc>
        <w:tc>
          <w:tcPr>
            <w:tcW w:w="1249" w:type="dxa"/>
          </w:tcPr>
          <w:p w:rsidR="00374B8C" w:rsidRPr="00E76C48" w:rsidRDefault="00374B8C"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rsidRPr="00E76C48">
              <w:t>577.5</w:t>
            </w:r>
          </w:p>
        </w:tc>
        <w:tc>
          <w:tcPr>
            <w:tcW w:w="1249" w:type="dxa"/>
          </w:tcPr>
          <w:p w:rsidR="00374B8C" w:rsidRPr="00E76C48" w:rsidRDefault="00374B8C"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rsidRPr="00E76C48">
              <w:t>586.4</w:t>
            </w:r>
          </w:p>
        </w:tc>
        <w:tc>
          <w:tcPr>
            <w:tcW w:w="1249" w:type="dxa"/>
          </w:tcPr>
          <w:p w:rsidR="00374B8C" w:rsidRPr="00E76C48" w:rsidRDefault="00374B8C"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rsidRPr="00E76C48">
              <w:t>595.5</w:t>
            </w:r>
          </w:p>
        </w:tc>
      </w:tr>
      <w:tr w:rsidR="00374B8C" w:rsidRPr="00E76C48" w:rsidTr="00475D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tcPr>
          <w:p w:rsidR="00374B8C" w:rsidRPr="00E76C48" w:rsidRDefault="00374B8C" w:rsidP="00475DB8">
            <w:pPr>
              <w:pStyle w:val="NumPara"/>
              <w:numPr>
                <w:ilvl w:val="0"/>
                <w:numId w:val="0"/>
              </w:numPr>
              <w:rPr>
                <w:b w:val="0"/>
              </w:rPr>
            </w:pPr>
            <w:r w:rsidRPr="00E76C48">
              <w:rPr>
                <w:b w:val="0"/>
              </w:rPr>
              <w:t>Precept</w:t>
            </w:r>
          </w:p>
        </w:tc>
        <w:tc>
          <w:tcPr>
            <w:tcW w:w="1249" w:type="dxa"/>
          </w:tcPr>
          <w:p w:rsidR="00374B8C" w:rsidRPr="00E76C48" w:rsidRDefault="00374B8C"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rsidRPr="00E76C48">
              <w:t>152.4</w:t>
            </w:r>
          </w:p>
        </w:tc>
        <w:tc>
          <w:tcPr>
            <w:tcW w:w="1249" w:type="dxa"/>
          </w:tcPr>
          <w:p w:rsidR="00374B8C" w:rsidRPr="00E76C48" w:rsidRDefault="00374B8C"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rsidRPr="00E76C48">
              <w:t>159.4</w:t>
            </w:r>
          </w:p>
        </w:tc>
        <w:tc>
          <w:tcPr>
            <w:tcW w:w="1249" w:type="dxa"/>
          </w:tcPr>
          <w:p w:rsidR="00374B8C" w:rsidRPr="00E76C48" w:rsidRDefault="00374B8C"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rsidRPr="00E76C48">
              <w:t>169.1</w:t>
            </w:r>
          </w:p>
        </w:tc>
        <w:tc>
          <w:tcPr>
            <w:tcW w:w="1249" w:type="dxa"/>
          </w:tcPr>
          <w:p w:rsidR="00374B8C" w:rsidRPr="00E76C48" w:rsidRDefault="00374B8C"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rsidRPr="00E76C48">
              <w:t>178.8</w:t>
            </w:r>
          </w:p>
        </w:tc>
        <w:tc>
          <w:tcPr>
            <w:tcW w:w="1249" w:type="dxa"/>
          </w:tcPr>
          <w:p w:rsidR="00374B8C" w:rsidRPr="00E76C48" w:rsidRDefault="00374B8C"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rsidRPr="00E76C48">
              <w:t>188.7</w:t>
            </w:r>
          </w:p>
        </w:tc>
      </w:tr>
      <w:tr w:rsidR="00374B8C" w:rsidRPr="00E76C48" w:rsidTr="00475DB8">
        <w:trPr>
          <w:jc w:val="center"/>
        </w:trPr>
        <w:tc>
          <w:tcPr>
            <w:cnfStyle w:val="001000000000" w:firstRow="0" w:lastRow="0" w:firstColumn="1" w:lastColumn="0" w:oddVBand="0" w:evenVBand="0" w:oddHBand="0" w:evenHBand="0" w:firstRowFirstColumn="0" w:firstRowLastColumn="0" w:lastRowFirstColumn="0" w:lastRowLastColumn="0"/>
            <w:tcW w:w="3402" w:type="dxa"/>
          </w:tcPr>
          <w:p w:rsidR="00374B8C" w:rsidRPr="00E76C48" w:rsidRDefault="00374B8C" w:rsidP="00475DB8">
            <w:pPr>
              <w:pStyle w:val="NumPara"/>
              <w:numPr>
                <w:ilvl w:val="0"/>
                <w:numId w:val="0"/>
              </w:numPr>
              <w:rPr>
                <w:b w:val="0"/>
              </w:rPr>
            </w:pPr>
            <w:r w:rsidRPr="00E76C48">
              <w:rPr>
                <w:b w:val="0"/>
              </w:rPr>
              <w:t>Planned Contributions (to) / from Reserves</w:t>
            </w:r>
          </w:p>
        </w:tc>
        <w:tc>
          <w:tcPr>
            <w:tcW w:w="1249" w:type="dxa"/>
          </w:tcPr>
          <w:p w:rsidR="00374B8C" w:rsidRPr="00E76C48" w:rsidRDefault="00374B8C"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rsidRPr="00E76C48">
              <w:t>10.7</w:t>
            </w:r>
          </w:p>
        </w:tc>
        <w:tc>
          <w:tcPr>
            <w:tcW w:w="1249" w:type="dxa"/>
          </w:tcPr>
          <w:p w:rsidR="00374B8C" w:rsidRPr="00E76C48" w:rsidRDefault="00374B8C"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rsidRPr="00E76C48">
              <w:t>6.1</w:t>
            </w:r>
          </w:p>
        </w:tc>
        <w:tc>
          <w:tcPr>
            <w:tcW w:w="1249" w:type="dxa"/>
          </w:tcPr>
          <w:p w:rsidR="00374B8C" w:rsidRPr="00E76C48" w:rsidRDefault="00374B8C"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rsidRPr="00E76C48">
              <w:t>3.3</w:t>
            </w:r>
          </w:p>
        </w:tc>
        <w:tc>
          <w:tcPr>
            <w:tcW w:w="1249" w:type="dxa"/>
          </w:tcPr>
          <w:p w:rsidR="00374B8C" w:rsidRPr="00E76C48" w:rsidRDefault="00374B8C"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rsidRPr="00E76C48">
              <w:t>(0.5)</w:t>
            </w:r>
          </w:p>
        </w:tc>
        <w:tc>
          <w:tcPr>
            <w:tcW w:w="1249" w:type="dxa"/>
          </w:tcPr>
          <w:p w:rsidR="00374B8C" w:rsidRPr="00E76C48" w:rsidRDefault="00374B8C"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rsidRPr="00E76C48">
              <w:t>(0.5)</w:t>
            </w:r>
          </w:p>
        </w:tc>
      </w:tr>
      <w:tr w:rsidR="00374B8C" w:rsidTr="00475D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tcPr>
          <w:p w:rsidR="00374B8C" w:rsidRPr="00E76C48" w:rsidRDefault="00374B8C" w:rsidP="00475DB8">
            <w:pPr>
              <w:pStyle w:val="NumPara"/>
              <w:numPr>
                <w:ilvl w:val="0"/>
                <w:numId w:val="0"/>
              </w:numPr>
            </w:pPr>
            <w:r w:rsidRPr="00E76C48">
              <w:t>Potential Savings Required</w:t>
            </w:r>
          </w:p>
        </w:tc>
        <w:tc>
          <w:tcPr>
            <w:tcW w:w="1249" w:type="dxa"/>
          </w:tcPr>
          <w:p w:rsidR="00374B8C" w:rsidRPr="00E76C48" w:rsidRDefault="00374B8C"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rPr>
                <w:b/>
              </w:rPr>
            </w:pPr>
            <w:r w:rsidRPr="00E76C48">
              <w:rPr>
                <w:b/>
              </w:rPr>
              <w:t>0.0</w:t>
            </w:r>
          </w:p>
        </w:tc>
        <w:tc>
          <w:tcPr>
            <w:tcW w:w="1249" w:type="dxa"/>
          </w:tcPr>
          <w:p w:rsidR="00374B8C" w:rsidRPr="00E76C48" w:rsidRDefault="00374B8C"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rPr>
                <w:b/>
              </w:rPr>
            </w:pPr>
            <w:r w:rsidRPr="00E76C48">
              <w:rPr>
                <w:b/>
              </w:rPr>
              <w:t>25.2</w:t>
            </w:r>
          </w:p>
        </w:tc>
        <w:tc>
          <w:tcPr>
            <w:tcW w:w="1249" w:type="dxa"/>
          </w:tcPr>
          <w:p w:rsidR="00374B8C" w:rsidRPr="00E76C48" w:rsidRDefault="00374B8C"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rPr>
                <w:b/>
              </w:rPr>
            </w:pPr>
            <w:r w:rsidRPr="00E76C48">
              <w:rPr>
                <w:b/>
              </w:rPr>
              <w:t>30.2</w:t>
            </w:r>
          </w:p>
        </w:tc>
        <w:tc>
          <w:tcPr>
            <w:tcW w:w="1249" w:type="dxa"/>
          </w:tcPr>
          <w:p w:rsidR="00374B8C" w:rsidRPr="00E76C48" w:rsidRDefault="00374B8C"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rPr>
                <w:b/>
              </w:rPr>
            </w:pPr>
            <w:r w:rsidRPr="00E76C48">
              <w:rPr>
                <w:b/>
              </w:rPr>
              <w:t>34.9</w:t>
            </w:r>
          </w:p>
        </w:tc>
        <w:tc>
          <w:tcPr>
            <w:tcW w:w="1249" w:type="dxa"/>
          </w:tcPr>
          <w:p w:rsidR="00374B8C" w:rsidRPr="00B32BC0" w:rsidRDefault="00374B8C"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rPr>
                <w:b/>
              </w:rPr>
            </w:pPr>
            <w:r w:rsidRPr="00E76C48">
              <w:rPr>
                <w:b/>
              </w:rPr>
              <w:t>32.3</w:t>
            </w:r>
          </w:p>
        </w:tc>
      </w:tr>
    </w:tbl>
    <w:p w:rsidR="00374B8C" w:rsidRDefault="00374B8C" w:rsidP="00374B8C">
      <w:pPr>
        <w:pStyle w:val="NumPara"/>
        <w:numPr>
          <w:ilvl w:val="0"/>
          <w:numId w:val="0"/>
        </w:numPr>
        <w:ind w:left="851"/>
      </w:pPr>
    </w:p>
    <w:p w:rsidR="00374B8C" w:rsidRDefault="00374B8C" w:rsidP="002631F6">
      <w:pPr>
        <w:pStyle w:val="Heading2"/>
      </w:pPr>
      <w:r>
        <w:t>There are a number of outstanding risks yet to be added into the medium-term plan, these include:</w:t>
      </w:r>
    </w:p>
    <w:p w:rsidR="00374B8C" w:rsidRDefault="00374B8C" w:rsidP="002631F6">
      <w:pPr>
        <w:pStyle w:val="NumPara2"/>
        <w:numPr>
          <w:ilvl w:val="0"/>
          <w:numId w:val="17"/>
        </w:numPr>
        <w:jc w:val="both"/>
      </w:pPr>
      <w:r>
        <w:t>The re-profiled revenue costs associated with the Estate’s Strategy, including refurbishment / enhancement costs, co-habitation costs and ongoing revenue consequences of the new builds.  Work is ongoing as part of the Operating Model review to finalise the timing and exact costs.</w:t>
      </w:r>
    </w:p>
    <w:p w:rsidR="00374B8C" w:rsidRDefault="00374B8C" w:rsidP="002631F6">
      <w:pPr>
        <w:pStyle w:val="NumPara2"/>
        <w:numPr>
          <w:ilvl w:val="0"/>
          <w:numId w:val="17"/>
        </w:numPr>
        <w:jc w:val="both"/>
      </w:pPr>
      <w:r>
        <w:t>The impact if pay awards are higher than the 3% in 2023/24 and 2.0% from 2024/25 onwards assumptions.</w:t>
      </w:r>
    </w:p>
    <w:p w:rsidR="00374B8C" w:rsidRDefault="00374B8C" w:rsidP="002631F6">
      <w:pPr>
        <w:pStyle w:val="NumPara2"/>
        <w:numPr>
          <w:ilvl w:val="0"/>
          <w:numId w:val="17"/>
        </w:numPr>
        <w:jc w:val="both"/>
      </w:pPr>
      <w:r>
        <w:lastRenderedPageBreak/>
        <w:t>Higher than anticipated non-pay inflation.</w:t>
      </w:r>
    </w:p>
    <w:p w:rsidR="00374B8C" w:rsidRPr="00A859AE" w:rsidRDefault="00374B8C" w:rsidP="002631F6">
      <w:pPr>
        <w:pStyle w:val="NumPara2"/>
        <w:numPr>
          <w:ilvl w:val="0"/>
          <w:numId w:val="17"/>
        </w:numPr>
        <w:jc w:val="both"/>
      </w:pPr>
      <w:r>
        <w:t>Revenue consequences of the Emergency Services Mobile Communications Programme (ESMCP).</w:t>
      </w:r>
    </w:p>
    <w:p w:rsidR="00F12045" w:rsidRDefault="00F12045" w:rsidP="002631F6">
      <w:pPr>
        <w:pStyle w:val="Heading1"/>
      </w:pPr>
      <w:r>
        <w:t>Capital Programme</w:t>
      </w:r>
    </w:p>
    <w:p w:rsidR="00F12045" w:rsidRDefault="00F12045" w:rsidP="002631F6">
      <w:pPr>
        <w:pStyle w:val="Heading2"/>
      </w:pPr>
      <w:r w:rsidRPr="00585847">
        <w:t>The</w:t>
      </w:r>
      <w:r>
        <w:t xml:space="preserve"> </w:t>
      </w:r>
      <w:r w:rsidRPr="00585847">
        <w:t>capital programme for 2023/24 to 2026/27</w:t>
      </w:r>
      <w:r>
        <w:t xml:space="preserve"> is detailed in </w:t>
      </w:r>
      <w:r w:rsidRPr="00F12045">
        <w:rPr>
          <w:b/>
        </w:rPr>
        <w:t>Appendix 4.</w:t>
      </w:r>
      <w:r>
        <w:t xml:space="preserve">  </w:t>
      </w:r>
      <w:r w:rsidRPr="00585847">
        <w:t>The</w:t>
      </w:r>
      <w:r w:rsidRPr="001F3557">
        <w:t xml:space="preserve"> </w:t>
      </w:r>
      <w:r>
        <w:t>C</w:t>
      </w:r>
      <w:r w:rsidRPr="001F3557">
        <w:t xml:space="preserve">apital </w:t>
      </w:r>
      <w:r>
        <w:t>P</w:t>
      </w:r>
      <w:r w:rsidRPr="001F3557">
        <w:t>rogramme will be financed by a combination of revenue contributions, capital receipts and additional borrowing as required.</w:t>
      </w:r>
      <w:r>
        <w:t xml:space="preserve">  The exact combination of funding sources will depend upon:</w:t>
      </w:r>
    </w:p>
    <w:p w:rsidR="00F12045" w:rsidRDefault="00F12045" w:rsidP="00F12045">
      <w:pPr>
        <w:pStyle w:val="NumPara"/>
        <w:numPr>
          <w:ilvl w:val="0"/>
          <w:numId w:val="4"/>
        </w:numPr>
      </w:pPr>
      <w:r>
        <w:t>The extent to which reserves will be required to support total revenue spending over the medium term.</w:t>
      </w:r>
    </w:p>
    <w:p w:rsidR="00F12045" w:rsidRDefault="00F12045" w:rsidP="00F12045">
      <w:pPr>
        <w:pStyle w:val="NumPara"/>
        <w:numPr>
          <w:ilvl w:val="0"/>
          <w:numId w:val="4"/>
        </w:numPr>
      </w:pPr>
      <w:r>
        <w:t>The long-term costs of borrowing and the impact of borrowing costs on total revenue spending.</w:t>
      </w:r>
    </w:p>
    <w:p w:rsidR="00F12045" w:rsidRDefault="00F12045" w:rsidP="002631F6">
      <w:pPr>
        <w:pStyle w:val="Heading2"/>
      </w:pPr>
      <w:r>
        <w:t xml:space="preserve">Both the Estates Strategy and operating model are currently being reviewed and the outcomes will be reflected in the updated Capital Programme.  </w:t>
      </w:r>
    </w:p>
    <w:p w:rsidR="00F12045" w:rsidRDefault="00F12045" w:rsidP="00D6167B">
      <w:pPr>
        <w:pStyle w:val="Heading1"/>
        <w:ind w:left="567" w:hanging="567"/>
      </w:pPr>
      <w:r>
        <w:t>Prudential Guidelines</w:t>
      </w:r>
    </w:p>
    <w:p w:rsidR="00F12045" w:rsidRPr="00F12045" w:rsidRDefault="00F12045" w:rsidP="002631F6">
      <w:pPr>
        <w:pStyle w:val="Heading2"/>
      </w:pPr>
      <w:r>
        <w:t xml:space="preserve">In relation to capital financing the Commissioner is required to set a number of prudential indicators and these are covered in detail in </w:t>
      </w:r>
      <w:r w:rsidRPr="00F12045">
        <w:rPr>
          <w:b/>
        </w:rPr>
        <w:t xml:space="preserve">Appendix </w:t>
      </w:r>
      <w:r w:rsidR="00B67875">
        <w:rPr>
          <w:b/>
        </w:rPr>
        <w:t>7</w:t>
      </w:r>
      <w:r>
        <w:t>.</w:t>
      </w:r>
    </w:p>
    <w:p w:rsidR="00F12045" w:rsidRDefault="00F12045" w:rsidP="00D6167B">
      <w:pPr>
        <w:pStyle w:val="Heading1"/>
        <w:ind w:left="567" w:hanging="567"/>
      </w:pPr>
      <w:r>
        <w:t>Risks and Uncertainties</w:t>
      </w:r>
    </w:p>
    <w:p w:rsidR="00F12045" w:rsidRPr="00F12045" w:rsidRDefault="00F12045" w:rsidP="002631F6">
      <w:pPr>
        <w:pStyle w:val="Heading2"/>
      </w:pPr>
      <w:r>
        <w:t xml:space="preserve">Details of the risks and uncertainties inherent in these Budget proposals are summarised in </w:t>
      </w:r>
      <w:r w:rsidRPr="00F12045">
        <w:rPr>
          <w:b/>
        </w:rPr>
        <w:t xml:space="preserve">Appendix </w:t>
      </w:r>
      <w:r w:rsidR="00B67875">
        <w:rPr>
          <w:b/>
        </w:rPr>
        <w:t>8</w:t>
      </w:r>
      <w:r>
        <w:t>.</w:t>
      </w:r>
    </w:p>
    <w:p w:rsidR="00F12045" w:rsidRDefault="00F12045" w:rsidP="00D6167B">
      <w:pPr>
        <w:pStyle w:val="Heading1"/>
        <w:ind w:left="567" w:hanging="567"/>
      </w:pPr>
      <w:r>
        <w:t>Precept Implications</w:t>
      </w:r>
    </w:p>
    <w:p w:rsidR="00F12045" w:rsidRDefault="00F12045" w:rsidP="002631F6">
      <w:pPr>
        <w:pStyle w:val="Heading2"/>
      </w:pPr>
      <w:r>
        <w:t>The table below shows a summary of the precept calculation including the notified Collection Fund net surplus, and compares the precept level with last year’s figures.</w:t>
      </w:r>
    </w:p>
    <w:tbl>
      <w:tblPr>
        <w:tblStyle w:val="GridTable4-Accent1"/>
        <w:tblW w:w="7797" w:type="dxa"/>
        <w:jc w:val="center"/>
        <w:tblInd w:w="0" w:type="dxa"/>
        <w:tblLayout w:type="fixed"/>
        <w:tblLook w:val="04A0" w:firstRow="1" w:lastRow="0" w:firstColumn="1" w:lastColumn="0" w:noHBand="0" w:noVBand="1"/>
      </w:tblPr>
      <w:tblGrid>
        <w:gridCol w:w="4111"/>
        <w:gridCol w:w="1843"/>
        <w:gridCol w:w="1843"/>
      </w:tblGrid>
      <w:tr w:rsidR="00F12045" w:rsidTr="00475D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bottom"/>
          </w:tcPr>
          <w:p w:rsidR="00F12045" w:rsidRPr="000405B6" w:rsidRDefault="00F12045" w:rsidP="00475DB8">
            <w:pPr>
              <w:pStyle w:val="NumPara"/>
              <w:numPr>
                <w:ilvl w:val="0"/>
                <w:numId w:val="0"/>
              </w:numPr>
              <w:rPr>
                <w:color w:val="auto"/>
              </w:rPr>
            </w:pPr>
            <w:bookmarkStart w:id="2" w:name="OLE_LINK1"/>
            <w:r w:rsidRPr="000405B6">
              <w:rPr>
                <w:color w:val="auto"/>
              </w:rPr>
              <w:t>Summary Precept Calculation</w:t>
            </w:r>
          </w:p>
        </w:tc>
        <w:tc>
          <w:tcPr>
            <w:tcW w:w="1843" w:type="dxa"/>
            <w:vAlign w:val="bottom"/>
          </w:tcPr>
          <w:p w:rsidR="00F12045" w:rsidRPr="000405B6" w:rsidRDefault="00F12045" w:rsidP="00475DB8">
            <w:pPr>
              <w:pStyle w:val="NumPara"/>
              <w:numPr>
                <w:ilvl w:val="0"/>
                <w:numId w:val="0"/>
              </w:numPr>
              <w:jc w:val="right"/>
              <w:cnfStyle w:val="100000000000" w:firstRow="1" w:lastRow="0" w:firstColumn="0" w:lastColumn="0" w:oddVBand="0" w:evenVBand="0" w:oddHBand="0" w:evenHBand="0" w:firstRowFirstColumn="0" w:firstRowLastColumn="0" w:lastRowFirstColumn="0" w:lastRowLastColumn="0"/>
              <w:rPr>
                <w:color w:val="auto"/>
              </w:rPr>
            </w:pPr>
            <w:r w:rsidRPr="000405B6">
              <w:rPr>
                <w:color w:val="auto"/>
              </w:rPr>
              <w:t xml:space="preserve">2022/23 </w:t>
            </w:r>
            <w:r>
              <w:rPr>
                <w:color w:val="auto"/>
              </w:rPr>
              <w:br/>
            </w:r>
            <w:r w:rsidRPr="000405B6">
              <w:rPr>
                <w:color w:val="auto"/>
              </w:rPr>
              <w:t>£m</w:t>
            </w:r>
          </w:p>
        </w:tc>
        <w:tc>
          <w:tcPr>
            <w:tcW w:w="1843" w:type="dxa"/>
            <w:vAlign w:val="bottom"/>
          </w:tcPr>
          <w:p w:rsidR="00F12045" w:rsidRPr="000405B6" w:rsidRDefault="00F12045" w:rsidP="00475DB8">
            <w:pPr>
              <w:pStyle w:val="NumPara"/>
              <w:numPr>
                <w:ilvl w:val="0"/>
                <w:numId w:val="0"/>
              </w:numPr>
              <w:jc w:val="right"/>
              <w:cnfStyle w:val="100000000000" w:firstRow="1" w:lastRow="0" w:firstColumn="0" w:lastColumn="0" w:oddVBand="0" w:evenVBand="0" w:oddHBand="0" w:evenHBand="0" w:firstRowFirstColumn="0" w:firstRowLastColumn="0" w:lastRowFirstColumn="0" w:lastRowLastColumn="0"/>
              <w:rPr>
                <w:color w:val="auto"/>
              </w:rPr>
            </w:pPr>
            <w:r w:rsidRPr="000405B6">
              <w:rPr>
                <w:color w:val="auto"/>
              </w:rPr>
              <w:t xml:space="preserve">2023/24 </w:t>
            </w:r>
            <w:r>
              <w:rPr>
                <w:color w:val="auto"/>
              </w:rPr>
              <w:br/>
            </w:r>
            <w:r w:rsidRPr="000405B6">
              <w:rPr>
                <w:color w:val="auto"/>
              </w:rPr>
              <w:t>£m</w:t>
            </w:r>
          </w:p>
        </w:tc>
      </w:tr>
      <w:tr w:rsidR="00F12045" w:rsidRPr="0090477F" w:rsidTr="00475D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rsidR="00F12045" w:rsidRPr="000405B6" w:rsidRDefault="00F12045" w:rsidP="00475DB8">
            <w:pPr>
              <w:pStyle w:val="NumPara"/>
              <w:numPr>
                <w:ilvl w:val="0"/>
                <w:numId w:val="0"/>
              </w:numPr>
              <w:rPr>
                <w:b w:val="0"/>
              </w:rPr>
            </w:pPr>
            <w:r w:rsidRPr="000405B6">
              <w:rPr>
                <w:b w:val="0"/>
              </w:rPr>
              <w:t>Total Revenue Budget</w:t>
            </w:r>
          </w:p>
        </w:tc>
        <w:tc>
          <w:tcPr>
            <w:tcW w:w="1843" w:type="dxa"/>
          </w:tcPr>
          <w:p w:rsidR="00F12045" w:rsidRPr="0090477F" w:rsidRDefault="00F12045"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rsidRPr="0090477F">
              <w:t>686.8</w:t>
            </w:r>
          </w:p>
        </w:tc>
        <w:tc>
          <w:tcPr>
            <w:tcW w:w="1843" w:type="dxa"/>
            <w:shd w:val="clear" w:color="auto" w:fill="auto"/>
          </w:tcPr>
          <w:p w:rsidR="00F12045" w:rsidRPr="0090477F" w:rsidRDefault="00F12045"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rsidRPr="0090477F">
              <w:t>709.1</w:t>
            </w:r>
          </w:p>
        </w:tc>
      </w:tr>
      <w:tr w:rsidR="00F12045" w:rsidRPr="006A427F" w:rsidTr="00475DB8">
        <w:trPr>
          <w:jc w:val="center"/>
        </w:trPr>
        <w:tc>
          <w:tcPr>
            <w:cnfStyle w:val="001000000000" w:firstRow="0" w:lastRow="0" w:firstColumn="1" w:lastColumn="0" w:oddVBand="0" w:evenVBand="0" w:oddHBand="0" w:evenHBand="0" w:firstRowFirstColumn="0" w:firstRowLastColumn="0" w:lastRowFirstColumn="0" w:lastRowLastColumn="0"/>
            <w:tcW w:w="4111" w:type="dxa"/>
          </w:tcPr>
          <w:p w:rsidR="00F12045" w:rsidRPr="000405B6" w:rsidRDefault="00F12045" w:rsidP="00475DB8">
            <w:pPr>
              <w:pStyle w:val="NumPara"/>
              <w:numPr>
                <w:ilvl w:val="0"/>
                <w:numId w:val="0"/>
              </w:numPr>
              <w:rPr>
                <w:b w:val="0"/>
              </w:rPr>
            </w:pPr>
            <w:r w:rsidRPr="000405B6">
              <w:rPr>
                <w:b w:val="0"/>
              </w:rPr>
              <w:t>Contribution to / from Reserves</w:t>
            </w:r>
          </w:p>
        </w:tc>
        <w:tc>
          <w:tcPr>
            <w:tcW w:w="1843" w:type="dxa"/>
          </w:tcPr>
          <w:p w:rsidR="00F12045" w:rsidRDefault="00F12045"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-8.1</w:t>
            </w:r>
          </w:p>
        </w:tc>
        <w:tc>
          <w:tcPr>
            <w:tcW w:w="1843" w:type="dxa"/>
            <w:shd w:val="clear" w:color="auto" w:fill="auto"/>
          </w:tcPr>
          <w:p w:rsidR="00F12045" w:rsidRPr="006A427F" w:rsidRDefault="00F12045"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rsidRPr="006A427F">
              <w:t>-10.</w:t>
            </w:r>
            <w:r>
              <w:t>7</w:t>
            </w:r>
          </w:p>
        </w:tc>
      </w:tr>
      <w:tr w:rsidR="00F12045" w:rsidTr="00475D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rsidR="00F12045" w:rsidRDefault="00F12045" w:rsidP="00475DB8">
            <w:pPr>
              <w:pStyle w:val="NumPara"/>
              <w:numPr>
                <w:ilvl w:val="0"/>
                <w:numId w:val="0"/>
              </w:numPr>
            </w:pPr>
            <w:r>
              <w:t>Net Budget Requirement</w:t>
            </w:r>
          </w:p>
        </w:tc>
        <w:tc>
          <w:tcPr>
            <w:tcW w:w="1843" w:type="dxa"/>
          </w:tcPr>
          <w:p w:rsidR="00F12045" w:rsidRPr="00D665AB" w:rsidRDefault="00F12045"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rPr>
                <w:b/>
              </w:rPr>
            </w:pPr>
            <w:r>
              <w:rPr>
                <w:b/>
              </w:rPr>
              <w:t>678.7</w:t>
            </w:r>
          </w:p>
        </w:tc>
        <w:tc>
          <w:tcPr>
            <w:tcW w:w="1843" w:type="dxa"/>
          </w:tcPr>
          <w:p w:rsidR="00F12045" w:rsidRPr="00D665AB" w:rsidRDefault="00F12045"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rPr>
                <w:b/>
              </w:rPr>
            </w:pPr>
            <w:r>
              <w:rPr>
                <w:b/>
              </w:rPr>
              <w:t>698.4</w:t>
            </w:r>
          </w:p>
        </w:tc>
      </w:tr>
      <w:tr w:rsidR="00F12045" w:rsidTr="00475DB8">
        <w:trPr>
          <w:jc w:val="center"/>
        </w:trPr>
        <w:tc>
          <w:tcPr>
            <w:cnfStyle w:val="001000000000" w:firstRow="0" w:lastRow="0" w:firstColumn="1" w:lastColumn="0" w:oddVBand="0" w:evenVBand="0" w:oddHBand="0" w:evenHBand="0" w:firstRowFirstColumn="0" w:firstRowLastColumn="0" w:lastRowFirstColumn="0" w:lastRowLastColumn="0"/>
            <w:tcW w:w="4111" w:type="dxa"/>
          </w:tcPr>
          <w:p w:rsidR="00F12045" w:rsidRPr="000405B6" w:rsidRDefault="00F12045" w:rsidP="00475DB8">
            <w:pPr>
              <w:pStyle w:val="NumPara"/>
              <w:numPr>
                <w:ilvl w:val="0"/>
                <w:numId w:val="0"/>
              </w:numPr>
              <w:rPr>
                <w:b w:val="0"/>
              </w:rPr>
            </w:pPr>
            <w:r w:rsidRPr="000405B6">
              <w:rPr>
                <w:b w:val="0"/>
              </w:rPr>
              <w:t>Police Grant inc</w:t>
            </w:r>
            <w:r>
              <w:rPr>
                <w:b w:val="0"/>
              </w:rPr>
              <w:t>luding</w:t>
            </w:r>
            <w:r w:rsidRPr="000405B6">
              <w:rPr>
                <w:b w:val="0"/>
              </w:rPr>
              <w:t xml:space="preserve"> DCLG</w:t>
            </w:r>
          </w:p>
        </w:tc>
        <w:tc>
          <w:tcPr>
            <w:tcW w:w="1843" w:type="dxa"/>
          </w:tcPr>
          <w:p w:rsidR="00F12045" w:rsidRDefault="00F12045"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-525.1</w:t>
            </w:r>
          </w:p>
        </w:tc>
        <w:tc>
          <w:tcPr>
            <w:tcW w:w="1843" w:type="dxa"/>
          </w:tcPr>
          <w:p w:rsidR="00F12045" w:rsidRDefault="00F12045"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-527.0</w:t>
            </w:r>
          </w:p>
        </w:tc>
      </w:tr>
      <w:tr w:rsidR="00F12045" w:rsidTr="00475D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rsidR="00F12045" w:rsidRPr="000405B6" w:rsidRDefault="00F12045" w:rsidP="00475DB8">
            <w:pPr>
              <w:pStyle w:val="NumPara"/>
              <w:numPr>
                <w:ilvl w:val="0"/>
                <w:numId w:val="0"/>
              </w:numPr>
              <w:rPr>
                <w:b w:val="0"/>
              </w:rPr>
            </w:pPr>
            <w:r w:rsidRPr="000405B6">
              <w:rPr>
                <w:b w:val="0"/>
              </w:rPr>
              <w:t>Council Tax Support Grant</w:t>
            </w:r>
          </w:p>
        </w:tc>
        <w:tc>
          <w:tcPr>
            <w:tcW w:w="1843" w:type="dxa"/>
          </w:tcPr>
          <w:p w:rsidR="00F12045" w:rsidRDefault="00F12045"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-19.0</w:t>
            </w:r>
          </w:p>
        </w:tc>
        <w:tc>
          <w:tcPr>
            <w:tcW w:w="1843" w:type="dxa"/>
          </w:tcPr>
          <w:p w:rsidR="00F12045" w:rsidRDefault="00F12045"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-19.0</w:t>
            </w:r>
          </w:p>
        </w:tc>
      </w:tr>
      <w:tr w:rsidR="00F12045" w:rsidTr="00475DB8">
        <w:trPr>
          <w:jc w:val="center"/>
        </w:trPr>
        <w:tc>
          <w:tcPr>
            <w:cnfStyle w:val="001000000000" w:firstRow="0" w:lastRow="0" w:firstColumn="1" w:lastColumn="0" w:oddVBand="0" w:evenVBand="0" w:oddHBand="0" w:evenHBand="0" w:firstRowFirstColumn="0" w:firstRowLastColumn="0" w:lastRowFirstColumn="0" w:lastRowLastColumn="0"/>
            <w:tcW w:w="4111" w:type="dxa"/>
          </w:tcPr>
          <w:p w:rsidR="00F12045" w:rsidRPr="000405B6" w:rsidRDefault="00F12045" w:rsidP="00475DB8">
            <w:pPr>
              <w:pStyle w:val="NumPara"/>
              <w:numPr>
                <w:ilvl w:val="0"/>
                <w:numId w:val="0"/>
              </w:numPr>
              <w:rPr>
                <w:b w:val="0"/>
              </w:rPr>
            </w:pPr>
            <w:r w:rsidRPr="000405B6">
              <w:rPr>
                <w:b w:val="0"/>
              </w:rPr>
              <w:t>Surplus / Deficit on Collection Fund</w:t>
            </w:r>
          </w:p>
        </w:tc>
        <w:tc>
          <w:tcPr>
            <w:tcW w:w="1843" w:type="dxa"/>
          </w:tcPr>
          <w:p w:rsidR="00F12045" w:rsidRDefault="00F12045"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1.6</w:t>
            </w:r>
          </w:p>
        </w:tc>
        <w:tc>
          <w:tcPr>
            <w:tcW w:w="1843" w:type="dxa"/>
          </w:tcPr>
          <w:p w:rsidR="00F12045" w:rsidRDefault="00F12045"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-3.0</w:t>
            </w:r>
          </w:p>
        </w:tc>
      </w:tr>
      <w:tr w:rsidR="00F12045" w:rsidTr="00475D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rsidR="00F12045" w:rsidRDefault="00F12045" w:rsidP="00475DB8">
            <w:pPr>
              <w:pStyle w:val="NumPara"/>
              <w:numPr>
                <w:ilvl w:val="0"/>
                <w:numId w:val="0"/>
              </w:numPr>
            </w:pPr>
            <w:r>
              <w:t>Precept Requirement</w:t>
            </w:r>
          </w:p>
        </w:tc>
        <w:tc>
          <w:tcPr>
            <w:tcW w:w="1843" w:type="dxa"/>
          </w:tcPr>
          <w:p w:rsidR="00F12045" w:rsidRPr="00D665AB" w:rsidRDefault="00F12045"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rPr>
                <w:b/>
              </w:rPr>
            </w:pPr>
            <w:r>
              <w:rPr>
                <w:b/>
              </w:rPr>
              <w:t>136.2</w:t>
            </w:r>
          </w:p>
        </w:tc>
        <w:tc>
          <w:tcPr>
            <w:tcW w:w="1843" w:type="dxa"/>
          </w:tcPr>
          <w:p w:rsidR="00F12045" w:rsidRPr="00D665AB" w:rsidRDefault="00F12045"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rPr>
                <w:b/>
              </w:rPr>
            </w:pPr>
            <w:r>
              <w:rPr>
                <w:b/>
              </w:rPr>
              <w:t>149.4</w:t>
            </w:r>
          </w:p>
        </w:tc>
      </w:tr>
      <w:tr w:rsidR="00F12045" w:rsidTr="00475DB8">
        <w:trPr>
          <w:jc w:val="center"/>
        </w:trPr>
        <w:tc>
          <w:tcPr>
            <w:cnfStyle w:val="001000000000" w:firstRow="0" w:lastRow="0" w:firstColumn="1" w:lastColumn="0" w:oddVBand="0" w:evenVBand="0" w:oddHBand="0" w:evenHBand="0" w:firstRowFirstColumn="0" w:firstRowLastColumn="0" w:lastRowFirstColumn="0" w:lastRowLastColumn="0"/>
            <w:tcW w:w="4111" w:type="dxa"/>
          </w:tcPr>
          <w:p w:rsidR="00F12045" w:rsidRPr="000405B6" w:rsidRDefault="00F12045" w:rsidP="00475DB8">
            <w:pPr>
              <w:pStyle w:val="NumPara"/>
              <w:numPr>
                <w:ilvl w:val="0"/>
                <w:numId w:val="0"/>
              </w:numPr>
              <w:rPr>
                <w:b w:val="0"/>
              </w:rPr>
            </w:pPr>
            <w:r w:rsidRPr="000405B6">
              <w:rPr>
                <w:b w:val="0"/>
              </w:rPr>
              <w:t>Total Tax Base</w:t>
            </w:r>
          </w:p>
        </w:tc>
        <w:tc>
          <w:tcPr>
            <w:tcW w:w="1843" w:type="dxa"/>
          </w:tcPr>
          <w:p w:rsidR="00F12045" w:rsidRDefault="00F12045"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726,271.98</w:t>
            </w:r>
          </w:p>
        </w:tc>
        <w:tc>
          <w:tcPr>
            <w:tcW w:w="1843" w:type="dxa"/>
          </w:tcPr>
          <w:p w:rsidR="00F12045" w:rsidRDefault="00F12045" w:rsidP="00475DB8">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737,707.31</w:t>
            </w:r>
          </w:p>
        </w:tc>
      </w:tr>
      <w:tr w:rsidR="00F12045" w:rsidTr="00475D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rsidR="00F12045" w:rsidRDefault="00F12045" w:rsidP="00475DB8">
            <w:pPr>
              <w:pStyle w:val="NumPara"/>
              <w:numPr>
                <w:ilvl w:val="0"/>
                <w:numId w:val="0"/>
              </w:numPr>
            </w:pPr>
            <w:r>
              <w:t>Band D Precept</w:t>
            </w:r>
          </w:p>
        </w:tc>
        <w:tc>
          <w:tcPr>
            <w:tcW w:w="1843" w:type="dxa"/>
          </w:tcPr>
          <w:p w:rsidR="00F12045" w:rsidRPr="00B66126" w:rsidRDefault="00F12045"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rPr>
                <w:b/>
              </w:rPr>
            </w:pPr>
            <w:r w:rsidRPr="00B66126">
              <w:rPr>
                <w:b/>
              </w:rPr>
              <w:t>187.55</w:t>
            </w:r>
          </w:p>
        </w:tc>
        <w:tc>
          <w:tcPr>
            <w:tcW w:w="1843" w:type="dxa"/>
          </w:tcPr>
          <w:p w:rsidR="00F12045" w:rsidRPr="00B66126" w:rsidRDefault="00F12045" w:rsidP="00475DB8">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rPr>
                <w:b/>
              </w:rPr>
            </w:pPr>
            <w:r w:rsidRPr="00B66126">
              <w:rPr>
                <w:b/>
              </w:rPr>
              <w:t>202.55</w:t>
            </w:r>
          </w:p>
        </w:tc>
      </w:tr>
    </w:tbl>
    <w:bookmarkEnd w:id="2"/>
    <w:p w:rsidR="00F12045" w:rsidRDefault="00F12045" w:rsidP="00F12045">
      <w:pPr>
        <w:pStyle w:val="NumPara"/>
        <w:numPr>
          <w:ilvl w:val="0"/>
          <w:numId w:val="0"/>
        </w:numPr>
        <w:ind w:left="851"/>
      </w:pPr>
      <w:r>
        <w:t xml:space="preserve">*An </w:t>
      </w:r>
      <w:r w:rsidR="00A94BE3">
        <w:t>i</w:t>
      </w:r>
      <w:r>
        <w:t>ncrease of £15.00 per annum</w:t>
      </w:r>
    </w:p>
    <w:p w:rsidR="00F12045" w:rsidRDefault="00F12045" w:rsidP="002631F6">
      <w:pPr>
        <w:pStyle w:val="Heading2"/>
      </w:pPr>
      <w:r>
        <w:lastRenderedPageBreak/>
        <w:t>This produces a charge for each property for 2023/24 as follows.</w:t>
      </w:r>
    </w:p>
    <w:tbl>
      <w:tblPr>
        <w:tblStyle w:val="GridTable4-Accent1"/>
        <w:tblW w:w="7953" w:type="dxa"/>
        <w:jc w:val="center"/>
        <w:tblInd w:w="0" w:type="dxa"/>
        <w:tblLook w:val="04A0" w:firstRow="1" w:lastRow="0" w:firstColumn="1" w:lastColumn="0" w:noHBand="0" w:noVBand="1"/>
      </w:tblPr>
      <w:tblGrid>
        <w:gridCol w:w="2122"/>
        <w:gridCol w:w="1443"/>
        <w:gridCol w:w="1097"/>
        <w:gridCol w:w="1097"/>
        <w:gridCol w:w="1097"/>
        <w:gridCol w:w="1097"/>
      </w:tblGrid>
      <w:tr w:rsidR="00F12045" w:rsidTr="00475DB8">
        <w:trPr>
          <w:cnfStyle w:val="100000000000" w:firstRow="1" w:lastRow="0" w:firstColumn="0" w:lastColumn="0" w:oddVBand="0" w:evenVBand="0" w:oddHBand="0" w:evenHBand="0" w:firstRowFirstColumn="0" w:firstRowLastColumn="0" w:lastRowFirstColumn="0" w:lastRowLastColumn="0"/>
          <w:trHeight w:val="855"/>
          <w:jc w:val="center"/>
        </w:trPr>
        <w:tc>
          <w:tcPr>
            <w:cnfStyle w:val="001000000000" w:firstRow="0" w:lastRow="0" w:firstColumn="1" w:lastColumn="0" w:oddVBand="0" w:evenVBand="0" w:oddHBand="0" w:evenHBand="0" w:firstRowFirstColumn="0" w:firstRowLastColumn="0" w:lastRowFirstColumn="0" w:lastRowLastColumn="0"/>
            <w:tcW w:w="2122" w:type="dxa"/>
            <w:hideMark/>
          </w:tcPr>
          <w:p w:rsidR="00F12045" w:rsidRDefault="00830681" w:rsidP="00475DB8">
            <w:pPr>
              <w:jc w:val="both"/>
              <w:rPr>
                <w:bCs w:val="0"/>
                <w:color w:val="auto"/>
                <w:sz w:val="22"/>
              </w:rPr>
            </w:pPr>
            <w:r>
              <w:rPr>
                <w:b w:val="0"/>
                <w:bCs w:val="0"/>
              </w:rPr>
              <w:br w:type="page"/>
            </w:r>
            <w:r w:rsidR="00F12045">
              <w:rPr>
                <w:bCs w:val="0"/>
                <w:color w:val="auto"/>
              </w:rPr>
              <w:t>Band</w:t>
            </w:r>
          </w:p>
        </w:tc>
        <w:tc>
          <w:tcPr>
            <w:tcW w:w="1443" w:type="dxa"/>
            <w:hideMark/>
          </w:tcPr>
          <w:p w:rsidR="00F12045" w:rsidRDefault="00F12045" w:rsidP="00475DB8">
            <w:pPr>
              <w:jc w:val="both"/>
              <w:cnfStyle w:val="100000000000" w:firstRow="1" w:lastRow="0" w:firstColumn="0" w:lastColumn="0" w:oddVBand="0" w:evenVBand="0" w:oddHBand="0" w:evenHBand="0" w:firstRowFirstColumn="0" w:firstRowLastColumn="0" w:lastRowFirstColumn="0" w:lastRowLastColumn="0"/>
              <w:rPr>
                <w:bCs w:val="0"/>
                <w:color w:val="auto"/>
              </w:rPr>
            </w:pPr>
            <w:r>
              <w:rPr>
                <w:bCs w:val="0"/>
                <w:color w:val="auto"/>
              </w:rPr>
              <w:t>Statutory Proportion</w:t>
            </w:r>
          </w:p>
        </w:tc>
        <w:tc>
          <w:tcPr>
            <w:tcW w:w="1097" w:type="dxa"/>
            <w:hideMark/>
          </w:tcPr>
          <w:p w:rsidR="00F12045" w:rsidRDefault="00F12045" w:rsidP="00475DB8">
            <w:pPr>
              <w:jc w:val="both"/>
              <w:cnfStyle w:val="100000000000" w:firstRow="1" w:lastRow="0" w:firstColumn="0" w:lastColumn="0" w:oddVBand="0" w:evenVBand="0" w:oddHBand="0" w:evenHBand="0" w:firstRowFirstColumn="0" w:firstRowLastColumn="0" w:lastRowFirstColumn="0" w:lastRowLastColumn="0"/>
              <w:rPr>
                <w:bCs w:val="0"/>
                <w:color w:val="auto"/>
              </w:rPr>
            </w:pPr>
            <w:r>
              <w:rPr>
                <w:bCs w:val="0"/>
                <w:color w:val="auto"/>
              </w:rPr>
              <w:t>2022/23 Precept</w:t>
            </w:r>
            <w:r>
              <w:rPr>
                <w:bCs w:val="0"/>
                <w:color w:val="auto"/>
              </w:rPr>
              <w:br/>
              <w:t>£: p</w:t>
            </w:r>
          </w:p>
        </w:tc>
        <w:tc>
          <w:tcPr>
            <w:tcW w:w="1097" w:type="dxa"/>
            <w:hideMark/>
          </w:tcPr>
          <w:p w:rsidR="00F12045" w:rsidRDefault="00F12045" w:rsidP="00475DB8">
            <w:pPr>
              <w:jc w:val="both"/>
              <w:cnfStyle w:val="100000000000" w:firstRow="1" w:lastRow="0" w:firstColumn="0" w:lastColumn="0" w:oddVBand="0" w:evenVBand="0" w:oddHBand="0" w:evenHBand="0" w:firstRowFirstColumn="0" w:firstRowLastColumn="0" w:lastRowFirstColumn="0" w:lastRowLastColumn="0"/>
              <w:rPr>
                <w:bCs w:val="0"/>
                <w:color w:val="auto"/>
              </w:rPr>
            </w:pPr>
            <w:r>
              <w:rPr>
                <w:bCs w:val="0"/>
                <w:color w:val="auto"/>
              </w:rPr>
              <w:t>2023/24 Precept</w:t>
            </w:r>
            <w:r>
              <w:rPr>
                <w:bCs w:val="0"/>
                <w:color w:val="auto"/>
              </w:rPr>
              <w:br/>
              <w:t>£: p</w:t>
            </w:r>
          </w:p>
        </w:tc>
        <w:tc>
          <w:tcPr>
            <w:tcW w:w="1097" w:type="dxa"/>
            <w:hideMark/>
          </w:tcPr>
          <w:p w:rsidR="00F12045" w:rsidRDefault="00F12045" w:rsidP="00475DB8">
            <w:pPr>
              <w:jc w:val="both"/>
              <w:cnfStyle w:val="100000000000" w:firstRow="1" w:lastRow="0" w:firstColumn="0" w:lastColumn="0" w:oddVBand="0" w:evenVBand="0" w:oddHBand="0" w:evenHBand="0" w:firstRowFirstColumn="0" w:firstRowLastColumn="0" w:lastRowFirstColumn="0" w:lastRowLastColumn="0"/>
              <w:rPr>
                <w:bCs w:val="0"/>
                <w:color w:val="auto"/>
              </w:rPr>
            </w:pPr>
            <w:r>
              <w:rPr>
                <w:bCs w:val="0"/>
                <w:color w:val="auto"/>
              </w:rPr>
              <w:t>Change Annual</w:t>
            </w:r>
            <w:r>
              <w:rPr>
                <w:bCs w:val="0"/>
                <w:color w:val="auto"/>
              </w:rPr>
              <w:br/>
              <w:t>£: p</w:t>
            </w:r>
          </w:p>
        </w:tc>
        <w:tc>
          <w:tcPr>
            <w:tcW w:w="1097" w:type="dxa"/>
            <w:hideMark/>
          </w:tcPr>
          <w:p w:rsidR="00F12045" w:rsidRDefault="00F12045" w:rsidP="00475DB8">
            <w:pPr>
              <w:jc w:val="both"/>
              <w:cnfStyle w:val="100000000000" w:firstRow="1" w:lastRow="0" w:firstColumn="0" w:lastColumn="0" w:oddVBand="0" w:evenVBand="0" w:oddHBand="0" w:evenHBand="0" w:firstRowFirstColumn="0" w:firstRowLastColumn="0" w:lastRowFirstColumn="0" w:lastRowLastColumn="0"/>
              <w:rPr>
                <w:bCs w:val="0"/>
                <w:color w:val="auto"/>
              </w:rPr>
            </w:pPr>
            <w:r>
              <w:rPr>
                <w:bCs w:val="0"/>
                <w:color w:val="auto"/>
              </w:rPr>
              <w:t>Change Weekly</w:t>
            </w:r>
            <w:r>
              <w:rPr>
                <w:bCs w:val="0"/>
                <w:color w:val="auto"/>
              </w:rPr>
              <w:br/>
              <w:t>£: p</w:t>
            </w:r>
          </w:p>
        </w:tc>
      </w:tr>
      <w:tr w:rsidR="00F12045" w:rsidTr="00475DB8">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Default="00F12045" w:rsidP="00475DB8">
            <w:pPr>
              <w:jc w:val="both"/>
              <w:rPr>
                <w:b w:val="0"/>
              </w:rPr>
            </w:pPr>
            <w:r>
              <w:rPr>
                <w:b w:val="0"/>
              </w:rPr>
              <w:t>Band A</w:t>
            </w:r>
          </w:p>
        </w:tc>
        <w:tc>
          <w:tcPr>
            <w:tcW w:w="14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Default="00F12045" w:rsidP="00475DB8">
            <w:pPr>
              <w:jc w:val="both"/>
              <w:cnfStyle w:val="000000100000" w:firstRow="0" w:lastRow="0" w:firstColumn="0" w:lastColumn="0" w:oddVBand="0" w:evenVBand="0" w:oddHBand="1" w:evenHBand="0" w:firstRowFirstColumn="0" w:firstRowLastColumn="0" w:lastRowFirstColumn="0" w:lastRowLastColumn="0"/>
            </w:pPr>
            <w:r>
              <w:t>6/9</w:t>
            </w:r>
          </w:p>
        </w:tc>
        <w:tc>
          <w:tcPr>
            <w:tcW w:w="10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rsidR="00F12045" w:rsidRDefault="00F12045" w:rsidP="00475DB8">
            <w:pPr>
              <w:spacing w:after="0"/>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125.03</w:t>
            </w:r>
          </w:p>
        </w:tc>
        <w:tc>
          <w:tcPr>
            <w:tcW w:w="10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rsidR="00F12045" w:rsidRDefault="00F12045" w:rsidP="00475DB8">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135.03</w:t>
            </w:r>
          </w:p>
        </w:tc>
        <w:tc>
          <w:tcPr>
            <w:tcW w:w="10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rsidR="00F12045" w:rsidRDefault="00F12045" w:rsidP="00475DB8">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10.00</w:t>
            </w:r>
          </w:p>
        </w:tc>
        <w:tc>
          <w:tcPr>
            <w:tcW w:w="10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rsidR="00F12045" w:rsidRDefault="00F12045" w:rsidP="00475DB8">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0.19</w:t>
            </w:r>
          </w:p>
        </w:tc>
      </w:tr>
      <w:tr w:rsidR="00F12045" w:rsidTr="00475DB8">
        <w:trPr>
          <w:trHeight w:val="285"/>
          <w:jc w:val="center"/>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Default="00F12045" w:rsidP="00475DB8">
            <w:pPr>
              <w:jc w:val="both"/>
              <w:rPr>
                <w:b w:val="0"/>
              </w:rPr>
            </w:pPr>
            <w:r>
              <w:rPr>
                <w:b w:val="0"/>
              </w:rPr>
              <w:t>Band B</w:t>
            </w:r>
          </w:p>
        </w:tc>
        <w:tc>
          <w:tcPr>
            <w:tcW w:w="14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Default="00F12045" w:rsidP="00475DB8">
            <w:pPr>
              <w:jc w:val="both"/>
              <w:cnfStyle w:val="000000000000" w:firstRow="0" w:lastRow="0" w:firstColumn="0" w:lastColumn="0" w:oddVBand="0" w:evenVBand="0" w:oddHBand="0" w:evenHBand="0" w:firstRowFirstColumn="0" w:firstRowLastColumn="0" w:lastRowFirstColumn="0" w:lastRowLastColumn="0"/>
            </w:pPr>
            <w:r>
              <w:t>7/9</w:t>
            </w:r>
          </w:p>
        </w:tc>
        <w:tc>
          <w:tcPr>
            <w:tcW w:w="10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rsidR="00F12045" w:rsidRDefault="00F12045" w:rsidP="00475DB8">
            <w:pPr>
              <w:jc w:val="right"/>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145.87</w:t>
            </w:r>
          </w:p>
        </w:tc>
        <w:tc>
          <w:tcPr>
            <w:tcW w:w="10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rsidR="00F12045" w:rsidRDefault="00F12045" w:rsidP="00475DB8">
            <w:pPr>
              <w:jc w:val="right"/>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157.54</w:t>
            </w:r>
          </w:p>
        </w:tc>
        <w:tc>
          <w:tcPr>
            <w:tcW w:w="10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rsidR="00F12045" w:rsidRDefault="00F12045" w:rsidP="00475DB8">
            <w:pPr>
              <w:jc w:val="right"/>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11.67</w:t>
            </w:r>
          </w:p>
        </w:tc>
        <w:tc>
          <w:tcPr>
            <w:tcW w:w="10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rsidR="00F12045" w:rsidRDefault="00F12045" w:rsidP="00475DB8">
            <w:pPr>
              <w:jc w:val="right"/>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0.22</w:t>
            </w:r>
          </w:p>
        </w:tc>
      </w:tr>
      <w:tr w:rsidR="00F12045" w:rsidTr="00475D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Default="00F12045" w:rsidP="00475DB8">
            <w:pPr>
              <w:jc w:val="both"/>
              <w:rPr>
                <w:b w:val="0"/>
              </w:rPr>
            </w:pPr>
            <w:r>
              <w:rPr>
                <w:b w:val="0"/>
              </w:rPr>
              <w:t>Band C</w:t>
            </w:r>
          </w:p>
        </w:tc>
        <w:tc>
          <w:tcPr>
            <w:tcW w:w="14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Default="00F12045" w:rsidP="00475DB8">
            <w:pPr>
              <w:jc w:val="both"/>
              <w:cnfStyle w:val="000000100000" w:firstRow="0" w:lastRow="0" w:firstColumn="0" w:lastColumn="0" w:oddVBand="0" w:evenVBand="0" w:oddHBand="1" w:evenHBand="0" w:firstRowFirstColumn="0" w:firstRowLastColumn="0" w:lastRowFirstColumn="0" w:lastRowLastColumn="0"/>
            </w:pPr>
            <w:r>
              <w:t>8/9</w:t>
            </w:r>
          </w:p>
        </w:tc>
        <w:tc>
          <w:tcPr>
            <w:tcW w:w="10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rsidR="00F12045" w:rsidRDefault="00F12045" w:rsidP="00475DB8">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166.71</w:t>
            </w:r>
          </w:p>
        </w:tc>
        <w:tc>
          <w:tcPr>
            <w:tcW w:w="10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rsidR="00F12045" w:rsidRDefault="00F12045" w:rsidP="00475DB8">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180.04</w:t>
            </w:r>
          </w:p>
        </w:tc>
        <w:tc>
          <w:tcPr>
            <w:tcW w:w="10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rsidR="00F12045" w:rsidRDefault="00F12045" w:rsidP="00475DB8">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13.33</w:t>
            </w:r>
          </w:p>
        </w:tc>
        <w:tc>
          <w:tcPr>
            <w:tcW w:w="10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rsidR="00F12045" w:rsidRDefault="00F12045" w:rsidP="00475DB8">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0.26</w:t>
            </w:r>
          </w:p>
        </w:tc>
      </w:tr>
      <w:tr w:rsidR="00F12045" w:rsidTr="00475DB8">
        <w:trPr>
          <w:trHeight w:val="300"/>
          <w:jc w:val="center"/>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Default="00F12045" w:rsidP="00475DB8">
            <w:pPr>
              <w:jc w:val="both"/>
              <w:rPr>
                <w:bCs w:val="0"/>
              </w:rPr>
            </w:pPr>
            <w:r>
              <w:rPr>
                <w:bCs w:val="0"/>
              </w:rPr>
              <w:t>Band D</w:t>
            </w:r>
          </w:p>
        </w:tc>
        <w:tc>
          <w:tcPr>
            <w:tcW w:w="14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Default="00F12045" w:rsidP="00475DB8">
            <w:pPr>
              <w:jc w:val="both"/>
              <w:cnfStyle w:val="000000000000" w:firstRow="0" w:lastRow="0" w:firstColumn="0" w:lastColumn="0" w:oddVBand="0" w:evenVBand="0" w:oddHBand="0" w:evenHBand="0" w:firstRowFirstColumn="0" w:firstRowLastColumn="0" w:lastRowFirstColumn="0" w:lastRowLastColumn="0"/>
              <w:rPr>
                <w:b/>
                <w:bCs/>
              </w:rPr>
            </w:pPr>
            <w:r>
              <w:rPr>
                <w:b/>
                <w:bCs/>
              </w:rPr>
              <w:t>9/9</w:t>
            </w:r>
          </w:p>
        </w:tc>
        <w:tc>
          <w:tcPr>
            <w:tcW w:w="10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rsidR="00F12045" w:rsidRDefault="00F12045" w:rsidP="00475DB8">
            <w:pPr>
              <w:jc w:val="right"/>
              <w:cnfStyle w:val="000000000000" w:firstRow="0" w:lastRow="0" w:firstColumn="0" w:lastColumn="0" w:oddVBand="0" w:evenVBand="0" w:oddHBand="0" w:evenHBand="0" w:firstRowFirstColumn="0" w:firstRowLastColumn="0" w:lastRowFirstColumn="0" w:lastRowLastColumn="0"/>
              <w:rPr>
                <w:b/>
                <w:bCs/>
                <w:color w:val="000000"/>
                <w:sz w:val="22"/>
                <w:szCs w:val="22"/>
              </w:rPr>
            </w:pPr>
            <w:r>
              <w:rPr>
                <w:b/>
                <w:bCs/>
                <w:color w:val="000000"/>
                <w:sz w:val="22"/>
                <w:szCs w:val="22"/>
              </w:rPr>
              <w:t>187.55</w:t>
            </w:r>
          </w:p>
        </w:tc>
        <w:tc>
          <w:tcPr>
            <w:tcW w:w="10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rsidR="00F12045" w:rsidRDefault="00F12045" w:rsidP="00475DB8">
            <w:pPr>
              <w:jc w:val="right"/>
              <w:cnfStyle w:val="000000000000" w:firstRow="0" w:lastRow="0" w:firstColumn="0" w:lastColumn="0" w:oddVBand="0" w:evenVBand="0" w:oddHBand="0" w:evenHBand="0" w:firstRowFirstColumn="0" w:firstRowLastColumn="0" w:lastRowFirstColumn="0" w:lastRowLastColumn="0"/>
              <w:rPr>
                <w:b/>
                <w:bCs/>
                <w:color w:val="000000"/>
                <w:sz w:val="22"/>
                <w:szCs w:val="22"/>
              </w:rPr>
            </w:pPr>
            <w:r>
              <w:rPr>
                <w:b/>
                <w:bCs/>
                <w:color w:val="000000"/>
                <w:sz w:val="22"/>
                <w:szCs w:val="22"/>
              </w:rPr>
              <w:t>202.55</w:t>
            </w:r>
          </w:p>
        </w:tc>
        <w:tc>
          <w:tcPr>
            <w:tcW w:w="10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rsidR="00F12045" w:rsidRDefault="00F12045" w:rsidP="00475DB8">
            <w:pPr>
              <w:jc w:val="right"/>
              <w:cnfStyle w:val="000000000000" w:firstRow="0" w:lastRow="0" w:firstColumn="0" w:lastColumn="0" w:oddVBand="0" w:evenVBand="0" w:oddHBand="0" w:evenHBand="0" w:firstRowFirstColumn="0" w:firstRowLastColumn="0" w:lastRowFirstColumn="0" w:lastRowLastColumn="0"/>
              <w:rPr>
                <w:b/>
                <w:bCs/>
                <w:color w:val="000000"/>
                <w:sz w:val="22"/>
                <w:szCs w:val="22"/>
              </w:rPr>
            </w:pPr>
            <w:r>
              <w:rPr>
                <w:b/>
                <w:bCs/>
                <w:color w:val="000000"/>
                <w:sz w:val="22"/>
                <w:szCs w:val="22"/>
              </w:rPr>
              <w:t>15.00</w:t>
            </w:r>
          </w:p>
        </w:tc>
        <w:tc>
          <w:tcPr>
            <w:tcW w:w="10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rsidR="00F12045" w:rsidRDefault="00F12045" w:rsidP="00475DB8">
            <w:pPr>
              <w:jc w:val="right"/>
              <w:cnfStyle w:val="000000000000" w:firstRow="0" w:lastRow="0" w:firstColumn="0" w:lastColumn="0" w:oddVBand="0" w:evenVBand="0" w:oddHBand="0" w:evenHBand="0" w:firstRowFirstColumn="0" w:firstRowLastColumn="0" w:lastRowFirstColumn="0" w:lastRowLastColumn="0"/>
              <w:rPr>
                <w:b/>
                <w:bCs/>
                <w:color w:val="000000"/>
                <w:sz w:val="22"/>
                <w:szCs w:val="22"/>
              </w:rPr>
            </w:pPr>
            <w:r>
              <w:rPr>
                <w:b/>
                <w:bCs/>
                <w:color w:val="000000"/>
                <w:sz w:val="22"/>
                <w:szCs w:val="22"/>
              </w:rPr>
              <w:t>0.29</w:t>
            </w:r>
          </w:p>
        </w:tc>
      </w:tr>
      <w:tr w:rsidR="00F12045" w:rsidTr="00475DB8">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Default="00F12045" w:rsidP="00475DB8">
            <w:pPr>
              <w:jc w:val="both"/>
              <w:rPr>
                <w:b w:val="0"/>
              </w:rPr>
            </w:pPr>
            <w:r>
              <w:rPr>
                <w:b w:val="0"/>
              </w:rPr>
              <w:t>Band E</w:t>
            </w:r>
          </w:p>
        </w:tc>
        <w:tc>
          <w:tcPr>
            <w:tcW w:w="14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Default="00F12045" w:rsidP="00475DB8">
            <w:pPr>
              <w:jc w:val="both"/>
              <w:cnfStyle w:val="000000100000" w:firstRow="0" w:lastRow="0" w:firstColumn="0" w:lastColumn="0" w:oddVBand="0" w:evenVBand="0" w:oddHBand="1" w:evenHBand="0" w:firstRowFirstColumn="0" w:firstRowLastColumn="0" w:lastRowFirstColumn="0" w:lastRowLastColumn="0"/>
            </w:pPr>
            <w:r>
              <w:t>11/9</w:t>
            </w:r>
          </w:p>
        </w:tc>
        <w:tc>
          <w:tcPr>
            <w:tcW w:w="10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rsidR="00F12045" w:rsidRDefault="00F12045" w:rsidP="00475DB8">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229.23</w:t>
            </w:r>
          </w:p>
        </w:tc>
        <w:tc>
          <w:tcPr>
            <w:tcW w:w="10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rsidR="00F12045" w:rsidRDefault="00F12045" w:rsidP="00475DB8">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247.56</w:t>
            </w:r>
          </w:p>
        </w:tc>
        <w:tc>
          <w:tcPr>
            <w:tcW w:w="10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rsidR="00F12045" w:rsidRDefault="00F12045" w:rsidP="00475DB8">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18.33</w:t>
            </w:r>
          </w:p>
        </w:tc>
        <w:tc>
          <w:tcPr>
            <w:tcW w:w="10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rsidR="00F12045" w:rsidRDefault="00F12045" w:rsidP="00475DB8">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0.35</w:t>
            </w:r>
          </w:p>
        </w:tc>
      </w:tr>
      <w:tr w:rsidR="00F12045" w:rsidTr="00475DB8">
        <w:trPr>
          <w:trHeight w:val="300"/>
          <w:jc w:val="center"/>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Default="00F12045" w:rsidP="00475DB8">
            <w:pPr>
              <w:jc w:val="both"/>
              <w:rPr>
                <w:b w:val="0"/>
              </w:rPr>
            </w:pPr>
            <w:r>
              <w:rPr>
                <w:b w:val="0"/>
              </w:rPr>
              <w:t>Band F</w:t>
            </w:r>
          </w:p>
        </w:tc>
        <w:tc>
          <w:tcPr>
            <w:tcW w:w="14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Default="00F12045" w:rsidP="00475DB8">
            <w:pPr>
              <w:jc w:val="both"/>
              <w:cnfStyle w:val="000000000000" w:firstRow="0" w:lastRow="0" w:firstColumn="0" w:lastColumn="0" w:oddVBand="0" w:evenVBand="0" w:oddHBand="0" w:evenHBand="0" w:firstRowFirstColumn="0" w:firstRowLastColumn="0" w:lastRowFirstColumn="0" w:lastRowLastColumn="0"/>
            </w:pPr>
            <w:r>
              <w:t>13/9</w:t>
            </w:r>
          </w:p>
        </w:tc>
        <w:tc>
          <w:tcPr>
            <w:tcW w:w="10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rsidR="00F12045" w:rsidRDefault="00F12045" w:rsidP="00475DB8">
            <w:pPr>
              <w:jc w:val="right"/>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270.91</w:t>
            </w:r>
          </w:p>
        </w:tc>
        <w:tc>
          <w:tcPr>
            <w:tcW w:w="10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rsidR="00F12045" w:rsidRDefault="00F12045" w:rsidP="00475DB8">
            <w:pPr>
              <w:jc w:val="right"/>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292.57</w:t>
            </w:r>
          </w:p>
        </w:tc>
        <w:tc>
          <w:tcPr>
            <w:tcW w:w="10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rsidR="00F12045" w:rsidRDefault="00F12045" w:rsidP="00475DB8">
            <w:pPr>
              <w:jc w:val="right"/>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21.66</w:t>
            </w:r>
          </w:p>
        </w:tc>
        <w:tc>
          <w:tcPr>
            <w:tcW w:w="10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rsidR="00F12045" w:rsidRDefault="00F12045" w:rsidP="00475DB8">
            <w:pPr>
              <w:jc w:val="right"/>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0.42</w:t>
            </w:r>
          </w:p>
        </w:tc>
      </w:tr>
      <w:tr w:rsidR="00F12045" w:rsidTr="00475DB8">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Default="00F12045" w:rsidP="00475DB8">
            <w:pPr>
              <w:jc w:val="both"/>
              <w:rPr>
                <w:b w:val="0"/>
              </w:rPr>
            </w:pPr>
            <w:r>
              <w:rPr>
                <w:b w:val="0"/>
              </w:rPr>
              <w:t>Band G</w:t>
            </w:r>
          </w:p>
        </w:tc>
        <w:tc>
          <w:tcPr>
            <w:tcW w:w="14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Default="00F12045" w:rsidP="00475DB8">
            <w:pPr>
              <w:jc w:val="both"/>
              <w:cnfStyle w:val="000000100000" w:firstRow="0" w:lastRow="0" w:firstColumn="0" w:lastColumn="0" w:oddVBand="0" w:evenVBand="0" w:oddHBand="1" w:evenHBand="0" w:firstRowFirstColumn="0" w:firstRowLastColumn="0" w:lastRowFirstColumn="0" w:lastRowLastColumn="0"/>
            </w:pPr>
            <w:r>
              <w:t>15/9</w:t>
            </w:r>
          </w:p>
        </w:tc>
        <w:tc>
          <w:tcPr>
            <w:tcW w:w="10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rsidR="00F12045" w:rsidRDefault="00F12045" w:rsidP="00475DB8">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312.58</w:t>
            </w:r>
          </w:p>
        </w:tc>
        <w:tc>
          <w:tcPr>
            <w:tcW w:w="10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rsidR="00F12045" w:rsidRDefault="00F12045" w:rsidP="00475DB8">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337.58</w:t>
            </w:r>
          </w:p>
        </w:tc>
        <w:tc>
          <w:tcPr>
            <w:tcW w:w="10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rsidR="00F12045" w:rsidRDefault="00F12045" w:rsidP="00475DB8">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25.00</w:t>
            </w:r>
          </w:p>
        </w:tc>
        <w:tc>
          <w:tcPr>
            <w:tcW w:w="10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rsidR="00F12045" w:rsidRDefault="00F12045" w:rsidP="00475DB8">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0.48</w:t>
            </w:r>
          </w:p>
        </w:tc>
      </w:tr>
      <w:tr w:rsidR="00F12045" w:rsidTr="00475DB8">
        <w:trPr>
          <w:trHeight w:val="315"/>
          <w:jc w:val="center"/>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Default="00F12045" w:rsidP="00475DB8">
            <w:pPr>
              <w:jc w:val="both"/>
              <w:rPr>
                <w:b w:val="0"/>
              </w:rPr>
            </w:pPr>
            <w:r>
              <w:rPr>
                <w:b w:val="0"/>
              </w:rPr>
              <w:t>Band H</w:t>
            </w:r>
          </w:p>
        </w:tc>
        <w:tc>
          <w:tcPr>
            <w:tcW w:w="14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Default="00F12045" w:rsidP="00475DB8">
            <w:pPr>
              <w:jc w:val="both"/>
              <w:cnfStyle w:val="000000000000" w:firstRow="0" w:lastRow="0" w:firstColumn="0" w:lastColumn="0" w:oddVBand="0" w:evenVBand="0" w:oddHBand="0" w:evenHBand="0" w:firstRowFirstColumn="0" w:firstRowLastColumn="0" w:lastRowFirstColumn="0" w:lastRowLastColumn="0"/>
            </w:pPr>
            <w:r>
              <w:t>18/9</w:t>
            </w:r>
          </w:p>
        </w:tc>
        <w:tc>
          <w:tcPr>
            <w:tcW w:w="10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rsidR="00F12045" w:rsidRDefault="00F12045" w:rsidP="00475DB8">
            <w:pPr>
              <w:jc w:val="right"/>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375.10</w:t>
            </w:r>
          </w:p>
        </w:tc>
        <w:tc>
          <w:tcPr>
            <w:tcW w:w="10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rsidR="00F12045" w:rsidRDefault="00F12045" w:rsidP="00475DB8">
            <w:pPr>
              <w:jc w:val="right"/>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405.10</w:t>
            </w:r>
          </w:p>
        </w:tc>
        <w:tc>
          <w:tcPr>
            <w:tcW w:w="10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rsidR="00F12045" w:rsidRDefault="00F12045" w:rsidP="00475DB8">
            <w:pPr>
              <w:jc w:val="right"/>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30.00</w:t>
            </w:r>
          </w:p>
        </w:tc>
        <w:tc>
          <w:tcPr>
            <w:tcW w:w="10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rsidR="00F12045" w:rsidRDefault="00F12045" w:rsidP="00475DB8">
            <w:pPr>
              <w:jc w:val="right"/>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0.58</w:t>
            </w:r>
          </w:p>
        </w:tc>
      </w:tr>
    </w:tbl>
    <w:p w:rsidR="00F12045" w:rsidRPr="00F12045" w:rsidRDefault="00F12045" w:rsidP="002631F6">
      <w:pPr>
        <w:pStyle w:val="Heading2"/>
      </w:pPr>
      <w:r>
        <w:t xml:space="preserve">The </w:t>
      </w:r>
      <w:r w:rsidR="00D852D3">
        <w:t xml:space="preserve">statutory calculations required by Local Government Finance Act, 1992 are shown in </w:t>
      </w:r>
      <w:r w:rsidR="00D852D3" w:rsidRPr="00D852D3">
        <w:rPr>
          <w:b/>
        </w:rPr>
        <w:t xml:space="preserve">Appendix </w:t>
      </w:r>
      <w:r w:rsidR="00B67875">
        <w:rPr>
          <w:b/>
        </w:rPr>
        <w:t>5</w:t>
      </w:r>
      <w:r w:rsidR="00D852D3">
        <w:t>.</w:t>
      </w:r>
    </w:p>
    <w:p w:rsidR="006258E1" w:rsidRDefault="006258E1" w:rsidP="002631F6">
      <w:pPr>
        <w:pStyle w:val="Heading1"/>
      </w:pPr>
      <w:r>
        <w:t>Finance Implications</w:t>
      </w:r>
    </w:p>
    <w:p w:rsidR="006258E1" w:rsidRDefault="00F52B4F" w:rsidP="002631F6">
      <w:pPr>
        <w:pStyle w:val="Heading2"/>
      </w:pPr>
      <w:r>
        <w:t>This report solely deals with financial issues.</w:t>
      </w:r>
    </w:p>
    <w:p w:rsidR="006258E1" w:rsidRDefault="006258E1" w:rsidP="002631F6">
      <w:pPr>
        <w:pStyle w:val="Heading1"/>
      </w:pPr>
      <w:r>
        <w:t>Legal Implications</w:t>
      </w:r>
    </w:p>
    <w:p w:rsidR="00D852D3" w:rsidRDefault="00D852D3" w:rsidP="002631F6">
      <w:pPr>
        <w:pStyle w:val="Heading2"/>
      </w:pPr>
      <w:r>
        <w:t>Section 40 of the Local Government Finance Act 1992 requires the Commissioner to set a budget and precept by 1 March each year.</w:t>
      </w:r>
    </w:p>
    <w:p w:rsidR="00D852D3" w:rsidRDefault="00D852D3" w:rsidP="002631F6">
      <w:pPr>
        <w:pStyle w:val="Heading2"/>
      </w:pPr>
      <w:r>
        <w:t>The Commission must ensure that the precept is sufficient to provide for the expenditure estimates it will incur in the year in performing functions, defraying outstanding expenditure incurred earlier, an expenditure before precepts become sufficiently available and any payments into reserves.</w:t>
      </w:r>
    </w:p>
    <w:p w:rsidR="00D852D3" w:rsidRDefault="00D852D3" w:rsidP="002631F6">
      <w:pPr>
        <w:pStyle w:val="Heading2"/>
      </w:pPr>
      <w:r>
        <w:t xml:space="preserve">The Localism </w:t>
      </w:r>
      <w:r w:rsidR="00800B08">
        <w:t>A</w:t>
      </w:r>
      <w:r>
        <w:t>ct 2011 has abolished the council tax capping regime and replaced it with the requirement for Authorities to hold a taxpayer’s referendum if excessive increase are proposed.  In 2023/24 an excessive increase would be £15.01 or greater.</w:t>
      </w:r>
    </w:p>
    <w:p w:rsidR="001F3557" w:rsidRDefault="00D852D3" w:rsidP="002631F6">
      <w:pPr>
        <w:pStyle w:val="Heading2"/>
      </w:pPr>
      <w:r>
        <w:t xml:space="preserve">Section 25 of the Local Government Act 2003 requires the CFO to report to the Commissioner on the robustness of the estimates made for the purposes of the statutory budget calculations and the adequacy of financial reserves and the Commissioner must have regard </w:t>
      </w:r>
      <w:r w:rsidR="000670B9">
        <w:t>to</w:t>
      </w:r>
      <w:r>
        <w:t xml:space="preserve"> that report when making decisions abo</w:t>
      </w:r>
      <w:r w:rsidR="003E2364">
        <w:t>u</w:t>
      </w:r>
      <w:r>
        <w:t xml:space="preserve">t the statutory budget calculations.  The report is included in </w:t>
      </w:r>
      <w:r w:rsidRPr="003E2364">
        <w:rPr>
          <w:b/>
        </w:rPr>
        <w:t xml:space="preserve">Appendix </w:t>
      </w:r>
      <w:r w:rsidR="00B67875">
        <w:rPr>
          <w:b/>
        </w:rPr>
        <w:t>6</w:t>
      </w:r>
      <w:r>
        <w:t>.</w:t>
      </w:r>
    </w:p>
    <w:p w:rsidR="003E2364" w:rsidRPr="006258E1" w:rsidRDefault="003E2364" w:rsidP="002631F6">
      <w:pPr>
        <w:pStyle w:val="Heading2"/>
      </w:pPr>
      <w:r>
        <w:t xml:space="preserve">Information </w:t>
      </w:r>
      <w:r w:rsidR="00800B08">
        <w:t>c</w:t>
      </w:r>
      <w:r>
        <w:t>ontained in this decision is subject to the Freedom of Information Act 2000 and other legislation.  This decision will be made available on the Commissioner’s website.</w:t>
      </w:r>
    </w:p>
    <w:p w:rsidR="006258E1" w:rsidRDefault="006258E1" w:rsidP="002631F6">
      <w:pPr>
        <w:pStyle w:val="Heading1"/>
      </w:pPr>
      <w:r>
        <w:t>Equalities Implications</w:t>
      </w:r>
    </w:p>
    <w:p w:rsidR="004B473E" w:rsidRDefault="00D852D3" w:rsidP="002631F6">
      <w:pPr>
        <w:pStyle w:val="Heading2"/>
      </w:pPr>
      <w:r>
        <w:t xml:space="preserve">The budget provides for the continuation and development of policing services for all people in the West Midlands, irrespective of their protected characteristics of age, disability, gender reassignment, marriage and civil partnership, </w:t>
      </w:r>
      <w:r>
        <w:lastRenderedPageBreak/>
        <w:t>pregnancy and maternity, race, regional or belief, sex and sexual orientation.  Both the Commissioner and the Force are committed to delivering the principles, strategies and priorities of their respective Equality Schemes.</w:t>
      </w:r>
      <w:r w:rsidRPr="006258E1">
        <w:t xml:space="preserve"> </w:t>
      </w:r>
    </w:p>
    <w:p w:rsidR="00D852D3" w:rsidRDefault="00D852D3" w:rsidP="00D852D3">
      <w:pPr>
        <w:pStyle w:val="NumPara"/>
        <w:numPr>
          <w:ilvl w:val="0"/>
          <w:numId w:val="0"/>
        </w:numPr>
        <w:tabs>
          <w:tab w:val="left" w:pos="851"/>
        </w:tabs>
        <w:ind w:left="851"/>
      </w:pPr>
    </w:p>
    <w:p w:rsidR="00D852D3" w:rsidRDefault="00D852D3" w:rsidP="00D852D3">
      <w:pPr>
        <w:pStyle w:val="Title"/>
        <w:rPr>
          <w:sz w:val="24"/>
          <w:szCs w:val="24"/>
          <w:u w:val="none"/>
        </w:rPr>
      </w:pPr>
      <w:r>
        <w:rPr>
          <w:sz w:val="24"/>
          <w:szCs w:val="24"/>
          <w:u w:val="none"/>
        </w:rPr>
        <w:t>Schedule of Background Papers</w:t>
      </w:r>
    </w:p>
    <w:p w:rsidR="00D852D3" w:rsidRDefault="00D852D3" w:rsidP="00D852D3">
      <w:r>
        <w:t xml:space="preserve">Appendix 1 – Summary of Revenue Budgets </w:t>
      </w:r>
      <w:r w:rsidR="005C25A9">
        <w:t xml:space="preserve">for 2022/24 and </w:t>
      </w:r>
      <w:r>
        <w:t>2023/24</w:t>
      </w:r>
    </w:p>
    <w:p w:rsidR="00D852D3" w:rsidRDefault="00D852D3" w:rsidP="00D852D3">
      <w:r>
        <w:t>Appendix 2 – Operational Budget 2023/24</w:t>
      </w:r>
    </w:p>
    <w:p w:rsidR="00D852D3" w:rsidRDefault="00D852D3" w:rsidP="00D852D3">
      <w:r>
        <w:t>Appendix 3 – Capital Strategy 2023/24 – 2026/27</w:t>
      </w:r>
    </w:p>
    <w:p w:rsidR="00D852D3" w:rsidRDefault="00D852D3" w:rsidP="00D852D3">
      <w:r>
        <w:t>Appendix 4 – Capital Programme 2023/24 – 2026/27</w:t>
      </w:r>
    </w:p>
    <w:p w:rsidR="00D852D3" w:rsidRDefault="00D852D3" w:rsidP="00D852D3">
      <w:r>
        <w:t xml:space="preserve">Appendix </w:t>
      </w:r>
      <w:r w:rsidR="00B67875">
        <w:t>5</w:t>
      </w:r>
      <w:r>
        <w:t xml:space="preserve"> – Statutory Council Tax </w:t>
      </w:r>
      <w:r w:rsidR="005C25A9">
        <w:t>calculations</w:t>
      </w:r>
      <w:r>
        <w:t xml:space="preserve"> 2023/24</w:t>
      </w:r>
    </w:p>
    <w:p w:rsidR="00D852D3" w:rsidRDefault="00D852D3" w:rsidP="00D852D3">
      <w:r>
        <w:t xml:space="preserve">Appendix </w:t>
      </w:r>
      <w:r w:rsidR="00B67875">
        <w:t>6</w:t>
      </w:r>
      <w:r>
        <w:t xml:space="preserve"> – Report of the Chief Financial Officer</w:t>
      </w:r>
    </w:p>
    <w:p w:rsidR="00D852D3" w:rsidRDefault="00D852D3" w:rsidP="00D852D3">
      <w:r>
        <w:t xml:space="preserve">Appendix </w:t>
      </w:r>
      <w:r w:rsidR="00B67875">
        <w:t>7</w:t>
      </w:r>
      <w:r>
        <w:t xml:space="preserve"> – Statement of </w:t>
      </w:r>
      <w:r w:rsidR="005C25A9">
        <w:t>Prudential</w:t>
      </w:r>
      <w:r>
        <w:t xml:space="preserve"> </w:t>
      </w:r>
      <w:r w:rsidR="005C25A9">
        <w:t>Indicators</w:t>
      </w:r>
    </w:p>
    <w:p w:rsidR="00D852D3" w:rsidRPr="00D852D3" w:rsidRDefault="00D852D3" w:rsidP="00D852D3">
      <w:r>
        <w:t xml:space="preserve">Appendix </w:t>
      </w:r>
      <w:r w:rsidR="00B67875">
        <w:t>8</w:t>
      </w:r>
      <w:r>
        <w:t xml:space="preserve"> – Risk Assessment</w:t>
      </w:r>
    </w:p>
    <w:p w:rsidR="00D852D3" w:rsidRPr="006258E1" w:rsidRDefault="00D852D3" w:rsidP="00D852D3">
      <w:pPr>
        <w:pStyle w:val="NumPara"/>
        <w:numPr>
          <w:ilvl w:val="0"/>
          <w:numId w:val="0"/>
        </w:numPr>
        <w:tabs>
          <w:tab w:val="left" w:pos="851"/>
        </w:tabs>
        <w:ind w:left="851"/>
      </w:pPr>
    </w:p>
    <w:p w:rsidR="00C63DBD" w:rsidRDefault="00C63DBD">
      <w:pPr>
        <w:spacing w:after="200"/>
        <w:rPr>
          <w:rFonts w:eastAsia="Times New Roman" w:cs="Times New Roman"/>
          <w:b/>
          <w:spacing w:val="5"/>
          <w:szCs w:val="48"/>
          <w:lang w:eastAsia="en-GB"/>
        </w:rPr>
      </w:pPr>
      <w:r>
        <w:br w:type="page"/>
      </w:r>
    </w:p>
    <w:p w:rsidR="00975471" w:rsidRDefault="00975471" w:rsidP="00A859AE">
      <w:pPr>
        <w:pStyle w:val="NumHeading1"/>
        <w:sectPr w:rsidR="00975471" w:rsidSect="004C773C">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418" w:left="1134" w:header="709" w:footer="828" w:gutter="0"/>
          <w:cols w:space="708"/>
          <w:docGrid w:linePitch="360"/>
        </w:sectPr>
      </w:pPr>
    </w:p>
    <w:p w:rsidR="00F77DA8" w:rsidRPr="00BD15CC" w:rsidRDefault="00F77DA8" w:rsidP="002631F6">
      <w:pPr>
        <w:pStyle w:val="Heading1"/>
      </w:pPr>
      <w:r w:rsidRPr="00BD15CC">
        <w:lastRenderedPageBreak/>
        <w:t xml:space="preserve">Appendix </w:t>
      </w:r>
      <w:r w:rsidR="00830681">
        <w:t>1</w:t>
      </w:r>
      <w:r w:rsidR="00096D5F" w:rsidRPr="00BD15CC">
        <w:t xml:space="preserve"> – Summary of Revenue Budgets for 2022/23 and 2023/24</w:t>
      </w:r>
    </w:p>
    <w:tbl>
      <w:tblPr>
        <w:tblStyle w:val="GridTable4-Accent1"/>
        <w:tblW w:w="0" w:type="auto"/>
        <w:tblInd w:w="0" w:type="dxa"/>
        <w:tblLayout w:type="fixed"/>
        <w:tblLook w:val="04A0" w:firstRow="1" w:lastRow="0" w:firstColumn="1" w:lastColumn="0" w:noHBand="0" w:noVBand="1"/>
      </w:tblPr>
      <w:tblGrid>
        <w:gridCol w:w="4536"/>
        <w:gridCol w:w="1418"/>
        <w:gridCol w:w="1418"/>
        <w:gridCol w:w="1418"/>
      </w:tblGrid>
      <w:tr w:rsidR="002A5F36" w:rsidRPr="00830681" w:rsidTr="006A427F">
        <w:trPr>
          <w:cnfStyle w:val="100000000000" w:firstRow="1" w:lastRow="0" w:firstColumn="0" w:lastColumn="0" w:oddVBand="0" w:evenVBand="0" w:oddHBand="0"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4536" w:type="dxa"/>
            <w:vAlign w:val="bottom"/>
          </w:tcPr>
          <w:p w:rsidR="002A5F36" w:rsidRPr="00BA108B" w:rsidRDefault="002A5F36">
            <w:pPr>
              <w:spacing w:after="200"/>
              <w:rPr>
                <w:sz w:val="18"/>
              </w:rPr>
            </w:pPr>
            <w:r w:rsidRPr="00BA108B">
              <w:rPr>
                <w:color w:val="auto"/>
                <w:sz w:val="18"/>
              </w:rPr>
              <w:t>Income and Expenditure Breakdown</w:t>
            </w:r>
          </w:p>
        </w:tc>
        <w:tc>
          <w:tcPr>
            <w:tcW w:w="1418" w:type="dxa"/>
            <w:vAlign w:val="bottom"/>
          </w:tcPr>
          <w:p w:rsidR="002A5F36" w:rsidRPr="00BA108B" w:rsidRDefault="002A5F36" w:rsidP="006A427F">
            <w:pPr>
              <w:spacing w:after="200"/>
              <w:jc w:val="right"/>
              <w:cnfStyle w:val="100000000000" w:firstRow="1" w:lastRow="0" w:firstColumn="0" w:lastColumn="0" w:oddVBand="0" w:evenVBand="0" w:oddHBand="0" w:evenHBand="0" w:firstRowFirstColumn="0" w:firstRowLastColumn="0" w:lastRowFirstColumn="0" w:lastRowLastColumn="0"/>
              <w:rPr>
                <w:color w:val="auto"/>
                <w:sz w:val="18"/>
              </w:rPr>
            </w:pPr>
            <w:r w:rsidRPr="00BA108B">
              <w:rPr>
                <w:color w:val="auto"/>
                <w:sz w:val="18"/>
              </w:rPr>
              <w:t>2022/23 Budget</w:t>
            </w:r>
            <w:r w:rsidRPr="00BA108B">
              <w:rPr>
                <w:color w:val="auto"/>
                <w:sz w:val="18"/>
              </w:rPr>
              <w:br/>
              <w:t>£,000</w:t>
            </w:r>
          </w:p>
        </w:tc>
        <w:tc>
          <w:tcPr>
            <w:tcW w:w="1418" w:type="dxa"/>
            <w:vAlign w:val="bottom"/>
          </w:tcPr>
          <w:p w:rsidR="002A5F36" w:rsidRPr="00BA108B" w:rsidRDefault="002A5F36" w:rsidP="006A427F">
            <w:pPr>
              <w:spacing w:after="200"/>
              <w:jc w:val="right"/>
              <w:cnfStyle w:val="100000000000" w:firstRow="1" w:lastRow="0" w:firstColumn="0" w:lastColumn="0" w:oddVBand="0" w:evenVBand="0" w:oddHBand="0" w:evenHBand="0" w:firstRowFirstColumn="0" w:firstRowLastColumn="0" w:lastRowFirstColumn="0" w:lastRowLastColumn="0"/>
              <w:rPr>
                <w:color w:val="auto"/>
                <w:sz w:val="18"/>
              </w:rPr>
            </w:pPr>
            <w:r w:rsidRPr="00BA108B">
              <w:rPr>
                <w:color w:val="auto"/>
                <w:sz w:val="18"/>
              </w:rPr>
              <w:t xml:space="preserve">2022/23 CWG Budget </w:t>
            </w:r>
            <w:r w:rsidR="000A7C50" w:rsidRPr="00BA108B">
              <w:rPr>
                <w:color w:val="auto"/>
                <w:sz w:val="18"/>
              </w:rPr>
              <w:t>included £</w:t>
            </w:r>
            <w:r w:rsidRPr="00BA108B">
              <w:rPr>
                <w:color w:val="auto"/>
                <w:sz w:val="18"/>
              </w:rPr>
              <w:t>,000</w:t>
            </w:r>
          </w:p>
        </w:tc>
        <w:tc>
          <w:tcPr>
            <w:tcW w:w="1418" w:type="dxa"/>
            <w:vAlign w:val="bottom"/>
          </w:tcPr>
          <w:p w:rsidR="002A5F36" w:rsidRPr="00BA108B" w:rsidRDefault="002A5F36" w:rsidP="006A427F">
            <w:pPr>
              <w:spacing w:after="200"/>
              <w:jc w:val="right"/>
              <w:cnfStyle w:val="100000000000" w:firstRow="1" w:lastRow="0" w:firstColumn="0" w:lastColumn="0" w:oddVBand="0" w:evenVBand="0" w:oddHBand="0" w:evenHBand="0" w:firstRowFirstColumn="0" w:firstRowLastColumn="0" w:lastRowFirstColumn="0" w:lastRowLastColumn="0"/>
              <w:rPr>
                <w:color w:val="auto"/>
                <w:sz w:val="18"/>
              </w:rPr>
            </w:pPr>
            <w:r w:rsidRPr="00BA108B">
              <w:rPr>
                <w:color w:val="auto"/>
                <w:sz w:val="18"/>
              </w:rPr>
              <w:t xml:space="preserve">2023/24 Budget </w:t>
            </w:r>
            <w:r w:rsidRPr="00BA108B">
              <w:rPr>
                <w:color w:val="auto"/>
                <w:sz w:val="18"/>
              </w:rPr>
              <w:br/>
              <w:t>£,000</w:t>
            </w:r>
          </w:p>
        </w:tc>
      </w:tr>
      <w:tr w:rsidR="002A5F36" w:rsidRPr="00830681" w:rsidTr="006A42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6" w:type="dxa"/>
            <w:vAlign w:val="center"/>
          </w:tcPr>
          <w:p w:rsidR="002A5F36" w:rsidRPr="00BA108B" w:rsidRDefault="002A5F36">
            <w:pPr>
              <w:spacing w:after="200"/>
              <w:rPr>
                <w:b w:val="0"/>
                <w:sz w:val="18"/>
              </w:rPr>
            </w:pPr>
            <w:r w:rsidRPr="00BA108B">
              <w:rPr>
                <w:b w:val="0"/>
                <w:sz w:val="18"/>
              </w:rPr>
              <w:t>Police Pay</w:t>
            </w:r>
          </w:p>
        </w:tc>
        <w:tc>
          <w:tcPr>
            <w:tcW w:w="1418" w:type="dxa"/>
            <w:vAlign w:val="bottom"/>
          </w:tcPr>
          <w:p w:rsidR="002A5F36" w:rsidRPr="00BA108B" w:rsidRDefault="006A427F" w:rsidP="005D7300">
            <w:pPr>
              <w:spacing w:after="200"/>
              <w:jc w:val="right"/>
              <w:cnfStyle w:val="000000100000" w:firstRow="0" w:lastRow="0" w:firstColumn="0" w:lastColumn="0" w:oddVBand="0" w:evenVBand="0" w:oddHBand="1" w:evenHBand="0" w:firstRowFirstColumn="0" w:firstRowLastColumn="0" w:lastRowFirstColumn="0" w:lastRowLastColumn="0"/>
              <w:rPr>
                <w:sz w:val="18"/>
              </w:rPr>
            </w:pPr>
            <w:r w:rsidRPr="00BA108B">
              <w:rPr>
                <w:sz w:val="18"/>
              </w:rPr>
              <w:t>431,484</w:t>
            </w:r>
          </w:p>
        </w:tc>
        <w:tc>
          <w:tcPr>
            <w:tcW w:w="1418" w:type="dxa"/>
            <w:vAlign w:val="bottom"/>
          </w:tcPr>
          <w:p w:rsidR="002A5F36" w:rsidRPr="00BA108B" w:rsidRDefault="005D7300" w:rsidP="005D7300">
            <w:pPr>
              <w:spacing w:after="200"/>
              <w:jc w:val="right"/>
              <w:cnfStyle w:val="000000100000" w:firstRow="0" w:lastRow="0" w:firstColumn="0" w:lastColumn="0" w:oddVBand="0" w:evenVBand="0" w:oddHBand="1" w:evenHBand="0" w:firstRowFirstColumn="0" w:firstRowLastColumn="0" w:lastRowFirstColumn="0" w:lastRowLastColumn="0"/>
              <w:rPr>
                <w:sz w:val="18"/>
              </w:rPr>
            </w:pPr>
            <w:r w:rsidRPr="00BA108B">
              <w:rPr>
                <w:sz w:val="18"/>
              </w:rPr>
              <w:t>12,899</w:t>
            </w:r>
          </w:p>
        </w:tc>
        <w:tc>
          <w:tcPr>
            <w:tcW w:w="1418" w:type="dxa"/>
            <w:vAlign w:val="bottom"/>
          </w:tcPr>
          <w:p w:rsidR="002A5F36" w:rsidRPr="00BA108B" w:rsidRDefault="00D570E8" w:rsidP="005D7300">
            <w:pPr>
              <w:spacing w:after="200"/>
              <w:jc w:val="right"/>
              <w:cnfStyle w:val="000000100000" w:firstRow="0" w:lastRow="0" w:firstColumn="0" w:lastColumn="0" w:oddVBand="0" w:evenVBand="0" w:oddHBand="1" w:evenHBand="0" w:firstRowFirstColumn="0" w:firstRowLastColumn="0" w:lastRowFirstColumn="0" w:lastRowLastColumn="0"/>
              <w:rPr>
                <w:sz w:val="18"/>
              </w:rPr>
            </w:pPr>
            <w:r>
              <w:rPr>
                <w:sz w:val="18"/>
              </w:rPr>
              <w:t>439,476</w:t>
            </w:r>
          </w:p>
        </w:tc>
      </w:tr>
      <w:tr w:rsidR="002A5F36" w:rsidRPr="00830681" w:rsidTr="006A427F">
        <w:trPr>
          <w:trHeight w:val="20"/>
        </w:trPr>
        <w:tc>
          <w:tcPr>
            <w:cnfStyle w:val="001000000000" w:firstRow="0" w:lastRow="0" w:firstColumn="1" w:lastColumn="0" w:oddVBand="0" w:evenVBand="0" w:oddHBand="0" w:evenHBand="0" w:firstRowFirstColumn="0" w:firstRowLastColumn="0" w:lastRowFirstColumn="0" w:lastRowLastColumn="0"/>
            <w:tcW w:w="4536" w:type="dxa"/>
            <w:vAlign w:val="center"/>
          </w:tcPr>
          <w:p w:rsidR="002A5F36" w:rsidRPr="00BA108B" w:rsidRDefault="002A5F36">
            <w:pPr>
              <w:spacing w:after="200"/>
              <w:rPr>
                <w:b w:val="0"/>
                <w:sz w:val="18"/>
              </w:rPr>
            </w:pPr>
            <w:r w:rsidRPr="00BA108B">
              <w:rPr>
                <w:b w:val="0"/>
                <w:sz w:val="18"/>
              </w:rPr>
              <w:t>Police Community Support Officers</w:t>
            </w:r>
          </w:p>
        </w:tc>
        <w:tc>
          <w:tcPr>
            <w:tcW w:w="1418" w:type="dxa"/>
            <w:vAlign w:val="bottom"/>
          </w:tcPr>
          <w:p w:rsidR="002A5F36" w:rsidRPr="00BA108B" w:rsidRDefault="006A427F" w:rsidP="005D7300">
            <w:pPr>
              <w:spacing w:after="200"/>
              <w:jc w:val="right"/>
              <w:cnfStyle w:val="000000000000" w:firstRow="0" w:lastRow="0" w:firstColumn="0" w:lastColumn="0" w:oddVBand="0" w:evenVBand="0" w:oddHBand="0" w:evenHBand="0" w:firstRowFirstColumn="0" w:firstRowLastColumn="0" w:lastRowFirstColumn="0" w:lastRowLastColumn="0"/>
              <w:rPr>
                <w:sz w:val="18"/>
              </w:rPr>
            </w:pPr>
            <w:r w:rsidRPr="00BA108B">
              <w:rPr>
                <w:sz w:val="18"/>
              </w:rPr>
              <w:t>14,999</w:t>
            </w:r>
          </w:p>
        </w:tc>
        <w:tc>
          <w:tcPr>
            <w:tcW w:w="1418" w:type="dxa"/>
            <w:vAlign w:val="bottom"/>
          </w:tcPr>
          <w:p w:rsidR="002A5F36" w:rsidRPr="00BA108B" w:rsidRDefault="005D7300" w:rsidP="005D7300">
            <w:pPr>
              <w:spacing w:after="200"/>
              <w:jc w:val="right"/>
              <w:cnfStyle w:val="000000000000" w:firstRow="0" w:lastRow="0" w:firstColumn="0" w:lastColumn="0" w:oddVBand="0" w:evenVBand="0" w:oddHBand="0" w:evenHBand="0" w:firstRowFirstColumn="0" w:firstRowLastColumn="0" w:lastRowFirstColumn="0" w:lastRowLastColumn="0"/>
              <w:rPr>
                <w:sz w:val="18"/>
              </w:rPr>
            </w:pPr>
            <w:r w:rsidRPr="00BA108B">
              <w:rPr>
                <w:sz w:val="18"/>
              </w:rPr>
              <w:t>0</w:t>
            </w:r>
          </w:p>
        </w:tc>
        <w:tc>
          <w:tcPr>
            <w:tcW w:w="1418" w:type="dxa"/>
            <w:vAlign w:val="bottom"/>
          </w:tcPr>
          <w:p w:rsidR="002A5F36" w:rsidRPr="00BA108B" w:rsidRDefault="002B08D3" w:rsidP="005D7300">
            <w:pPr>
              <w:spacing w:after="200"/>
              <w:jc w:val="right"/>
              <w:cnfStyle w:val="000000000000" w:firstRow="0" w:lastRow="0" w:firstColumn="0" w:lastColumn="0" w:oddVBand="0" w:evenVBand="0" w:oddHBand="0" w:evenHBand="0" w:firstRowFirstColumn="0" w:firstRowLastColumn="0" w:lastRowFirstColumn="0" w:lastRowLastColumn="0"/>
              <w:rPr>
                <w:sz w:val="18"/>
              </w:rPr>
            </w:pPr>
            <w:r w:rsidRPr="00BA108B">
              <w:rPr>
                <w:sz w:val="18"/>
              </w:rPr>
              <w:t>14,728</w:t>
            </w:r>
          </w:p>
        </w:tc>
      </w:tr>
      <w:tr w:rsidR="002A5F36" w:rsidRPr="00830681" w:rsidTr="006A42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6" w:type="dxa"/>
            <w:vAlign w:val="center"/>
          </w:tcPr>
          <w:p w:rsidR="002A5F36" w:rsidRPr="00BA108B" w:rsidRDefault="002A5F36">
            <w:pPr>
              <w:spacing w:after="200"/>
              <w:rPr>
                <w:b w:val="0"/>
                <w:sz w:val="18"/>
              </w:rPr>
            </w:pPr>
            <w:r w:rsidRPr="00BA108B">
              <w:rPr>
                <w:b w:val="0"/>
                <w:sz w:val="18"/>
              </w:rPr>
              <w:t>Police Staff Pay</w:t>
            </w:r>
          </w:p>
        </w:tc>
        <w:tc>
          <w:tcPr>
            <w:tcW w:w="1418" w:type="dxa"/>
            <w:vAlign w:val="bottom"/>
          </w:tcPr>
          <w:p w:rsidR="002A5F36" w:rsidRPr="00BA108B" w:rsidRDefault="006A427F" w:rsidP="005D7300">
            <w:pPr>
              <w:spacing w:after="200"/>
              <w:jc w:val="right"/>
              <w:cnfStyle w:val="000000100000" w:firstRow="0" w:lastRow="0" w:firstColumn="0" w:lastColumn="0" w:oddVBand="0" w:evenVBand="0" w:oddHBand="1" w:evenHBand="0" w:firstRowFirstColumn="0" w:firstRowLastColumn="0" w:lastRowFirstColumn="0" w:lastRowLastColumn="0"/>
              <w:rPr>
                <w:sz w:val="18"/>
              </w:rPr>
            </w:pPr>
            <w:r w:rsidRPr="00BA108B">
              <w:rPr>
                <w:sz w:val="18"/>
              </w:rPr>
              <w:t>165,228</w:t>
            </w:r>
          </w:p>
        </w:tc>
        <w:tc>
          <w:tcPr>
            <w:tcW w:w="1418" w:type="dxa"/>
            <w:vAlign w:val="bottom"/>
          </w:tcPr>
          <w:p w:rsidR="002A5F36" w:rsidRPr="00BA108B" w:rsidRDefault="005D7300" w:rsidP="005D7300">
            <w:pPr>
              <w:spacing w:after="200"/>
              <w:jc w:val="right"/>
              <w:cnfStyle w:val="000000100000" w:firstRow="0" w:lastRow="0" w:firstColumn="0" w:lastColumn="0" w:oddVBand="0" w:evenVBand="0" w:oddHBand="1" w:evenHBand="0" w:firstRowFirstColumn="0" w:firstRowLastColumn="0" w:lastRowFirstColumn="0" w:lastRowLastColumn="0"/>
              <w:rPr>
                <w:sz w:val="18"/>
              </w:rPr>
            </w:pPr>
            <w:r w:rsidRPr="00BA108B">
              <w:rPr>
                <w:sz w:val="18"/>
              </w:rPr>
              <w:t>3,101</w:t>
            </w:r>
          </w:p>
        </w:tc>
        <w:tc>
          <w:tcPr>
            <w:tcW w:w="1418" w:type="dxa"/>
            <w:vAlign w:val="bottom"/>
          </w:tcPr>
          <w:p w:rsidR="002A5F36" w:rsidRPr="00BA108B" w:rsidRDefault="002B08D3" w:rsidP="005D7300">
            <w:pPr>
              <w:spacing w:after="200"/>
              <w:jc w:val="right"/>
              <w:cnfStyle w:val="000000100000" w:firstRow="0" w:lastRow="0" w:firstColumn="0" w:lastColumn="0" w:oddVBand="0" w:evenVBand="0" w:oddHBand="1" w:evenHBand="0" w:firstRowFirstColumn="0" w:firstRowLastColumn="0" w:lastRowFirstColumn="0" w:lastRowLastColumn="0"/>
              <w:rPr>
                <w:sz w:val="18"/>
              </w:rPr>
            </w:pPr>
            <w:r w:rsidRPr="00BA108B">
              <w:rPr>
                <w:sz w:val="18"/>
              </w:rPr>
              <w:t>17</w:t>
            </w:r>
            <w:r w:rsidR="00D570E8">
              <w:rPr>
                <w:sz w:val="18"/>
              </w:rPr>
              <w:t>0,033</w:t>
            </w:r>
          </w:p>
        </w:tc>
      </w:tr>
      <w:tr w:rsidR="002A5F36" w:rsidRPr="00830681" w:rsidTr="006A427F">
        <w:trPr>
          <w:trHeight w:val="20"/>
        </w:trPr>
        <w:tc>
          <w:tcPr>
            <w:cnfStyle w:val="001000000000" w:firstRow="0" w:lastRow="0" w:firstColumn="1" w:lastColumn="0" w:oddVBand="0" w:evenVBand="0" w:oddHBand="0" w:evenHBand="0" w:firstRowFirstColumn="0" w:firstRowLastColumn="0" w:lastRowFirstColumn="0" w:lastRowLastColumn="0"/>
            <w:tcW w:w="4536" w:type="dxa"/>
            <w:vAlign w:val="center"/>
          </w:tcPr>
          <w:p w:rsidR="002A5F36" w:rsidRPr="00BA108B" w:rsidRDefault="002A5F36">
            <w:pPr>
              <w:spacing w:after="200"/>
              <w:rPr>
                <w:b w:val="0"/>
                <w:sz w:val="18"/>
              </w:rPr>
            </w:pPr>
            <w:r w:rsidRPr="00BA108B">
              <w:rPr>
                <w:b w:val="0"/>
                <w:sz w:val="18"/>
              </w:rPr>
              <w:t>Other Employee Expenses</w:t>
            </w:r>
          </w:p>
        </w:tc>
        <w:tc>
          <w:tcPr>
            <w:tcW w:w="1418" w:type="dxa"/>
            <w:vAlign w:val="bottom"/>
          </w:tcPr>
          <w:p w:rsidR="002A5F36" w:rsidRPr="00BA108B" w:rsidRDefault="006A427F" w:rsidP="005D7300">
            <w:pPr>
              <w:spacing w:after="200"/>
              <w:jc w:val="right"/>
              <w:cnfStyle w:val="000000000000" w:firstRow="0" w:lastRow="0" w:firstColumn="0" w:lastColumn="0" w:oddVBand="0" w:evenVBand="0" w:oddHBand="0" w:evenHBand="0" w:firstRowFirstColumn="0" w:firstRowLastColumn="0" w:lastRowFirstColumn="0" w:lastRowLastColumn="0"/>
              <w:rPr>
                <w:sz w:val="18"/>
              </w:rPr>
            </w:pPr>
            <w:r w:rsidRPr="00BA108B">
              <w:rPr>
                <w:sz w:val="18"/>
              </w:rPr>
              <w:t>14,502</w:t>
            </w:r>
          </w:p>
        </w:tc>
        <w:tc>
          <w:tcPr>
            <w:tcW w:w="1418" w:type="dxa"/>
            <w:vAlign w:val="bottom"/>
          </w:tcPr>
          <w:p w:rsidR="002A5F36" w:rsidRPr="00BA108B" w:rsidRDefault="005D7300" w:rsidP="005D7300">
            <w:pPr>
              <w:spacing w:after="200"/>
              <w:jc w:val="right"/>
              <w:cnfStyle w:val="000000000000" w:firstRow="0" w:lastRow="0" w:firstColumn="0" w:lastColumn="0" w:oddVBand="0" w:evenVBand="0" w:oddHBand="0" w:evenHBand="0" w:firstRowFirstColumn="0" w:firstRowLastColumn="0" w:lastRowFirstColumn="0" w:lastRowLastColumn="0"/>
              <w:rPr>
                <w:sz w:val="18"/>
              </w:rPr>
            </w:pPr>
            <w:r w:rsidRPr="00BA108B">
              <w:rPr>
                <w:sz w:val="18"/>
              </w:rPr>
              <w:t>37</w:t>
            </w:r>
          </w:p>
        </w:tc>
        <w:tc>
          <w:tcPr>
            <w:tcW w:w="1418" w:type="dxa"/>
            <w:vAlign w:val="bottom"/>
          </w:tcPr>
          <w:p w:rsidR="002A5F36" w:rsidRPr="00BA108B" w:rsidRDefault="002B08D3" w:rsidP="005D7300">
            <w:pPr>
              <w:spacing w:after="200"/>
              <w:jc w:val="right"/>
              <w:cnfStyle w:val="000000000000" w:firstRow="0" w:lastRow="0" w:firstColumn="0" w:lastColumn="0" w:oddVBand="0" w:evenVBand="0" w:oddHBand="0" w:evenHBand="0" w:firstRowFirstColumn="0" w:firstRowLastColumn="0" w:lastRowFirstColumn="0" w:lastRowLastColumn="0"/>
              <w:rPr>
                <w:sz w:val="18"/>
              </w:rPr>
            </w:pPr>
            <w:r w:rsidRPr="00BA108B">
              <w:rPr>
                <w:sz w:val="18"/>
              </w:rPr>
              <w:t>14,</w:t>
            </w:r>
            <w:r w:rsidR="00D570E8">
              <w:rPr>
                <w:sz w:val="18"/>
              </w:rPr>
              <w:t>560</w:t>
            </w:r>
          </w:p>
        </w:tc>
      </w:tr>
      <w:tr w:rsidR="002A5F36" w:rsidRPr="00830681" w:rsidTr="006A42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6" w:type="dxa"/>
            <w:vAlign w:val="center"/>
          </w:tcPr>
          <w:p w:rsidR="002A5F36" w:rsidRPr="00BA108B" w:rsidRDefault="002A5F36">
            <w:pPr>
              <w:spacing w:after="200"/>
              <w:rPr>
                <w:sz w:val="18"/>
              </w:rPr>
            </w:pPr>
            <w:r w:rsidRPr="00BA108B">
              <w:rPr>
                <w:sz w:val="18"/>
              </w:rPr>
              <w:t>Sub Total</w:t>
            </w:r>
          </w:p>
        </w:tc>
        <w:tc>
          <w:tcPr>
            <w:tcW w:w="1418" w:type="dxa"/>
            <w:vAlign w:val="bottom"/>
          </w:tcPr>
          <w:p w:rsidR="002A5F36" w:rsidRPr="00BA108B" w:rsidRDefault="006A427F" w:rsidP="005D7300">
            <w:pPr>
              <w:spacing w:after="200"/>
              <w:jc w:val="right"/>
              <w:cnfStyle w:val="000000100000" w:firstRow="0" w:lastRow="0" w:firstColumn="0" w:lastColumn="0" w:oddVBand="0" w:evenVBand="0" w:oddHBand="1" w:evenHBand="0" w:firstRowFirstColumn="0" w:firstRowLastColumn="0" w:lastRowFirstColumn="0" w:lastRowLastColumn="0"/>
              <w:rPr>
                <w:b/>
                <w:sz w:val="18"/>
              </w:rPr>
            </w:pPr>
            <w:r w:rsidRPr="00BA108B">
              <w:rPr>
                <w:b/>
                <w:sz w:val="18"/>
              </w:rPr>
              <w:t>626,213</w:t>
            </w:r>
          </w:p>
        </w:tc>
        <w:tc>
          <w:tcPr>
            <w:tcW w:w="1418" w:type="dxa"/>
            <w:vAlign w:val="bottom"/>
          </w:tcPr>
          <w:p w:rsidR="002A5F36" w:rsidRPr="00BA108B" w:rsidRDefault="005D7300" w:rsidP="005D7300">
            <w:pPr>
              <w:spacing w:after="200"/>
              <w:jc w:val="right"/>
              <w:cnfStyle w:val="000000100000" w:firstRow="0" w:lastRow="0" w:firstColumn="0" w:lastColumn="0" w:oddVBand="0" w:evenVBand="0" w:oddHBand="1" w:evenHBand="0" w:firstRowFirstColumn="0" w:firstRowLastColumn="0" w:lastRowFirstColumn="0" w:lastRowLastColumn="0"/>
              <w:rPr>
                <w:b/>
                <w:sz w:val="18"/>
              </w:rPr>
            </w:pPr>
            <w:r w:rsidRPr="00BA108B">
              <w:rPr>
                <w:b/>
                <w:sz w:val="18"/>
              </w:rPr>
              <w:t>16,036</w:t>
            </w:r>
          </w:p>
        </w:tc>
        <w:tc>
          <w:tcPr>
            <w:tcW w:w="1418" w:type="dxa"/>
            <w:vAlign w:val="bottom"/>
          </w:tcPr>
          <w:p w:rsidR="002A5F36" w:rsidRPr="00BA108B" w:rsidRDefault="002B08D3" w:rsidP="005D7300">
            <w:pPr>
              <w:spacing w:after="200"/>
              <w:jc w:val="right"/>
              <w:cnfStyle w:val="000000100000" w:firstRow="0" w:lastRow="0" w:firstColumn="0" w:lastColumn="0" w:oddVBand="0" w:evenVBand="0" w:oddHBand="1" w:evenHBand="0" w:firstRowFirstColumn="0" w:firstRowLastColumn="0" w:lastRowFirstColumn="0" w:lastRowLastColumn="0"/>
              <w:rPr>
                <w:b/>
                <w:sz w:val="18"/>
              </w:rPr>
            </w:pPr>
            <w:r w:rsidRPr="00BA108B">
              <w:rPr>
                <w:b/>
                <w:sz w:val="18"/>
              </w:rPr>
              <w:t>6</w:t>
            </w:r>
            <w:r w:rsidR="00D570E8">
              <w:rPr>
                <w:b/>
                <w:sz w:val="18"/>
              </w:rPr>
              <w:t>38,797</w:t>
            </w:r>
          </w:p>
        </w:tc>
      </w:tr>
      <w:tr w:rsidR="002A5F36" w:rsidRPr="00830681" w:rsidTr="006A427F">
        <w:trPr>
          <w:trHeight w:val="20"/>
        </w:trPr>
        <w:tc>
          <w:tcPr>
            <w:cnfStyle w:val="001000000000" w:firstRow="0" w:lastRow="0" w:firstColumn="1" w:lastColumn="0" w:oddVBand="0" w:evenVBand="0" w:oddHBand="0" w:evenHBand="0" w:firstRowFirstColumn="0" w:firstRowLastColumn="0" w:lastRowFirstColumn="0" w:lastRowLastColumn="0"/>
            <w:tcW w:w="4536" w:type="dxa"/>
            <w:vAlign w:val="center"/>
          </w:tcPr>
          <w:p w:rsidR="002A5F36" w:rsidRPr="00BA108B" w:rsidRDefault="002A5F36">
            <w:pPr>
              <w:spacing w:after="200"/>
              <w:rPr>
                <w:b w:val="0"/>
                <w:sz w:val="18"/>
              </w:rPr>
            </w:pPr>
            <w:r w:rsidRPr="00BA108B">
              <w:rPr>
                <w:b w:val="0"/>
                <w:sz w:val="18"/>
              </w:rPr>
              <w:t>Premises</w:t>
            </w:r>
          </w:p>
        </w:tc>
        <w:tc>
          <w:tcPr>
            <w:tcW w:w="1418" w:type="dxa"/>
            <w:vAlign w:val="bottom"/>
          </w:tcPr>
          <w:p w:rsidR="002A5F36" w:rsidRPr="00BA108B" w:rsidRDefault="006A427F" w:rsidP="005D7300">
            <w:pPr>
              <w:spacing w:after="200"/>
              <w:jc w:val="right"/>
              <w:cnfStyle w:val="000000000000" w:firstRow="0" w:lastRow="0" w:firstColumn="0" w:lastColumn="0" w:oddVBand="0" w:evenVBand="0" w:oddHBand="0" w:evenHBand="0" w:firstRowFirstColumn="0" w:firstRowLastColumn="0" w:lastRowFirstColumn="0" w:lastRowLastColumn="0"/>
              <w:rPr>
                <w:sz w:val="18"/>
              </w:rPr>
            </w:pPr>
            <w:r w:rsidRPr="00BA108B">
              <w:rPr>
                <w:sz w:val="18"/>
              </w:rPr>
              <w:t>21,432</w:t>
            </w:r>
          </w:p>
        </w:tc>
        <w:tc>
          <w:tcPr>
            <w:tcW w:w="1418" w:type="dxa"/>
            <w:vAlign w:val="bottom"/>
          </w:tcPr>
          <w:p w:rsidR="002A5F36" w:rsidRPr="00BA108B" w:rsidRDefault="005D7300" w:rsidP="005D7300">
            <w:pPr>
              <w:spacing w:after="200"/>
              <w:jc w:val="right"/>
              <w:cnfStyle w:val="000000000000" w:firstRow="0" w:lastRow="0" w:firstColumn="0" w:lastColumn="0" w:oddVBand="0" w:evenVBand="0" w:oddHBand="0" w:evenHBand="0" w:firstRowFirstColumn="0" w:firstRowLastColumn="0" w:lastRowFirstColumn="0" w:lastRowLastColumn="0"/>
              <w:rPr>
                <w:sz w:val="18"/>
              </w:rPr>
            </w:pPr>
            <w:r w:rsidRPr="00BA108B">
              <w:rPr>
                <w:sz w:val="18"/>
              </w:rPr>
              <w:t>119</w:t>
            </w:r>
          </w:p>
        </w:tc>
        <w:tc>
          <w:tcPr>
            <w:tcW w:w="1418" w:type="dxa"/>
            <w:vAlign w:val="bottom"/>
          </w:tcPr>
          <w:p w:rsidR="002A5F36" w:rsidRPr="00BA108B" w:rsidRDefault="002B08D3" w:rsidP="005D7300">
            <w:pPr>
              <w:spacing w:after="200"/>
              <w:jc w:val="right"/>
              <w:cnfStyle w:val="000000000000" w:firstRow="0" w:lastRow="0" w:firstColumn="0" w:lastColumn="0" w:oddVBand="0" w:evenVBand="0" w:oddHBand="0" w:evenHBand="0" w:firstRowFirstColumn="0" w:firstRowLastColumn="0" w:lastRowFirstColumn="0" w:lastRowLastColumn="0"/>
              <w:rPr>
                <w:sz w:val="18"/>
              </w:rPr>
            </w:pPr>
            <w:r w:rsidRPr="00BA108B">
              <w:rPr>
                <w:sz w:val="18"/>
              </w:rPr>
              <w:t>3</w:t>
            </w:r>
            <w:r w:rsidR="00D570E8">
              <w:rPr>
                <w:sz w:val="18"/>
              </w:rPr>
              <w:t>0,508</w:t>
            </w:r>
          </w:p>
        </w:tc>
      </w:tr>
      <w:tr w:rsidR="002A5F36" w:rsidRPr="00830681" w:rsidTr="006A42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6" w:type="dxa"/>
            <w:vAlign w:val="center"/>
          </w:tcPr>
          <w:p w:rsidR="002A5F36" w:rsidRPr="00BA108B" w:rsidRDefault="002A5F36">
            <w:pPr>
              <w:spacing w:after="200"/>
              <w:rPr>
                <w:b w:val="0"/>
                <w:sz w:val="18"/>
              </w:rPr>
            </w:pPr>
            <w:r w:rsidRPr="00BA108B">
              <w:rPr>
                <w:b w:val="0"/>
                <w:sz w:val="18"/>
              </w:rPr>
              <w:t>Transport</w:t>
            </w:r>
          </w:p>
        </w:tc>
        <w:tc>
          <w:tcPr>
            <w:tcW w:w="1418" w:type="dxa"/>
            <w:vAlign w:val="bottom"/>
          </w:tcPr>
          <w:p w:rsidR="002A5F36" w:rsidRPr="00BA108B" w:rsidRDefault="006A427F" w:rsidP="005D7300">
            <w:pPr>
              <w:spacing w:after="200"/>
              <w:jc w:val="right"/>
              <w:cnfStyle w:val="000000100000" w:firstRow="0" w:lastRow="0" w:firstColumn="0" w:lastColumn="0" w:oddVBand="0" w:evenVBand="0" w:oddHBand="1" w:evenHBand="0" w:firstRowFirstColumn="0" w:firstRowLastColumn="0" w:lastRowFirstColumn="0" w:lastRowLastColumn="0"/>
              <w:rPr>
                <w:sz w:val="18"/>
              </w:rPr>
            </w:pPr>
            <w:r w:rsidRPr="00BA108B">
              <w:rPr>
                <w:sz w:val="18"/>
              </w:rPr>
              <w:t>13,269</w:t>
            </w:r>
          </w:p>
        </w:tc>
        <w:tc>
          <w:tcPr>
            <w:tcW w:w="1418" w:type="dxa"/>
            <w:vAlign w:val="bottom"/>
          </w:tcPr>
          <w:p w:rsidR="002A5F36" w:rsidRPr="00BA108B" w:rsidRDefault="005D7300" w:rsidP="005D7300">
            <w:pPr>
              <w:spacing w:after="200"/>
              <w:jc w:val="right"/>
              <w:cnfStyle w:val="000000100000" w:firstRow="0" w:lastRow="0" w:firstColumn="0" w:lastColumn="0" w:oddVBand="0" w:evenVBand="0" w:oddHBand="1" w:evenHBand="0" w:firstRowFirstColumn="0" w:firstRowLastColumn="0" w:lastRowFirstColumn="0" w:lastRowLastColumn="0"/>
              <w:rPr>
                <w:sz w:val="18"/>
              </w:rPr>
            </w:pPr>
            <w:r w:rsidRPr="00BA108B">
              <w:rPr>
                <w:sz w:val="18"/>
              </w:rPr>
              <w:t>2,929</w:t>
            </w:r>
          </w:p>
        </w:tc>
        <w:tc>
          <w:tcPr>
            <w:tcW w:w="1418" w:type="dxa"/>
            <w:vAlign w:val="bottom"/>
          </w:tcPr>
          <w:p w:rsidR="002A5F36" w:rsidRPr="00BA108B" w:rsidRDefault="002B08D3" w:rsidP="005D7300">
            <w:pPr>
              <w:spacing w:after="200"/>
              <w:jc w:val="right"/>
              <w:cnfStyle w:val="000000100000" w:firstRow="0" w:lastRow="0" w:firstColumn="0" w:lastColumn="0" w:oddVBand="0" w:evenVBand="0" w:oddHBand="1" w:evenHBand="0" w:firstRowFirstColumn="0" w:firstRowLastColumn="0" w:lastRowFirstColumn="0" w:lastRowLastColumn="0"/>
              <w:rPr>
                <w:sz w:val="18"/>
              </w:rPr>
            </w:pPr>
            <w:r w:rsidRPr="00BA108B">
              <w:rPr>
                <w:sz w:val="18"/>
              </w:rPr>
              <w:t>10,</w:t>
            </w:r>
            <w:r w:rsidR="00D570E8">
              <w:rPr>
                <w:sz w:val="18"/>
              </w:rPr>
              <w:t>132</w:t>
            </w:r>
          </w:p>
        </w:tc>
      </w:tr>
      <w:tr w:rsidR="002A5F36" w:rsidRPr="00830681" w:rsidTr="006A427F">
        <w:trPr>
          <w:trHeight w:val="20"/>
        </w:trPr>
        <w:tc>
          <w:tcPr>
            <w:cnfStyle w:val="001000000000" w:firstRow="0" w:lastRow="0" w:firstColumn="1" w:lastColumn="0" w:oddVBand="0" w:evenVBand="0" w:oddHBand="0" w:evenHBand="0" w:firstRowFirstColumn="0" w:firstRowLastColumn="0" w:lastRowFirstColumn="0" w:lastRowLastColumn="0"/>
            <w:tcW w:w="4536" w:type="dxa"/>
            <w:vAlign w:val="center"/>
          </w:tcPr>
          <w:p w:rsidR="002A5F36" w:rsidRPr="00BA108B" w:rsidRDefault="002A5F36">
            <w:pPr>
              <w:spacing w:after="200"/>
              <w:rPr>
                <w:b w:val="0"/>
                <w:sz w:val="18"/>
              </w:rPr>
            </w:pPr>
            <w:r w:rsidRPr="00BA108B">
              <w:rPr>
                <w:b w:val="0"/>
                <w:sz w:val="18"/>
              </w:rPr>
              <w:t>Supplies and Services</w:t>
            </w:r>
          </w:p>
        </w:tc>
        <w:tc>
          <w:tcPr>
            <w:tcW w:w="1418" w:type="dxa"/>
            <w:vAlign w:val="bottom"/>
          </w:tcPr>
          <w:p w:rsidR="002A5F36" w:rsidRPr="00BA108B" w:rsidRDefault="006A427F" w:rsidP="005D7300">
            <w:pPr>
              <w:spacing w:after="200"/>
              <w:jc w:val="right"/>
              <w:cnfStyle w:val="000000000000" w:firstRow="0" w:lastRow="0" w:firstColumn="0" w:lastColumn="0" w:oddVBand="0" w:evenVBand="0" w:oddHBand="0" w:evenHBand="0" w:firstRowFirstColumn="0" w:firstRowLastColumn="0" w:lastRowFirstColumn="0" w:lastRowLastColumn="0"/>
              <w:rPr>
                <w:sz w:val="18"/>
              </w:rPr>
            </w:pPr>
            <w:r w:rsidRPr="00BA108B">
              <w:rPr>
                <w:sz w:val="18"/>
              </w:rPr>
              <w:t>55,891</w:t>
            </w:r>
          </w:p>
        </w:tc>
        <w:tc>
          <w:tcPr>
            <w:tcW w:w="1418" w:type="dxa"/>
            <w:vAlign w:val="bottom"/>
          </w:tcPr>
          <w:p w:rsidR="002A5F36" w:rsidRPr="00BA108B" w:rsidRDefault="005D7300" w:rsidP="005D7300">
            <w:pPr>
              <w:spacing w:after="200"/>
              <w:jc w:val="right"/>
              <w:cnfStyle w:val="000000000000" w:firstRow="0" w:lastRow="0" w:firstColumn="0" w:lastColumn="0" w:oddVBand="0" w:evenVBand="0" w:oddHBand="0" w:evenHBand="0" w:firstRowFirstColumn="0" w:firstRowLastColumn="0" w:lastRowFirstColumn="0" w:lastRowLastColumn="0"/>
              <w:rPr>
                <w:sz w:val="18"/>
              </w:rPr>
            </w:pPr>
            <w:r w:rsidRPr="00BA108B">
              <w:rPr>
                <w:sz w:val="18"/>
              </w:rPr>
              <w:t>3,673</w:t>
            </w:r>
          </w:p>
        </w:tc>
        <w:tc>
          <w:tcPr>
            <w:tcW w:w="1418" w:type="dxa"/>
            <w:vAlign w:val="bottom"/>
          </w:tcPr>
          <w:p w:rsidR="002A5F36" w:rsidRPr="00BA108B" w:rsidRDefault="002B08D3" w:rsidP="005D7300">
            <w:pPr>
              <w:spacing w:after="200"/>
              <w:jc w:val="right"/>
              <w:cnfStyle w:val="000000000000" w:firstRow="0" w:lastRow="0" w:firstColumn="0" w:lastColumn="0" w:oddVBand="0" w:evenVBand="0" w:oddHBand="0" w:evenHBand="0" w:firstRowFirstColumn="0" w:firstRowLastColumn="0" w:lastRowFirstColumn="0" w:lastRowLastColumn="0"/>
              <w:rPr>
                <w:sz w:val="18"/>
              </w:rPr>
            </w:pPr>
            <w:r w:rsidRPr="00BA108B">
              <w:rPr>
                <w:sz w:val="18"/>
              </w:rPr>
              <w:t>6</w:t>
            </w:r>
            <w:r w:rsidR="00D570E8">
              <w:rPr>
                <w:sz w:val="18"/>
              </w:rPr>
              <w:t>2,024</w:t>
            </w:r>
          </w:p>
        </w:tc>
      </w:tr>
      <w:tr w:rsidR="002A5F36" w:rsidRPr="00830681" w:rsidTr="006A42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6" w:type="dxa"/>
            <w:vAlign w:val="center"/>
          </w:tcPr>
          <w:p w:rsidR="002A5F36" w:rsidRPr="00BA108B" w:rsidRDefault="002A5F36">
            <w:pPr>
              <w:spacing w:after="200"/>
              <w:rPr>
                <w:b w:val="0"/>
                <w:sz w:val="18"/>
              </w:rPr>
            </w:pPr>
            <w:r w:rsidRPr="00BA108B">
              <w:rPr>
                <w:b w:val="0"/>
                <w:sz w:val="18"/>
              </w:rPr>
              <w:t>Third Party Payments</w:t>
            </w:r>
          </w:p>
        </w:tc>
        <w:tc>
          <w:tcPr>
            <w:tcW w:w="1418" w:type="dxa"/>
            <w:vAlign w:val="bottom"/>
          </w:tcPr>
          <w:p w:rsidR="002A5F36" w:rsidRPr="00BA108B" w:rsidRDefault="006A427F" w:rsidP="005D7300">
            <w:pPr>
              <w:spacing w:after="200"/>
              <w:jc w:val="right"/>
              <w:cnfStyle w:val="000000100000" w:firstRow="0" w:lastRow="0" w:firstColumn="0" w:lastColumn="0" w:oddVBand="0" w:evenVBand="0" w:oddHBand="1" w:evenHBand="0" w:firstRowFirstColumn="0" w:firstRowLastColumn="0" w:lastRowFirstColumn="0" w:lastRowLastColumn="0"/>
              <w:rPr>
                <w:sz w:val="18"/>
              </w:rPr>
            </w:pPr>
            <w:r w:rsidRPr="00BA108B">
              <w:rPr>
                <w:sz w:val="18"/>
              </w:rPr>
              <w:t>103,618</w:t>
            </w:r>
          </w:p>
        </w:tc>
        <w:tc>
          <w:tcPr>
            <w:tcW w:w="1418" w:type="dxa"/>
            <w:vAlign w:val="bottom"/>
          </w:tcPr>
          <w:p w:rsidR="002A5F36" w:rsidRPr="00BA108B" w:rsidRDefault="005D7300" w:rsidP="005D7300">
            <w:pPr>
              <w:spacing w:after="200"/>
              <w:jc w:val="right"/>
              <w:cnfStyle w:val="000000100000" w:firstRow="0" w:lastRow="0" w:firstColumn="0" w:lastColumn="0" w:oddVBand="0" w:evenVBand="0" w:oddHBand="1" w:evenHBand="0" w:firstRowFirstColumn="0" w:firstRowLastColumn="0" w:lastRowFirstColumn="0" w:lastRowLastColumn="0"/>
              <w:rPr>
                <w:sz w:val="18"/>
              </w:rPr>
            </w:pPr>
            <w:r w:rsidRPr="00BA108B">
              <w:rPr>
                <w:sz w:val="18"/>
              </w:rPr>
              <w:t>88,182</w:t>
            </w:r>
          </w:p>
        </w:tc>
        <w:tc>
          <w:tcPr>
            <w:tcW w:w="1418" w:type="dxa"/>
            <w:vAlign w:val="bottom"/>
          </w:tcPr>
          <w:p w:rsidR="002A5F36" w:rsidRPr="00BA108B" w:rsidRDefault="002B08D3" w:rsidP="005D7300">
            <w:pPr>
              <w:spacing w:after="200"/>
              <w:jc w:val="right"/>
              <w:cnfStyle w:val="000000100000" w:firstRow="0" w:lastRow="0" w:firstColumn="0" w:lastColumn="0" w:oddVBand="0" w:evenVBand="0" w:oddHBand="1" w:evenHBand="0" w:firstRowFirstColumn="0" w:firstRowLastColumn="0" w:lastRowFirstColumn="0" w:lastRowLastColumn="0"/>
              <w:rPr>
                <w:sz w:val="18"/>
              </w:rPr>
            </w:pPr>
            <w:r w:rsidRPr="00BA108B">
              <w:rPr>
                <w:sz w:val="18"/>
              </w:rPr>
              <w:t>16,</w:t>
            </w:r>
            <w:r w:rsidR="00D570E8">
              <w:rPr>
                <w:sz w:val="18"/>
              </w:rPr>
              <w:t>678</w:t>
            </w:r>
          </w:p>
        </w:tc>
      </w:tr>
      <w:tr w:rsidR="002A5F36" w:rsidRPr="00830681" w:rsidTr="006A427F">
        <w:trPr>
          <w:trHeight w:val="20"/>
        </w:trPr>
        <w:tc>
          <w:tcPr>
            <w:cnfStyle w:val="001000000000" w:firstRow="0" w:lastRow="0" w:firstColumn="1" w:lastColumn="0" w:oddVBand="0" w:evenVBand="0" w:oddHBand="0" w:evenHBand="0" w:firstRowFirstColumn="0" w:firstRowLastColumn="0" w:lastRowFirstColumn="0" w:lastRowLastColumn="0"/>
            <w:tcW w:w="4536" w:type="dxa"/>
            <w:vAlign w:val="center"/>
          </w:tcPr>
          <w:p w:rsidR="002A5F36" w:rsidRPr="00BA108B" w:rsidRDefault="002A5F36">
            <w:pPr>
              <w:spacing w:after="200"/>
              <w:rPr>
                <w:b w:val="0"/>
                <w:sz w:val="18"/>
              </w:rPr>
            </w:pPr>
            <w:r w:rsidRPr="00BA108B">
              <w:rPr>
                <w:b w:val="0"/>
                <w:sz w:val="18"/>
              </w:rPr>
              <w:t>Capital Financing</w:t>
            </w:r>
          </w:p>
        </w:tc>
        <w:tc>
          <w:tcPr>
            <w:tcW w:w="1418" w:type="dxa"/>
            <w:vAlign w:val="bottom"/>
          </w:tcPr>
          <w:p w:rsidR="002A5F36" w:rsidRPr="00BA108B" w:rsidRDefault="006A427F" w:rsidP="005D7300">
            <w:pPr>
              <w:spacing w:after="200"/>
              <w:jc w:val="right"/>
              <w:cnfStyle w:val="000000000000" w:firstRow="0" w:lastRow="0" w:firstColumn="0" w:lastColumn="0" w:oddVBand="0" w:evenVBand="0" w:oddHBand="0" w:evenHBand="0" w:firstRowFirstColumn="0" w:firstRowLastColumn="0" w:lastRowFirstColumn="0" w:lastRowLastColumn="0"/>
              <w:rPr>
                <w:sz w:val="18"/>
              </w:rPr>
            </w:pPr>
            <w:r w:rsidRPr="00BA108B">
              <w:rPr>
                <w:sz w:val="18"/>
              </w:rPr>
              <w:t>18,915</w:t>
            </w:r>
          </w:p>
        </w:tc>
        <w:tc>
          <w:tcPr>
            <w:tcW w:w="1418" w:type="dxa"/>
            <w:vAlign w:val="bottom"/>
          </w:tcPr>
          <w:p w:rsidR="002A5F36" w:rsidRPr="00BA108B" w:rsidRDefault="005D7300" w:rsidP="005D7300">
            <w:pPr>
              <w:spacing w:after="200"/>
              <w:jc w:val="right"/>
              <w:cnfStyle w:val="000000000000" w:firstRow="0" w:lastRow="0" w:firstColumn="0" w:lastColumn="0" w:oddVBand="0" w:evenVBand="0" w:oddHBand="0" w:evenHBand="0" w:firstRowFirstColumn="0" w:firstRowLastColumn="0" w:lastRowFirstColumn="0" w:lastRowLastColumn="0"/>
              <w:rPr>
                <w:sz w:val="18"/>
              </w:rPr>
            </w:pPr>
            <w:r w:rsidRPr="00BA108B">
              <w:rPr>
                <w:sz w:val="18"/>
              </w:rPr>
              <w:t>0</w:t>
            </w:r>
          </w:p>
        </w:tc>
        <w:tc>
          <w:tcPr>
            <w:tcW w:w="1418" w:type="dxa"/>
            <w:vAlign w:val="bottom"/>
          </w:tcPr>
          <w:p w:rsidR="002A5F36" w:rsidRPr="00BA108B" w:rsidRDefault="00D570E8" w:rsidP="005D7300">
            <w:pPr>
              <w:spacing w:after="200"/>
              <w:jc w:val="right"/>
              <w:cnfStyle w:val="000000000000" w:firstRow="0" w:lastRow="0" w:firstColumn="0" w:lastColumn="0" w:oddVBand="0" w:evenVBand="0" w:oddHBand="0" w:evenHBand="0" w:firstRowFirstColumn="0" w:firstRowLastColumn="0" w:lastRowFirstColumn="0" w:lastRowLastColumn="0"/>
              <w:rPr>
                <w:sz w:val="18"/>
              </w:rPr>
            </w:pPr>
            <w:r>
              <w:rPr>
                <w:sz w:val="18"/>
              </w:rPr>
              <w:t>8,169</w:t>
            </w:r>
          </w:p>
        </w:tc>
      </w:tr>
      <w:tr w:rsidR="002A5F36" w:rsidRPr="00830681" w:rsidTr="006A42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6" w:type="dxa"/>
            <w:vAlign w:val="center"/>
          </w:tcPr>
          <w:p w:rsidR="002A5F36" w:rsidRPr="00BA108B" w:rsidRDefault="002A5F36">
            <w:pPr>
              <w:spacing w:after="200"/>
              <w:rPr>
                <w:b w:val="0"/>
                <w:sz w:val="18"/>
              </w:rPr>
            </w:pPr>
            <w:r w:rsidRPr="00BA108B">
              <w:rPr>
                <w:b w:val="0"/>
                <w:sz w:val="18"/>
              </w:rPr>
              <w:t>External Income</w:t>
            </w:r>
          </w:p>
        </w:tc>
        <w:tc>
          <w:tcPr>
            <w:tcW w:w="1418" w:type="dxa"/>
            <w:vAlign w:val="bottom"/>
          </w:tcPr>
          <w:p w:rsidR="002A5F36" w:rsidRPr="00BA108B" w:rsidRDefault="006A427F" w:rsidP="005D7300">
            <w:pPr>
              <w:spacing w:after="200"/>
              <w:jc w:val="right"/>
              <w:cnfStyle w:val="000000100000" w:firstRow="0" w:lastRow="0" w:firstColumn="0" w:lastColumn="0" w:oddVBand="0" w:evenVBand="0" w:oddHBand="1" w:evenHBand="0" w:firstRowFirstColumn="0" w:firstRowLastColumn="0" w:lastRowFirstColumn="0" w:lastRowLastColumn="0"/>
              <w:rPr>
                <w:sz w:val="18"/>
              </w:rPr>
            </w:pPr>
            <w:r w:rsidRPr="00BA108B">
              <w:rPr>
                <w:sz w:val="18"/>
              </w:rPr>
              <w:t>-15</w:t>
            </w:r>
            <w:r w:rsidR="00E950A0">
              <w:rPr>
                <w:sz w:val="18"/>
              </w:rPr>
              <w:t>8</w:t>
            </w:r>
            <w:r w:rsidRPr="00BA108B">
              <w:rPr>
                <w:sz w:val="18"/>
              </w:rPr>
              <w:t>,615</w:t>
            </w:r>
          </w:p>
        </w:tc>
        <w:tc>
          <w:tcPr>
            <w:tcW w:w="1418" w:type="dxa"/>
            <w:vAlign w:val="bottom"/>
          </w:tcPr>
          <w:p w:rsidR="002A5F36" w:rsidRPr="00BA108B" w:rsidRDefault="005D7300" w:rsidP="005D7300">
            <w:pPr>
              <w:spacing w:after="200"/>
              <w:jc w:val="right"/>
              <w:cnfStyle w:val="000000100000" w:firstRow="0" w:lastRow="0" w:firstColumn="0" w:lastColumn="0" w:oddVBand="0" w:evenVBand="0" w:oddHBand="1" w:evenHBand="0" w:firstRowFirstColumn="0" w:firstRowLastColumn="0" w:lastRowFirstColumn="0" w:lastRowLastColumn="0"/>
              <w:rPr>
                <w:sz w:val="18"/>
              </w:rPr>
            </w:pPr>
            <w:r w:rsidRPr="00BA108B">
              <w:rPr>
                <w:sz w:val="18"/>
              </w:rPr>
              <w:t>-110,940</w:t>
            </w:r>
          </w:p>
        </w:tc>
        <w:tc>
          <w:tcPr>
            <w:tcW w:w="1418" w:type="dxa"/>
            <w:vAlign w:val="bottom"/>
          </w:tcPr>
          <w:p w:rsidR="002A5F36" w:rsidRPr="00BA108B" w:rsidRDefault="002B08D3" w:rsidP="005D7300">
            <w:pPr>
              <w:spacing w:after="200"/>
              <w:jc w:val="right"/>
              <w:cnfStyle w:val="000000100000" w:firstRow="0" w:lastRow="0" w:firstColumn="0" w:lastColumn="0" w:oddVBand="0" w:evenVBand="0" w:oddHBand="1" w:evenHBand="0" w:firstRowFirstColumn="0" w:firstRowLastColumn="0" w:lastRowFirstColumn="0" w:lastRowLastColumn="0"/>
              <w:rPr>
                <w:sz w:val="18"/>
              </w:rPr>
            </w:pPr>
            <w:r w:rsidRPr="00BA108B">
              <w:rPr>
                <w:sz w:val="18"/>
              </w:rPr>
              <w:t>-5</w:t>
            </w:r>
            <w:r w:rsidR="00D570E8">
              <w:rPr>
                <w:sz w:val="18"/>
              </w:rPr>
              <w:t>4,710</w:t>
            </w:r>
          </w:p>
        </w:tc>
      </w:tr>
      <w:tr w:rsidR="002A5F36" w:rsidRPr="00830681" w:rsidTr="006A427F">
        <w:trPr>
          <w:trHeight w:val="20"/>
        </w:trPr>
        <w:tc>
          <w:tcPr>
            <w:cnfStyle w:val="001000000000" w:firstRow="0" w:lastRow="0" w:firstColumn="1" w:lastColumn="0" w:oddVBand="0" w:evenVBand="0" w:oddHBand="0" w:evenHBand="0" w:firstRowFirstColumn="0" w:firstRowLastColumn="0" w:lastRowFirstColumn="0" w:lastRowLastColumn="0"/>
            <w:tcW w:w="4536" w:type="dxa"/>
            <w:vAlign w:val="center"/>
          </w:tcPr>
          <w:p w:rsidR="002A5F36" w:rsidRPr="00BA108B" w:rsidRDefault="002A5F36">
            <w:pPr>
              <w:spacing w:after="200"/>
              <w:rPr>
                <w:b w:val="0"/>
                <w:sz w:val="18"/>
              </w:rPr>
            </w:pPr>
            <w:r w:rsidRPr="00BA108B">
              <w:rPr>
                <w:b w:val="0"/>
                <w:sz w:val="18"/>
              </w:rPr>
              <w:t>Ring-Fenced Uplift Grant</w:t>
            </w:r>
          </w:p>
        </w:tc>
        <w:tc>
          <w:tcPr>
            <w:tcW w:w="1418" w:type="dxa"/>
            <w:vAlign w:val="bottom"/>
          </w:tcPr>
          <w:p w:rsidR="002A5F36" w:rsidRPr="00BA108B" w:rsidRDefault="006A427F" w:rsidP="005D7300">
            <w:pPr>
              <w:spacing w:after="200"/>
              <w:jc w:val="right"/>
              <w:cnfStyle w:val="000000000000" w:firstRow="0" w:lastRow="0" w:firstColumn="0" w:lastColumn="0" w:oddVBand="0" w:evenVBand="0" w:oddHBand="0" w:evenHBand="0" w:firstRowFirstColumn="0" w:firstRowLastColumn="0" w:lastRowFirstColumn="0" w:lastRowLastColumn="0"/>
              <w:rPr>
                <w:sz w:val="18"/>
              </w:rPr>
            </w:pPr>
            <w:r w:rsidRPr="00BA108B">
              <w:rPr>
                <w:sz w:val="18"/>
              </w:rPr>
              <w:t>-8,242</w:t>
            </w:r>
          </w:p>
        </w:tc>
        <w:tc>
          <w:tcPr>
            <w:tcW w:w="1418" w:type="dxa"/>
            <w:vAlign w:val="bottom"/>
          </w:tcPr>
          <w:p w:rsidR="002A5F36" w:rsidRPr="00BA108B" w:rsidRDefault="005D7300" w:rsidP="005D7300">
            <w:pPr>
              <w:spacing w:after="200"/>
              <w:jc w:val="right"/>
              <w:cnfStyle w:val="000000000000" w:firstRow="0" w:lastRow="0" w:firstColumn="0" w:lastColumn="0" w:oddVBand="0" w:evenVBand="0" w:oddHBand="0" w:evenHBand="0" w:firstRowFirstColumn="0" w:firstRowLastColumn="0" w:lastRowFirstColumn="0" w:lastRowLastColumn="0"/>
              <w:rPr>
                <w:sz w:val="18"/>
              </w:rPr>
            </w:pPr>
            <w:r w:rsidRPr="00BA108B">
              <w:rPr>
                <w:sz w:val="18"/>
              </w:rPr>
              <w:t>0</w:t>
            </w:r>
          </w:p>
        </w:tc>
        <w:tc>
          <w:tcPr>
            <w:tcW w:w="1418" w:type="dxa"/>
            <w:vAlign w:val="bottom"/>
          </w:tcPr>
          <w:p w:rsidR="002A5F36" w:rsidRPr="00BA108B" w:rsidRDefault="002B08D3" w:rsidP="005D7300">
            <w:pPr>
              <w:spacing w:after="200"/>
              <w:jc w:val="right"/>
              <w:cnfStyle w:val="000000000000" w:firstRow="0" w:lastRow="0" w:firstColumn="0" w:lastColumn="0" w:oddVBand="0" w:evenVBand="0" w:oddHBand="0" w:evenHBand="0" w:firstRowFirstColumn="0" w:firstRowLastColumn="0" w:lastRowFirstColumn="0" w:lastRowLastColumn="0"/>
              <w:rPr>
                <w:sz w:val="18"/>
              </w:rPr>
            </w:pPr>
            <w:r w:rsidRPr="00BA108B">
              <w:rPr>
                <w:sz w:val="18"/>
              </w:rPr>
              <w:t>-16,790</w:t>
            </w:r>
          </w:p>
        </w:tc>
      </w:tr>
      <w:tr w:rsidR="002A5F36" w:rsidRPr="00830681" w:rsidTr="006A42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6" w:type="dxa"/>
            <w:vAlign w:val="center"/>
          </w:tcPr>
          <w:p w:rsidR="002A5F36" w:rsidRPr="00BA108B" w:rsidRDefault="002A5F36">
            <w:pPr>
              <w:spacing w:after="200"/>
              <w:rPr>
                <w:b w:val="0"/>
                <w:sz w:val="18"/>
              </w:rPr>
            </w:pPr>
            <w:r w:rsidRPr="00BA108B">
              <w:rPr>
                <w:b w:val="0"/>
                <w:sz w:val="18"/>
              </w:rPr>
              <w:t>Police Pension Grant</w:t>
            </w:r>
          </w:p>
        </w:tc>
        <w:tc>
          <w:tcPr>
            <w:tcW w:w="1418" w:type="dxa"/>
            <w:vAlign w:val="bottom"/>
          </w:tcPr>
          <w:p w:rsidR="002A5F36" w:rsidRPr="00BA108B" w:rsidRDefault="006A427F" w:rsidP="005D7300">
            <w:pPr>
              <w:spacing w:after="200"/>
              <w:jc w:val="right"/>
              <w:cnfStyle w:val="000000100000" w:firstRow="0" w:lastRow="0" w:firstColumn="0" w:lastColumn="0" w:oddVBand="0" w:evenVBand="0" w:oddHBand="1" w:evenHBand="0" w:firstRowFirstColumn="0" w:firstRowLastColumn="0" w:lastRowFirstColumn="0" w:lastRowLastColumn="0"/>
              <w:rPr>
                <w:sz w:val="18"/>
              </w:rPr>
            </w:pPr>
            <w:r w:rsidRPr="00BA108B">
              <w:rPr>
                <w:sz w:val="18"/>
              </w:rPr>
              <w:t>-6,965</w:t>
            </w:r>
          </w:p>
        </w:tc>
        <w:tc>
          <w:tcPr>
            <w:tcW w:w="1418" w:type="dxa"/>
            <w:vAlign w:val="bottom"/>
          </w:tcPr>
          <w:p w:rsidR="002A5F36" w:rsidRPr="00BA108B" w:rsidRDefault="005D7300" w:rsidP="005D7300">
            <w:pPr>
              <w:spacing w:after="200"/>
              <w:jc w:val="right"/>
              <w:cnfStyle w:val="000000100000" w:firstRow="0" w:lastRow="0" w:firstColumn="0" w:lastColumn="0" w:oddVBand="0" w:evenVBand="0" w:oddHBand="1" w:evenHBand="0" w:firstRowFirstColumn="0" w:firstRowLastColumn="0" w:lastRowFirstColumn="0" w:lastRowLastColumn="0"/>
              <w:rPr>
                <w:sz w:val="18"/>
              </w:rPr>
            </w:pPr>
            <w:r w:rsidRPr="00BA108B">
              <w:rPr>
                <w:sz w:val="18"/>
              </w:rPr>
              <w:t>0</w:t>
            </w:r>
          </w:p>
        </w:tc>
        <w:tc>
          <w:tcPr>
            <w:tcW w:w="1418" w:type="dxa"/>
            <w:vAlign w:val="bottom"/>
          </w:tcPr>
          <w:p w:rsidR="002A5F36" w:rsidRPr="00BA108B" w:rsidRDefault="002B08D3" w:rsidP="005D7300">
            <w:pPr>
              <w:spacing w:after="200"/>
              <w:jc w:val="right"/>
              <w:cnfStyle w:val="000000100000" w:firstRow="0" w:lastRow="0" w:firstColumn="0" w:lastColumn="0" w:oddVBand="0" w:evenVBand="0" w:oddHBand="1" w:evenHBand="0" w:firstRowFirstColumn="0" w:firstRowLastColumn="0" w:lastRowFirstColumn="0" w:lastRowLastColumn="0"/>
              <w:rPr>
                <w:sz w:val="18"/>
              </w:rPr>
            </w:pPr>
            <w:r w:rsidRPr="00BA108B">
              <w:rPr>
                <w:sz w:val="18"/>
              </w:rPr>
              <w:t>-6,965</w:t>
            </w:r>
          </w:p>
        </w:tc>
      </w:tr>
      <w:tr w:rsidR="002A5F36" w:rsidRPr="00830681" w:rsidTr="006A427F">
        <w:trPr>
          <w:trHeight w:val="20"/>
        </w:trPr>
        <w:tc>
          <w:tcPr>
            <w:cnfStyle w:val="001000000000" w:firstRow="0" w:lastRow="0" w:firstColumn="1" w:lastColumn="0" w:oddVBand="0" w:evenVBand="0" w:oddHBand="0" w:evenHBand="0" w:firstRowFirstColumn="0" w:firstRowLastColumn="0" w:lastRowFirstColumn="0" w:lastRowLastColumn="0"/>
            <w:tcW w:w="4536" w:type="dxa"/>
            <w:vAlign w:val="center"/>
          </w:tcPr>
          <w:p w:rsidR="002A5F36" w:rsidRPr="00BA108B" w:rsidRDefault="006A427F">
            <w:pPr>
              <w:spacing w:after="200"/>
              <w:rPr>
                <w:b w:val="0"/>
                <w:sz w:val="18"/>
              </w:rPr>
            </w:pPr>
            <w:r w:rsidRPr="00BA108B">
              <w:rPr>
                <w:b w:val="0"/>
                <w:sz w:val="18"/>
              </w:rPr>
              <w:t>Change Programme including Estates Strategy</w:t>
            </w:r>
          </w:p>
        </w:tc>
        <w:tc>
          <w:tcPr>
            <w:tcW w:w="1418" w:type="dxa"/>
            <w:vAlign w:val="bottom"/>
          </w:tcPr>
          <w:p w:rsidR="002A5F36" w:rsidRPr="00BA108B" w:rsidRDefault="006A427F" w:rsidP="005D7300">
            <w:pPr>
              <w:spacing w:after="200"/>
              <w:jc w:val="right"/>
              <w:cnfStyle w:val="000000000000" w:firstRow="0" w:lastRow="0" w:firstColumn="0" w:lastColumn="0" w:oddVBand="0" w:evenVBand="0" w:oddHBand="0" w:evenHBand="0" w:firstRowFirstColumn="0" w:firstRowLastColumn="0" w:lastRowFirstColumn="0" w:lastRowLastColumn="0"/>
              <w:rPr>
                <w:sz w:val="18"/>
              </w:rPr>
            </w:pPr>
            <w:r w:rsidRPr="00BA108B">
              <w:rPr>
                <w:sz w:val="18"/>
              </w:rPr>
              <w:t>12,380</w:t>
            </w:r>
          </w:p>
        </w:tc>
        <w:tc>
          <w:tcPr>
            <w:tcW w:w="1418" w:type="dxa"/>
            <w:vAlign w:val="bottom"/>
          </w:tcPr>
          <w:p w:rsidR="002A5F36" w:rsidRPr="00BA108B" w:rsidRDefault="005D7300" w:rsidP="005D7300">
            <w:pPr>
              <w:spacing w:after="200"/>
              <w:jc w:val="right"/>
              <w:cnfStyle w:val="000000000000" w:firstRow="0" w:lastRow="0" w:firstColumn="0" w:lastColumn="0" w:oddVBand="0" w:evenVBand="0" w:oddHBand="0" w:evenHBand="0" w:firstRowFirstColumn="0" w:firstRowLastColumn="0" w:lastRowFirstColumn="0" w:lastRowLastColumn="0"/>
              <w:rPr>
                <w:sz w:val="18"/>
              </w:rPr>
            </w:pPr>
            <w:r w:rsidRPr="00BA108B">
              <w:rPr>
                <w:sz w:val="18"/>
              </w:rPr>
              <w:t>0</w:t>
            </w:r>
          </w:p>
        </w:tc>
        <w:tc>
          <w:tcPr>
            <w:tcW w:w="1418" w:type="dxa"/>
            <w:vAlign w:val="bottom"/>
          </w:tcPr>
          <w:p w:rsidR="002A5F36" w:rsidRPr="00BA108B" w:rsidRDefault="00D570E8" w:rsidP="005D7300">
            <w:pPr>
              <w:spacing w:after="200"/>
              <w:jc w:val="right"/>
              <w:cnfStyle w:val="000000000000" w:firstRow="0" w:lastRow="0" w:firstColumn="0" w:lastColumn="0" w:oddVBand="0" w:evenVBand="0" w:oddHBand="0" w:evenHBand="0" w:firstRowFirstColumn="0" w:firstRowLastColumn="0" w:lastRowFirstColumn="0" w:lastRowLastColumn="0"/>
              <w:rPr>
                <w:sz w:val="18"/>
              </w:rPr>
            </w:pPr>
            <w:r>
              <w:rPr>
                <w:sz w:val="18"/>
              </w:rPr>
              <w:t>12,509</w:t>
            </w:r>
          </w:p>
        </w:tc>
      </w:tr>
      <w:tr w:rsidR="002A5F36" w:rsidRPr="00830681" w:rsidTr="006A42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6" w:type="dxa"/>
            <w:vAlign w:val="center"/>
          </w:tcPr>
          <w:p w:rsidR="002A5F36" w:rsidRPr="00BA108B" w:rsidRDefault="006A427F">
            <w:pPr>
              <w:spacing w:after="200"/>
              <w:rPr>
                <w:sz w:val="18"/>
              </w:rPr>
            </w:pPr>
            <w:r w:rsidRPr="00BA108B">
              <w:rPr>
                <w:sz w:val="18"/>
              </w:rPr>
              <w:t>Police Force</w:t>
            </w:r>
          </w:p>
        </w:tc>
        <w:tc>
          <w:tcPr>
            <w:tcW w:w="1418" w:type="dxa"/>
            <w:vAlign w:val="bottom"/>
          </w:tcPr>
          <w:p w:rsidR="002A5F36" w:rsidRPr="00BA108B" w:rsidRDefault="006A427F" w:rsidP="005D7300">
            <w:pPr>
              <w:spacing w:after="200"/>
              <w:jc w:val="right"/>
              <w:cnfStyle w:val="000000100000" w:firstRow="0" w:lastRow="0" w:firstColumn="0" w:lastColumn="0" w:oddVBand="0" w:evenVBand="0" w:oddHBand="1" w:evenHBand="0" w:firstRowFirstColumn="0" w:firstRowLastColumn="0" w:lastRowFirstColumn="0" w:lastRowLastColumn="0"/>
              <w:rPr>
                <w:b/>
                <w:sz w:val="18"/>
              </w:rPr>
            </w:pPr>
            <w:r w:rsidRPr="00BA108B">
              <w:rPr>
                <w:b/>
                <w:sz w:val="18"/>
              </w:rPr>
              <w:t>67</w:t>
            </w:r>
            <w:r w:rsidR="00E950A0">
              <w:rPr>
                <w:b/>
                <w:sz w:val="18"/>
              </w:rPr>
              <w:t>7</w:t>
            </w:r>
            <w:r w:rsidRPr="00BA108B">
              <w:rPr>
                <w:b/>
                <w:sz w:val="18"/>
              </w:rPr>
              <w:t>,896</w:t>
            </w:r>
          </w:p>
        </w:tc>
        <w:tc>
          <w:tcPr>
            <w:tcW w:w="1418" w:type="dxa"/>
            <w:vAlign w:val="bottom"/>
          </w:tcPr>
          <w:p w:rsidR="002A5F36" w:rsidRPr="00BA108B" w:rsidRDefault="005D7300" w:rsidP="005D7300">
            <w:pPr>
              <w:spacing w:after="200"/>
              <w:jc w:val="right"/>
              <w:cnfStyle w:val="000000100000" w:firstRow="0" w:lastRow="0" w:firstColumn="0" w:lastColumn="0" w:oddVBand="0" w:evenVBand="0" w:oddHBand="1" w:evenHBand="0" w:firstRowFirstColumn="0" w:firstRowLastColumn="0" w:lastRowFirstColumn="0" w:lastRowLastColumn="0"/>
              <w:rPr>
                <w:b/>
                <w:sz w:val="18"/>
              </w:rPr>
            </w:pPr>
            <w:r w:rsidRPr="00BA108B">
              <w:rPr>
                <w:b/>
                <w:sz w:val="18"/>
              </w:rPr>
              <w:t>0</w:t>
            </w:r>
          </w:p>
        </w:tc>
        <w:tc>
          <w:tcPr>
            <w:tcW w:w="1418" w:type="dxa"/>
            <w:vAlign w:val="bottom"/>
          </w:tcPr>
          <w:p w:rsidR="002A5F36" w:rsidRPr="00BA108B" w:rsidRDefault="00D50B0C" w:rsidP="005D7300">
            <w:pPr>
              <w:spacing w:after="200"/>
              <w:jc w:val="right"/>
              <w:cnfStyle w:val="000000100000" w:firstRow="0" w:lastRow="0" w:firstColumn="0" w:lastColumn="0" w:oddVBand="0" w:evenVBand="0" w:oddHBand="1" w:evenHBand="0" w:firstRowFirstColumn="0" w:firstRowLastColumn="0" w:lastRowFirstColumn="0" w:lastRowLastColumn="0"/>
              <w:rPr>
                <w:b/>
                <w:sz w:val="18"/>
              </w:rPr>
            </w:pPr>
            <w:r w:rsidRPr="00BA108B">
              <w:rPr>
                <w:b/>
                <w:sz w:val="18"/>
              </w:rPr>
              <w:t>700,35</w:t>
            </w:r>
            <w:r w:rsidR="00D570E8">
              <w:rPr>
                <w:b/>
                <w:sz w:val="18"/>
              </w:rPr>
              <w:t>2</w:t>
            </w:r>
          </w:p>
        </w:tc>
      </w:tr>
      <w:tr w:rsidR="002A5F36" w:rsidRPr="00830681" w:rsidTr="006A427F">
        <w:trPr>
          <w:trHeight w:val="20"/>
        </w:trPr>
        <w:tc>
          <w:tcPr>
            <w:cnfStyle w:val="001000000000" w:firstRow="0" w:lastRow="0" w:firstColumn="1" w:lastColumn="0" w:oddVBand="0" w:evenVBand="0" w:oddHBand="0" w:evenHBand="0" w:firstRowFirstColumn="0" w:firstRowLastColumn="0" w:lastRowFirstColumn="0" w:lastRowLastColumn="0"/>
            <w:tcW w:w="4536" w:type="dxa"/>
            <w:vAlign w:val="center"/>
          </w:tcPr>
          <w:p w:rsidR="002A5F36" w:rsidRPr="00BA108B" w:rsidRDefault="006A427F">
            <w:pPr>
              <w:spacing w:after="200"/>
              <w:rPr>
                <w:b w:val="0"/>
                <w:sz w:val="18"/>
              </w:rPr>
            </w:pPr>
            <w:r w:rsidRPr="00BA108B">
              <w:rPr>
                <w:b w:val="0"/>
                <w:sz w:val="18"/>
              </w:rPr>
              <w:t>Office of Police and Crime Commissioner</w:t>
            </w:r>
          </w:p>
        </w:tc>
        <w:tc>
          <w:tcPr>
            <w:tcW w:w="1418" w:type="dxa"/>
            <w:vAlign w:val="bottom"/>
          </w:tcPr>
          <w:p w:rsidR="002A5F36" w:rsidRPr="00BA108B" w:rsidRDefault="006A427F" w:rsidP="005D7300">
            <w:pPr>
              <w:spacing w:after="200"/>
              <w:jc w:val="right"/>
              <w:cnfStyle w:val="000000000000" w:firstRow="0" w:lastRow="0" w:firstColumn="0" w:lastColumn="0" w:oddVBand="0" w:evenVBand="0" w:oddHBand="0" w:evenHBand="0" w:firstRowFirstColumn="0" w:firstRowLastColumn="0" w:lastRowFirstColumn="0" w:lastRowLastColumn="0"/>
              <w:rPr>
                <w:sz w:val="18"/>
              </w:rPr>
            </w:pPr>
            <w:r w:rsidRPr="00BA108B">
              <w:rPr>
                <w:sz w:val="18"/>
              </w:rPr>
              <w:t>2,945</w:t>
            </w:r>
          </w:p>
        </w:tc>
        <w:tc>
          <w:tcPr>
            <w:tcW w:w="1418" w:type="dxa"/>
            <w:vAlign w:val="bottom"/>
          </w:tcPr>
          <w:p w:rsidR="002A5F36" w:rsidRPr="00BA108B" w:rsidRDefault="005D7300" w:rsidP="005D7300">
            <w:pPr>
              <w:spacing w:after="200"/>
              <w:jc w:val="right"/>
              <w:cnfStyle w:val="000000000000" w:firstRow="0" w:lastRow="0" w:firstColumn="0" w:lastColumn="0" w:oddVBand="0" w:evenVBand="0" w:oddHBand="0" w:evenHBand="0" w:firstRowFirstColumn="0" w:firstRowLastColumn="0" w:lastRowFirstColumn="0" w:lastRowLastColumn="0"/>
              <w:rPr>
                <w:sz w:val="18"/>
              </w:rPr>
            </w:pPr>
            <w:r w:rsidRPr="00BA108B">
              <w:rPr>
                <w:sz w:val="18"/>
              </w:rPr>
              <w:t>0</w:t>
            </w:r>
          </w:p>
        </w:tc>
        <w:tc>
          <w:tcPr>
            <w:tcW w:w="1418" w:type="dxa"/>
            <w:vAlign w:val="bottom"/>
          </w:tcPr>
          <w:p w:rsidR="002A5F36" w:rsidRPr="00BA108B" w:rsidRDefault="00EC3D71" w:rsidP="005D7300">
            <w:pPr>
              <w:spacing w:after="200"/>
              <w:jc w:val="right"/>
              <w:cnfStyle w:val="000000000000" w:firstRow="0" w:lastRow="0" w:firstColumn="0" w:lastColumn="0" w:oddVBand="0" w:evenVBand="0" w:oddHBand="0" w:evenHBand="0" w:firstRowFirstColumn="0" w:firstRowLastColumn="0" w:lastRowFirstColumn="0" w:lastRowLastColumn="0"/>
              <w:rPr>
                <w:sz w:val="18"/>
              </w:rPr>
            </w:pPr>
            <w:r w:rsidRPr="00BA108B">
              <w:rPr>
                <w:sz w:val="18"/>
              </w:rPr>
              <w:t>2,821</w:t>
            </w:r>
          </w:p>
        </w:tc>
      </w:tr>
      <w:tr w:rsidR="002A5F36" w:rsidRPr="00830681" w:rsidTr="006A42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6" w:type="dxa"/>
            <w:vAlign w:val="center"/>
          </w:tcPr>
          <w:p w:rsidR="002A5F36" w:rsidRPr="00BA108B" w:rsidRDefault="006A427F">
            <w:pPr>
              <w:spacing w:after="200"/>
              <w:rPr>
                <w:b w:val="0"/>
                <w:sz w:val="18"/>
              </w:rPr>
            </w:pPr>
            <w:r w:rsidRPr="00BA108B">
              <w:rPr>
                <w:b w:val="0"/>
                <w:sz w:val="18"/>
              </w:rPr>
              <w:t>Community Safety Funding</w:t>
            </w:r>
          </w:p>
        </w:tc>
        <w:tc>
          <w:tcPr>
            <w:tcW w:w="1418" w:type="dxa"/>
            <w:vAlign w:val="bottom"/>
          </w:tcPr>
          <w:p w:rsidR="002A5F36" w:rsidRPr="00BA108B" w:rsidRDefault="006A427F" w:rsidP="005D7300">
            <w:pPr>
              <w:spacing w:after="200"/>
              <w:jc w:val="right"/>
              <w:cnfStyle w:val="000000100000" w:firstRow="0" w:lastRow="0" w:firstColumn="0" w:lastColumn="0" w:oddVBand="0" w:evenVBand="0" w:oddHBand="1" w:evenHBand="0" w:firstRowFirstColumn="0" w:firstRowLastColumn="0" w:lastRowFirstColumn="0" w:lastRowLastColumn="0"/>
              <w:rPr>
                <w:sz w:val="18"/>
              </w:rPr>
            </w:pPr>
            <w:r w:rsidRPr="00BA108B">
              <w:rPr>
                <w:sz w:val="18"/>
              </w:rPr>
              <w:t>3,863</w:t>
            </w:r>
          </w:p>
        </w:tc>
        <w:tc>
          <w:tcPr>
            <w:tcW w:w="1418" w:type="dxa"/>
            <w:vAlign w:val="bottom"/>
          </w:tcPr>
          <w:p w:rsidR="002A5F36" w:rsidRPr="00BA108B" w:rsidRDefault="005D7300" w:rsidP="005D7300">
            <w:pPr>
              <w:spacing w:after="200"/>
              <w:jc w:val="right"/>
              <w:cnfStyle w:val="000000100000" w:firstRow="0" w:lastRow="0" w:firstColumn="0" w:lastColumn="0" w:oddVBand="0" w:evenVBand="0" w:oddHBand="1" w:evenHBand="0" w:firstRowFirstColumn="0" w:firstRowLastColumn="0" w:lastRowFirstColumn="0" w:lastRowLastColumn="0"/>
              <w:rPr>
                <w:sz w:val="18"/>
              </w:rPr>
            </w:pPr>
            <w:r w:rsidRPr="00BA108B">
              <w:rPr>
                <w:sz w:val="18"/>
              </w:rPr>
              <w:t>0</w:t>
            </w:r>
          </w:p>
        </w:tc>
        <w:tc>
          <w:tcPr>
            <w:tcW w:w="1418" w:type="dxa"/>
            <w:vAlign w:val="bottom"/>
          </w:tcPr>
          <w:p w:rsidR="002A5F36" w:rsidRPr="00BA108B" w:rsidRDefault="005D7300" w:rsidP="005D7300">
            <w:pPr>
              <w:spacing w:after="200"/>
              <w:jc w:val="right"/>
              <w:cnfStyle w:val="000000100000" w:firstRow="0" w:lastRow="0" w:firstColumn="0" w:lastColumn="0" w:oddVBand="0" w:evenVBand="0" w:oddHBand="1" w:evenHBand="0" w:firstRowFirstColumn="0" w:firstRowLastColumn="0" w:lastRowFirstColumn="0" w:lastRowLastColumn="0"/>
              <w:rPr>
                <w:sz w:val="18"/>
              </w:rPr>
            </w:pPr>
            <w:r w:rsidRPr="00BA108B">
              <w:rPr>
                <w:sz w:val="18"/>
              </w:rPr>
              <w:t>3,863</w:t>
            </w:r>
          </w:p>
        </w:tc>
      </w:tr>
      <w:tr w:rsidR="002A5F36" w:rsidRPr="00830681" w:rsidTr="006A427F">
        <w:trPr>
          <w:trHeight w:val="20"/>
        </w:trPr>
        <w:tc>
          <w:tcPr>
            <w:cnfStyle w:val="001000000000" w:firstRow="0" w:lastRow="0" w:firstColumn="1" w:lastColumn="0" w:oddVBand="0" w:evenVBand="0" w:oddHBand="0" w:evenHBand="0" w:firstRowFirstColumn="0" w:firstRowLastColumn="0" w:lastRowFirstColumn="0" w:lastRowLastColumn="0"/>
            <w:tcW w:w="4536" w:type="dxa"/>
            <w:vAlign w:val="center"/>
          </w:tcPr>
          <w:p w:rsidR="002A5F36" w:rsidRPr="00BA108B" w:rsidRDefault="00946830">
            <w:pPr>
              <w:spacing w:after="200"/>
              <w:rPr>
                <w:b w:val="0"/>
                <w:sz w:val="18"/>
              </w:rPr>
            </w:pPr>
            <w:r w:rsidRPr="00BA108B">
              <w:rPr>
                <w:b w:val="0"/>
                <w:sz w:val="18"/>
              </w:rPr>
              <w:t>Helping Communities Fund</w:t>
            </w:r>
          </w:p>
        </w:tc>
        <w:tc>
          <w:tcPr>
            <w:tcW w:w="1418" w:type="dxa"/>
            <w:vAlign w:val="bottom"/>
          </w:tcPr>
          <w:p w:rsidR="002A5F36" w:rsidRPr="00BA108B" w:rsidRDefault="006A427F" w:rsidP="005D7300">
            <w:pPr>
              <w:spacing w:after="200"/>
              <w:jc w:val="right"/>
              <w:cnfStyle w:val="000000000000" w:firstRow="0" w:lastRow="0" w:firstColumn="0" w:lastColumn="0" w:oddVBand="0" w:evenVBand="0" w:oddHBand="0" w:evenHBand="0" w:firstRowFirstColumn="0" w:firstRowLastColumn="0" w:lastRowFirstColumn="0" w:lastRowLastColumn="0"/>
              <w:rPr>
                <w:sz w:val="18"/>
              </w:rPr>
            </w:pPr>
            <w:r w:rsidRPr="00BA108B">
              <w:rPr>
                <w:sz w:val="18"/>
              </w:rPr>
              <w:t>400</w:t>
            </w:r>
          </w:p>
        </w:tc>
        <w:tc>
          <w:tcPr>
            <w:tcW w:w="1418" w:type="dxa"/>
            <w:vAlign w:val="bottom"/>
          </w:tcPr>
          <w:p w:rsidR="002A5F36" w:rsidRPr="00BA108B" w:rsidRDefault="005D7300" w:rsidP="005D7300">
            <w:pPr>
              <w:spacing w:after="200"/>
              <w:jc w:val="right"/>
              <w:cnfStyle w:val="000000000000" w:firstRow="0" w:lastRow="0" w:firstColumn="0" w:lastColumn="0" w:oddVBand="0" w:evenVBand="0" w:oddHBand="0" w:evenHBand="0" w:firstRowFirstColumn="0" w:firstRowLastColumn="0" w:lastRowFirstColumn="0" w:lastRowLastColumn="0"/>
              <w:rPr>
                <w:sz w:val="18"/>
              </w:rPr>
            </w:pPr>
            <w:r w:rsidRPr="00BA108B">
              <w:rPr>
                <w:sz w:val="18"/>
              </w:rPr>
              <w:t>0</w:t>
            </w:r>
          </w:p>
        </w:tc>
        <w:tc>
          <w:tcPr>
            <w:tcW w:w="1418" w:type="dxa"/>
            <w:vAlign w:val="bottom"/>
          </w:tcPr>
          <w:p w:rsidR="002A5F36" w:rsidRPr="00BA108B" w:rsidRDefault="005D7300" w:rsidP="005D7300">
            <w:pPr>
              <w:spacing w:after="200"/>
              <w:jc w:val="right"/>
              <w:cnfStyle w:val="000000000000" w:firstRow="0" w:lastRow="0" w:firstColumn="0" w:lastColumn="0" w:oddVBand="0" w:evenVBand="0" w:oddHBand="0" w:evenHBand="0" w:firstRowFirstColumn="0" w:firstRowLastColumn="0" w:lastRowFirstColumn="0" w:lastRowLastColumn="0"/>
              <w:rPr>
                <w:sz w:val="18"/>
              </w:rPr>
            </w:pPr>
            <w:r w:rsidRPr="00BA108B">
              <w:rPr>
                <w:sz w:val="18"/>
              </w:rPr>
              <w:t>400</w:t>
            </w:r>
          </w:p>
        </w:tc>
      </w:tr>
      <w:tr w:rsidR="002A5F36" w:rsidRPr="00830681" w:rsidTr="006A42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6" w:type="dxa"/>
            <w:vAlign w:val="center"/>
          </w:tcPr>
          <w:p w:rsidR="002A5F36" w:rsidRPr="00BA108B" w:rsidRDefault="006A427F">
            <w:pPr>
              <w:spacing w:after="200"/>
              <w:rPr>
                <w:b w:val="0"/>
                <w:sz w:val="18"/>
              </w:rPr>
            </w:pPr>
            <w:r w:rsidRPr="00BA108B">
              <w:rPr>
                <w:b w:val="0"/>
                <w:sz w:val="18"/>
              </w:rPr>
              <w:t>External Commissioning</w:t>
            </w:r>
          </w:p>
        </w:tc>
        <w:tc>
          <w:tcPr>
            <w:tcW w:w="1418" w:type="dxa"/>
            <w:vAlign w:val="bottom"/>
          </w:tcPr>
          <w:p w:rsidR="002A5F36" w:rsidRPr="00BA108B" w:rsidRDefault="005D7300" w:rsidP="005D7300">
            <w:pPr>
              <w:spacing w:after="200"/>
              <w:jc w:val="right"/>
              <w:cnfStyle w:val="000000100000" w:firstRow="0" w:lastRow="0" w:firstColumn="0" w:lastColumn="0" w:oddVBand="0" w:evenVBand="0" w:oddHBand="1" w:evenHBand="0" w:firstRowFirstColumn="0" w:firstRowLastColumn="0" w:lastRowFirstColumn="0" w:lastRowLastColumn="0"/>
              <w:rPr>
                <w:sz w:val="18"/>
              </w:rPr>
            </w:pPr>
            <w:r w:rsidRPr="00BA108B">
              <w:rPr>
                <w:sz w:val="18"/>
              </w:rPr>
              <w:t>1,689</w:t>
            </w:r>
          </w:p>
        </w:tc>
        <w:tc>
          <w:tcPr>
            <w:tcW w:w="1418" w:type="dxa"/>
            <w:vAlign w:val="bottom"/>
          </w:tcPr>
          <w:p w:rsidR="002A5F36" w:rsidRPr="00BA108B" w:rsidRDefault="005D7300" w:rsidP="005D7300">
            <w:pPr>
              <w:spacing w:after="200"/>
              <w:jc w:val="right"/>
              <w:cnfStyle w:val="000000100000" w:firstRow="0" w:lastRow="0" w:firstColumn="0" w:lastColumn="0" w:oddVBand="0" w:evenVBand="0" w:oddHBand="1" w:evenHBand="0" w:firstRowFirstColumn="0" w:firstRowLastColumn="0" w:lastRowFirstColumn="0" w:lastRowLastColumn="0"/>
              <w:rPr>
                <w:sz w:val="18"/>
              </w:rPr>
            </w:pPr>
            <w:r w:rsidRPr="00BA108B">
              <w:rPr>
                <w:sz w:val="18"/>
              </w:rPr>
              <w:t>0</w:t>
            </w:r>
          </w:p>
        </w:tc>
        <w:tc>
          <w:tcPr>
            <w:tcW w:w="1418" w:type="dxa"/>
            <w:vAlign w:val="bottom"/>
          </w:tcPr>
          <w:p w:rsidR="002A5F36" w:rsidRPr="00BA108B" w:rsidRDefault="005D7300" w:rsidP="005D7300">
            <w:pPr>
              <w:spacing w:after="200"/>
              <w:jc w:val="right"/>
              <w:cnfStyle w:val="000000100000" w:firstRow="0" w:lastRow="0" w:firstColumn="0" w:lastColumn="0" w:oddVBand="0" w:evenVBand="0" w:oddHBand="1" w:evenHBand="0" w:firstRowFirstColumn="0" w:firstRowLastColumn="0" w:lastRowFirstColumn="0" w:lastRowLastColumn="0"/>
              <w:rPr>
                <w:sz w:val="18"/>
              </w:rPr>
            </w:pPr>
            <w:r w:rsidRPr="00BA108B">
              <w:rPr>
                <w:sz w:val="18"/>
              </w:rPr>
              <w:t>1,689</w:t>
            </w:r>
          </w:p>
        </w:tc>
      </w:tr>
      <w:tr w:rsidR="002A5F36" w:rsidRPr="00830681" w:rsidTr="006A427F">
        <w:trPr>
          <w:trHeight w:val="20"/>
        </w:trPr>
        <w:tc>
          <w:tcPr>
            <w:cnfStyle w:val="001000000000" w:firstRow="0" w:lastRow="0" w:firstColumn="1" w:lastColumn="0" w:oddVBand="0" w:evenVBand="0" w:oddHBand="0" w:evenHBand="0" w:firstRowFirstColumn="0" w:firstRowLastColumn="0" w:lastRowFirstColumn="0" w:lastRowLastColumn="0"/>
            <w:tcW w:w="4536" w:type="dxa"/>
            <w:vAlign w:val="center"/>
          </w:tcPr>
          <w:p w:rsidR="002A5F36" w:rsidRPr="00BA108B" w:rsidRDefault="006A427F">
            <w:pPr>
              <w:spacing w:after="200"/>
              <w:rPr>
                <w:b w:val="0"/>
                <w:sz w:val="18"/>
              </w:rPr>
            </w:pPr>
            <w:r w:rsidRPr="00BA108B">
              <w:rPr>
                <w:b w:val="0"/>
                <w:sz w:val="18"/>
              </w:rPr>
              <w:t>Victim Services Expenditure</w:t>
            </w:r>
          </w:p>
        </w:tc>
        <w:tc>
          <w:tcPr>
            <w:tcW w:w="1418" w:type="dxa"/>
            <w:vAlign w:val="bottom"/>
          </w:tcPr>
          <w:p w:rsidR="002A5F36" w:rsidRPr="00BA108B" w:rsidRDefault="00635711" w:rsidP="005D7300">
            <w:pPr>
              <w:spacing w:after="200"/>
              <w:jc w:val="right"/>
              <w:cnfStyle w:val="000000000000" w:firstRow="0" w:lastRow="0" w:firstColumn="0" w:lastColumn="0" w:oddVBand="0" w:evenVBand="0" w:oddHBand="0" w:evenHBand="0" w:firstRowFirstColumn="0" w:firstRowLastColumn="0" w:lastRowFirstColumn="0" w:lastRowLastColumn="0"/>
              <w:rPr>
                <w:sz w:val="18"/>
              </w:rPr>
            </w:pPr>
            <w:r w:rsidRPr="00BA108B">
              <w:rPr>
                <w:sz w:val="18"/>
              </w:rPr>
              <w:t>6,323</w:t>
            </w:r>
          </w:p>
        </w:tc>
        <w:tc>
          <w:tcPr>
            <w:tcW w:w="1418" w:type="dxa"/>
            <w:vAlign w:val="bottom"/>
          </w:tcPr>
          <w:p w:rsidR="002A5F36" w:rsidRPr="00BA108B" w:rsidRDefault="005D7300" w:rsidP="005D7300">
            <w:pPr>
              <w:spacing w:after="200"/>
              <w:jc w:val="right"/>
              <w:cnfStyle w:val="000000000000" w:firstRow="0" w:lastRow="0" w:firstColumn="0" w:lastColumn="0" w:oddVBand="0" w:evenVBand="0" w:oddHBand="0" w:evenHBand="0" w:firstRowFirstColumn="0" w:firstRowLastColumn="0" w:lastRowFirstColumn="0" w:lastRowLastColumn="0"/>
              <w:rPr>
                <w:sz w:val="18"/>
              </w:rPr>
            </w:pPr>
            <w:r w:rsidRPr="00BA108B">
              <w:rPr>
                <w:sz w:val="18"/>
              </w:rPr>
              <w:t>0</w:t>
            </w:r>
          </w:p>
        </w:tc>
        <w:tc>
          <w:tcPr>
            <w:tcW w:w="1418" w:type="dxa"/>
            <w:vAlign w:val="bottom"/>
          </w:tcPr>
          <w:p w:rsidR="002A5F36" w:rsidRPr="00BA108B" w:rsidRDefault="00635711" w:rsidP="005D7300">
            <w:pPr>
              <w:spacing w:after="200"/>
              <w:jc w:val="right"/>
              <w:cnfStyle w:val="000000000000" w:firstRow="0" w:lastRow="0" w:firstColumn="0" w:lastColumn="0" w:oddVBand="0" w:evenVBand="0" w:oddHBand="0" w:evenHBand="0" w:firstRowFirstColumn="0" w:firstRowLastColumn="0" w:lastRowFirstColumn="0" w:lastRowLastColumn="0"/>
              <w:rPr>
                <w:sz w:val="18"/>
              </w:rPr>
            </w:pPr>
            <w:r w:rsidRPr="00BA108B">
              <w:rPr>
                <w:sz w:val="18"/>
              </w:rPr>
              <w:t>6,191</w:t>
            </w:r>
          </w:p>
        </w:tc>
      </w:tr>
      <w:tr w:rsidR="002A5F36" w:rsidRPr="00830681" w:rsidTr="006A42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6" w:type="dxa"/>
            <w:vAlign w:val="center"/>
          </w:tcPr>
          <w:p w:rsidR="002A5F36" w:rsidRPr="00BA108B" w:rsidRDefault="006A427F">
            <w:pPr>
              <w:spacing w:after="200"/>
              <w:rPr>
                <w:b w:val="0"/>
                <w:sz w:val="18"/>
              </w:rPr>
            </w:pPr>
            <w:r w:rsidRPr="00BA108B">
              <w:rPr>
                <w:b w:val="0"/>
                <w:sz w:val="18"/>
              </w:rPr>
              <w:t>Victim Services Income</w:t>
            </w:r>
          </w:p>
        </w:tc>
        <w:tc>
          <w:tcPr>
            <w:tcW w:w="1418" w:type="dxa"/>
            <w:vAlign w:val="bottom"/>
          </w:tcPr>
          <w:p w:rsidR="002A5F36" w:rsidRPr="00BA108B" w:rsidRDefault="005D7300" w:rsidP="005D7300">
            <w:pPr>
              <w:spacing w:after="200"/>
              <w:jc w:val="right"/>
              <w:cnfStyle w:val="000000100000" w:firstRow="0" w:lastRow="0" w:firstColumn="0" w:lastColumn="0" w:oddVBand="0" w:evenVBand="0" w:oddHBand="1" w:evenHBand="0" w:firstRowFirstColumn="0" w:firstRowLastColumn="0" w:lastRowFirstColumn="0" w:lastRowLastColumn="0"/>
              <w:rPr>
                <w:sz w:val="18"/>
              </w:rPr>
            </w:pPr>
            <w:r w:rsidRPr="00BA108B">
              <w:rPr>
                <w:sz w:val="18"/>
              </w:rPr>
              <w:t>-</w:t>
            </w:r>
            <w:r w:rsidR="00635711" w:rsidRPr="00BA108B">
              <w:rPr>
                <w:sz w:val="18"/>
              </w:rPr>
              <w:t>6,323</w:t>
            </w:r>
          </w:p>
        </w:tc>
        <w:tc>
          <w:tcPr>
            <w:tcW w:w="1418" w:type="dxa"/>
            <w:vAlign w:val="bottom"/>
          </w:tcPr>
          <w:p w:rsidR="002A5F36" w:rsidRPr="00BA108B" w:rsidRDefault="005D7300" w:rsidP="005D7300">
            <w:pPr>
              <w:spacing w:after="200"/>
              <w:jc w:val="right"/>
              <w:cnfStyle w:val="000000100000" w:firstRow="0" w:lastRow="0" w:firstColumn="0" w:lastColumn="0" w:oddVBand="0" w:evenVBand="0" w:oddHBand="1" w:evenHBand="0" w:firstRowFirstColumn="0" w:firstRowLastColumn="0" w:lastRowFirstColumn="0" w:lastRowLastColumn="0"/>
              <w:rPr>
                <w:sz w:val="18"/>
              </w:rPr>
            </w:pPr>
            <w:r w:rsidRPr="00BA108B">
              <w:rPr>
                <w:sz w:val="18"/>
              </w:rPr>
              <w:t>0</w:t>
            </w:r>
          </w:p>
        </w:tc>
        <w:tc>
          <w:tcPr>
            <w:tcW w:w="1418" w:type="dxa"/>
            <w:vAlign w:val="bottom"/>
          </w:tcPr>
          <w:p w:rsidR="002A5F36" w:rsidRPr="00BA108B" w:rsidRDefault="005D7300" w:rsidP="005D7300">
            <w:pPr>
              <w:spacing w:after="200"/>
              <w:jc w:val="right"/>
              <w:cnfStyle w:val="000000100000" w:firstRow="0" w:lastRow="0" w:firstColumn="0" w:lastColumn="0" w:oddVBand="0" w:evenVBand="0" w:oddHBand="1" w:evenHBand="0" w:firstRowFirstColumn="0" w:firstRowLastColumn="0" w:lastRowFirstColumn="0" w:lastRowLastColumn="0"/>
              <w:rPr>
                <w:sz w:val="18"/>
              </w:rPr>
            </w:pPr>
            <w:r w:rsidRPr="00BA108B">
              <w:rPr>
                <w:sz w:val="18"/>
              </w:rPr>
              <w:t>-</w:t>
            </w:r>
            <w:r w:rsidR="00635711" w:rsidRPr="00BA108B">
              <w:rPr>
                <w:sz w:val="18"/>
              </w:rPr>
              <w:t>6,191</w:t>
            </w:r>
          </w:p>
        </w:tc>
      </w:tr>
      <w:tr w:rsidR="002A5F36" w:rsidRPr="00830681" w:rsidTr="006A427F">
        <w:trPr>
          <w:trHeight w:val="20"/>
        </w:trPr>
        <w:tc>
          <w:tcPr>
            <w:cnfStyle w:val="001000000000" w:firstRow="0" w:lastRow="0" w:firstColumn="1" w:lastColumn="0" w:oddVBand="0" w:evenVBand="0" w:oddHBand="0" w:evenHBand="0" w:firstRowFirstColumn="0" w:firstRowLastColumn="0" w:lastRowFirstColumn="0" w:lastRowLastColumn="0"/>
            <w:tcW w:w="4536" w:type="dxa"/>
            <w:vAlign w:val="center"/>
          </w:tcPr>
          <w:p w:rsidR="002A5F36" w:rsidRPr="00BA108B" w:rsidRDefault="006A427F">
            <w:pPr>
              <w:spacing w:after="200"/>
              <w:rPr>
                <w:b w:val="0"/>
                <w:sz w:val="18"/>
              </w:rPr>
            </w:pPr>
            <w:r w:rsidRPr="00BA108B">
              <w:rPr>
                <w:b w:val="0"/>
                <w:sz w:val="18"/>
              </w:rPr>
              <w:t>Violence Reduction Unit Expenditure</w:t>
            </w:r>
          </w:p>
        </w:tc>
        <w:tc>
          <w:tcPr>
            <w:tcW w:w="1418" w:type="dxa"/>
            <w:vAlign w:val="bottom"/>
          </w:tcPr>
          <w:p w:rsidR="002A5F36" w:rsidRPr="00BA108B" w:rsidRDefault="00635711" w:rsidP="005D7300">
            <w:pPr>
              <w:spacing w:after="200"/>
              <w:jc w:val="right"/>
              <w:cnfStyle w:val="000000000000" w:firstRow="0" w:lastRow="0" w:firstColumn="0" w:lastColumn="0" w:oddVBand="0" w:evenVBand="0" w:oddHBand="0" w:evenHBand="0" w:firstRowFirstColumn="0" w:firstRowLastColumn="0" w:lastRowFirstColumn="0" w:lastRowLastColumn="0"/>
              <w:rPr>
                <w:sz w:val="18"/>
              </w:rPr>
            </w:pPr>
            <w:r w:rsidRPr="00BA108B">
              <w:rPr>
                <w:sz w:val="18"/>
              </w:rPr>
              <w:t>5,863</w:t>
            </w:r>
          </w:p>
        </w:tc>
        <w:tc>
          <w:tcPr>
            <w:tcW w:w="1418" w:type="dxa"/>
            <w:vAlign w:val="bottom"/>
          </w:tcPr>
          <w:p w:rsidR="002A5F36" w:rsidRPr="00BA108B" w:rsidRDefault="005D7300" w:rsidP="005D7300">
            <w:pPr>
              <w:spacing w:after="200"/>
              <w:jc w:val="right"/>
              <w:cnfStyle w:val="000000000000" w:firstRow="0" w:lastRow="0" w:firstColumn="0" w:lastColumn="0" w:oddVBand="0" w:evenVBand="0" w:oddHBand="0" w:evenHBand="0" w:firstRowFirstColumn="0" w:firstRowLastColumn="0" w:lastRowFirstColumn="0" w:lastRowLastColumn="0"/>
              <w:rPr>
                <w:sz w:val="18"/>
              </w:rPr>
            </w:pPr>
            <w:r w:rsidRPr="00BA108B">
              <w:rPr>
                <w:sz w:val="18"/>
              </w:rPr>
              <w:t>0</w:t>
            </w:r>
          </w:p>
        </w:tc>
        <w:tc>
          <w:tcPr>
            <w:tcW w:w="1418" w:type="dxa"/>
            <w:vAlign w:val="bottom"/>
          </w:tcPr>
          <w:p w:rsidR="002A5F36" w:rsidRPr="00BA108B" w:rsidRDefault="00635711" w:rsidP="005D7300">
            <w:pPr>
              <w:spacing w:after="200"/>
              <w:jc w:val="right"/>
              <w:cnfStyle w:val="000000000000" w:firstRow="0" w:lastRow="0" w:firstColumn="0" w:lastColumn="0" w:oddVBand="0" w:evenVBand="0" w:oddHBand="0" w:evenHBand="0" w:firstRowFirstColumn="0" w:firstRowLastColumn="0" w:lastRowFirstColumn="0" w:lastRowLastColumn="0"/>
              <w:rPr>
                <w:sz w:val="18"/>
              </w:rPr>
            </w:pPr>
            <w:r w:rsidRPr="00BA108B">
              <w:rPr>
                <w:sz w:val="18"/>
              </w:rPr>
              <w:t>4,388</w:t>
            </w:r>
          </w:p>
        </w:tc>
      </w:tr>
      <w:tr w:rsidR="006A427F" w:rsidRPr="00830681" w:rsidTr="006A42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6" w:type="dxa"/>
            <w:vAlign w:val="center"/>
          </w:tcPr>
          <w:p w:rsidR="006A427F" w:rsidRPr="00BA108B" w:rsidRDefault="006A427F">
            <w:pPr>
              <w:spacing w:after="200"/>
              <w:rPr>
                <w:b w:val="0"/>
                <w:sz w:val="18"/>
              </w:rPr>
            </w:pPr>
            <w:r w:rsidRPr="00BA108B">
              <w:rPr>
                <w:b w:val="0"/>
                <w:sz w:val="18"/>
              </w:rPr>
              <w:t>Violence Reduction Unit Income</w:t>
            </w:r>
          </w:p>
        </w:tc>
        <w:tc>
          <w:tcPr>
            <w:tcW w:w="1418" w:type="dxa"/>
            <w:vAlign w:val="bottom"/>
          </w:tcPr>
          <w:p w:rsidR="006A427F" w:rsidRPr="00BA108B" w:rsidRDefault="005D7300" w:rsidP="005D7300">
            <w:pPr>
              <w:spacing w:after="200"/>
              <w:jc w:val="right"/>
              <w:cnfStyle w:val="000000100000" w:firstRow="0" w:lastRow="0" w:firstColumn="0" w:lastColumn="0" w:oddVBand="0" w:evenVBand="0" w:oddHBand="1" w:evenHBand="0" w:firstRowFirstColumn="0" w:firstRowLastColumn="0" w:lastRowFirstColumn="0" w:lastRowLastColumn="0"/>
              <w:rPr>
                <w:sz w:val="18"/>
              </w:rPr>
            </w:pPr>
            <w:r w:rsidRPr="00BA108B">
              <w:rPr>
                <w:sz w:val="18"/>
              </w:rPr>
              <w:t>-</w:t>
            </w:r>
            <w:r w:rsidR="00635711" w:rsidRPr="00BA108B">
              <w:rPr>
                <w:sz w:val="18"/>
              </w:rPr>
              <w:t>5,863</w:t>
            </w:r>
          </w:p>
        </w:tc>
        <w:tc>
          <w:tcPr>
            <w:tcW w:w="1418" w:type="dxa"/>
            <w:vAlign w:val="bottom"/>
          </w:tcPr>
          <w:p w:rsidR="006A427F" w:rsidRPr="00BA108B" w:rsidRDefault="005D7300" w:rsidP="005D7300">
            <w:pPr>
              <w:spacing w:after="200"/>
              <w:jc w:val="right"/>
              <w:cnfStyle w:val="000000100000" w:firstRow="0" w:lastRow="0" w:firstColumn="0" w:lastColumn="0" w:oddVBand="0" w:evenVBand="0" w:oddHBand="1" w:evenHBand="0" w:firstRowFirstColumn="0" w:firstRowLastColumn="0" w:lastRowFirstColumn="0" w:lastRowLastColumn="0"/>
              <w:rPr>
                <w:sz w:val="18"/>
              </w:rPr>
            </w:pPr>
            <w:r w:rsidRPr="00BA108B">
              <w:rPr>
                <w:sz w:val="18"/>
              </w:rPr>
              <w:t>0</w:t>
            </w:r>
          </w:p>
        </w:tc>
        <w:tc>
          <w:tcPr>
            <w:tcW w:w="1418" w:type="dxa"/>
            <w:vAlign w:val="bottom"/>
          </w:tcPr>
          <w:p w:rsidR="006A427F" w:rsidRPr="00BA108B" w:rsidRDefault="005D7300" w:rsidP="005D7300">
            <w:pPr>
              <w:spacing w:after="200"/>
              <w:jc w:val="right"/>
              <w:cnfStyle w:val="000000100000" w:firstRow="0" w:lastRow="0" w:firstColumn="0" w:lastColumn="0" w:oddVBand="0" w:evenVBand="0" w:oddHBand="1" w:evenHBand="0" w:firstRowFirstColumn="0" w:firstRowLastColumn="0" w:lastRowFirstColumn="0" w:lastRowLastColumn="0"/>
              <w:rPr>
                <w:sz w:val="18"/>
              </w:rPr>
            </w:pPr>
            <w:r w:rsidRPr="00BA108B">
              <w:rPr>
                <w:sz w:val="18"/>
              </w:rPr>
              <w:t>-</w:t>
            </w:r>
            <w:r w:rsidR="00635711" w:rsidRPr="00BA108B">
              <w:rPr>
                <w:sz w:val="18"/>
              </w:rPr>
              <w:t>4,388</w:t>
            </w:r>
          </w:p>
        </w:tc>
      </w:tr>
      <w:tr w:rsidR="006A427F" w:rsidRPr="00830681" w:rsidTr="006A427F">
        <w:trPr>
          <w:trHeight w:val="20"/>
        </w:trPr>
        <w:tc>
          <w:tcPr>
            <w:cnfStyle w:val="001000000000" w:firstRow="0" w:lastRow="0" w:firstColumn="1" w:lastColumn="0" w:oddVBand="0" w:evenVBand="0" w:oddHBand="0" w:evenHBand="0" w:firstRowFirstColumn="0" w:firstRowLastColumn="0" w:lastRowFirstColumn="0" w:lastRowLastColumn="0"/>
            <w:tcW w:w="4536" w:type="dxa"/>
            <w:vAlign w:val="center"/>
          </w:tcPr>
          <w:p w:rsidR="006A427F" w:rsidRPr="00BA108B" w:rsidRDefault="006A427F">
            <w:pPr>
              <w:spacing w:after="200"/>
              <w:rPr>
                <w:sz w:val="18"/>
              </w:rPr>
            </w:pPr>
            <w:r w:rsidRPr="00BA108B">
              <w:rPr>
                <w:sz w:val="18"/>
              </w:rPr>
              <w:t>Total Office of the PCC</w:t>
            </w:r>
          </w:p>
        </w:tc>
        <w:tc>
          <w:tcPr>
            <w:tcW w:w="1418" w:type="dxa"/>
            <w:vAlign w:val="bottom"/>
          </w:tcPr>
          <w:p w:rsidR="006A427F" w:rsidRPr="00BA108B" w:rsidRDefault="005D7300" w:rsidP="005D7300">
            <w:pPr>
              <w:spacing w:after="200"/>
              <w:jc w:val="right"/>
              <w:cnfStyle w:val="000000000000" w:firstRow="0" w:lastRow="0" w:firstColumn="0" w:lastColumn="0" w:oddVBand="0" w:evenVBand="0" w:oddHBand="0" w:evenHBand="0" w:firstRowFirstColumn="0" w:firstRowLastColumn="0" w:lastRowFirstColumn="0" w:lastRowLastColumn="0"/>
              <w:rPr>
                <w:b/>
                <w:sz w:val="18"/>
              </w:rPr>
            </w:pPr>
            <w:r w:rsidRPr="00BA108B">
              <w:rPr>
                <w:b/>
                <w:sz w:val="18"/>
              </w:rPr>
              <w:t>8,897</w:t>
            </w:r>
          </w:p>
        </w:tc>
        <w:tc>
          <w:tcPr>
            <w:tcW w:w="1418" w:type="dxa"/>
            <w:vAlign w:val="bottom"/>
          </w:tcPr>
          <w:p w:rsidR="006A427F" w:rsidRPr="00BA108B" w:rsidRDefault="005D7300" w:rsidP="005D7300">
            <w:pPr>
              <w:spacing w:after="200"/>
              <w:jc w:val="right"/>
              <w:cnfStyle w:val="000000000000" w:firstRow="0" w:lastRow="0" w:firstColumn="0" w:lastColumn="0" w:oddVBand="0" w:evenVBand="0" w:oddHBand="0" w:evenHBand="0" w:firstRowFirstColumn="0" w:firstRowLastColumn="0" w:lastRowFirstColumn="0" w:lastRowLastColumn="0"/>
              <w:rPr>
                <w:b/>
                <w:sz w:val="18"/>
              </w:rPr>
            </w:pPr>
            <w:r w:rsidRPr="00BA108B">
              <w:rPr>
                <w:b/>
                <w:sz w:val="18"/>
              </w:rPr>
              <w:t>0</w:t>
            </w:r>
          </w:p>
        </w:tc>
        <w:tc>
          <w:tcPr>
            <w:tcW w:w="1418" w:type="dxa"/>
            <w:vAlign w:val="bottom"/>
          </w:tcPr>
          <w:p w:rsidR="006A427F" w:rsidRPr="00BA108B" w:rsidRDefault="00EC3D71" w:rsidP="005D7300">
            <w:pPr>
              <w:spacing w:after="200"/>
              <w:jc w:val="right"/>
              <w:cnfStyle w:val="000000000000" w:firstRow="0" w:lastRow="0" w:firstColumn="0" w:lastColumn="0" w:oddVBand="0" w:evenVBand="0" w:oddHBand="0" w:evenHBand="0" w:firstRowFirstColumn="0" w:firstRowLastColumn="0" w:lastRowFirstColumn="0" w:lastRowLastColumn="0"/>
              <w:rPr>
                <w:b/>
                <w:sz w:val="18"/>
              </w:rPr>
            </w:pPr>
            <w:r w:rsidRPr="00BA108B">
              <w:rPr>
                <w:b/>
                <w:sz w:val="18"/>
              </w:rPr>
              <w:t>8,773</w:t>
            </w:r>
          </w:p>
        </w:tc>
      </w:tr>
      <w:tr w:rsidR="006A427F" w:rsidRPr="00830681" w:rsidTr="006A42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6" w:type="dxa"/>
            <w:vAlign w:val="center"/>
          </w:tcPr>
          <w:p w:rsidR="006A427F" w:rsidRPr="00BA108B" w:rsidRDefault="006A427F">
            <w:pPr>
              <w:spacing w:after="200"/>
              <w:rPr>
                <w:sz w:val="18"/>
              </w:rPr>
            </w:pPr>
            <w:r w:rsidRPr="00BA108B">
              <w:rPr>
                <w:sz w:val="18"/>
              </w:rPr>
              <w:t>Total Revenue Budget</w:t>
            </w:r>
          </w:p>
        </w:tc>
        <w:tc>
          <w:tcPr>
            <w:tcW w:w="1418" w:type="dxa"/>
            <w:vAlign w:val="bottom"/>
          </w:tcPr>
          <w:p w:rsidR="006A427F" w:rsidRPr="00BA108B" w:rsidRDefault="005D7300" w:rsidP="005D7300">
            <w:pPr>
              <w:spacing w:after="200"/>
              <w:jc w:val="right"/>
              <w:cnfStyle w:val="000000100000" w:firstRow="0" w:lastRow="0" w:firstColumn="0" w:lastColumn="0" w:oddVBand="0" w:evenVBand="0" w:oddHBand="1" w:evenHBand="0" w:firstRowFirstColumn="0" w:firstRowLastColumn="0" w:lastRowFirstColumn="0" w:lastRowLastColumn="0"/>
              <w:rPr>
                <w:b/>
                <w:sz w:val="18"/>
              </w:rPr>
            </w:pPr>
            <w:r w:rsidRPr="00BA108B">
              <w:rPr>
                <w:b/>
                <w:sz w:val="18"/>
              </w:rPr>
              <w:t>686,792</w:t>
            </w:r>
          </w:p>
        </w:tc>
        <w:tc>
          <w:tcPr>
            <w:tcW w:w="1418" w:type="dxa"/>
            <w:vAlign w:val="bottom"/>
          </w:tcPr>
          <w:p w:rsidR="006A427F" w:rsidRPr="00BA108B" w:rsidRDefault="005D7300" w:rsidP="005D7300">
            <w:pPr>
              <w:spacing w:after="200"/>
              <w:jc w:val="right"/>
              <w:cnfStyle w:val="000000100000" w:firstRow="0" w:lastRow="0" w:firstColumn="0" w:lastColumn="0" w:oddVBand="0" w:evenVBand="0" w:oddHBand="1" w:evenHBand="0" w:firstRowFirstColumn="0" w:firstRowLastColumn="0" w:lastRowFirstColumn="0" w:lastRowLastColumn="0"/>
              <w:rPr>
                <w:b/>
                <w:sz w:val="18"/>
              </w:rPr>
            </w:pPr>
            <w:r w:rsidRPr="00BA108B">
              <w:rPr>
                <w:b/>
                <w:sz w:val="18"/>
              </w:rPr>
              <w:t>0</w:t>
            </w:r>
          </w:p>
        </w:tc>
        <w:tc>
          <w:tcPr>
            <w:tcW w:w="1418" w:type="dxa"/>
            <w:vAlign w:val="bottom"/>
          </w:tcPr>
          <w:p w:rsidR="006A427F" w:rsidRPr="00BA108B" w:rsidRDefault="002B08D3" w:rsidP="005D7300">
            <w:pPr>
              <w:spacing w:after="200"/>
              <w:jc w:val="right"/>
              <w:cnfStyle w:val="000000100000" w:firstRow="0" w:lastRow="0" w:firstColumn="0" w:lastColumn="0" w:oddVBand="0" w:evenVBand="0" w:oddHBand="1" w:evenHBand="0" w:firstRowFirstColumn="0" w:firstRowLastColumn="0" w:lastRowFirstColumn="0" w:lastRowLastColumn="0"/>
              <w:rPr>
                <w:b/>
                <w:sz w:val="18"/>
              </w:rPr>
            </w:pPr>
            <w:r w:rsidRPr="00BA108B">
              <w:rPr>
                <w:b/>
                <w:sz w:val="18"/>
              </w:rPr>
              <w:t>709,125</w:t>
            </w:r>
          </w:p>
        </w:tc>
      </w:tr>
      <w:tr w:rsidR="006A427F" w:rsidRPr="00830681" w:rsidTr="006A427F">
        <w:trPr>
          <w:trHeight w:val="20"/>
        </w:trPr>
        <w:tc>
          <w:tcPr>
            <w:cnfStyle w:val="001000000000" w:firstRow="0" w:lastRow="0" w:firstColumn="1" w:lastColumn="0" w:oddVBand="0" w:evenVBand="0" w:oddHBand="0" w:evenHBand="0" w:firstRowFirstColumn="0" w:firstRowLastColumn="0" w:lastRowFirstColumn="0" w:lastRowLastColumn="0"/>
            <w:tcW w:w="4536" w:type="dxa"/>
            <w:vAlign w:val="center"/>
          </w:tcPr>
          <w:p w:rsidR="006A427F" w:rsidRPr="00BA108B" w:rsidRDefault="006A427F">
            <w:pPr>
              <w:spacing w:after="200"/>
              <w:rPr>
                <w:b w:val="0"/>
                <w:sz w:val="18"/>
              </w:rPr>
            </w:pPr>
            <w:r w:rsidRPr="00BA108B">
              <w:rPr>
                <w:b w:val="0"/>
                <w:sz w:val="18"/>
              </w:rPr>
              <w:t xml:space="preserve">Government Grants </w:t>
            </w:r>
          </w:p>
        </w:tc>
        <w:tc>
          <w:tcPr>
            <w:tcW w:w="1418" w:type="dxa"/>
            <w:vAlign w:val="bottom"/>
          </w:tcPr>
          <w:p w:rsidR="006A427F" w:rsidRPr="00BA108B" w:rsidRDefault="005D7300" w:rsidP="005D7300">
            <w:pPr>
              <w:spacing w:after="200"/>
              <w:jc w:val="right"/>
              <w:cnfStyle w:val="000000000000" w:firstRow="0" w:lastRow="0" w:firstColumn="0" w:lastColumn="0" w:oddVBand="0" w:evenVBand="0" w:oddHBand="0" w:evenHBand="0" w:firstRowFirstColumn="0" w:firstRowLastColumn="0" w:lastRowFirstColumn="0" w:lastRowLastColumn="0"/>
              <w:rPr>
                <w:sz w:val="18"/>
              </w:rPr>
            </w:pPr>
            <w:r w:rsidRPr="00BA108B">
              <w:rPr>
                <w:sz w:val="18"/>
              </w:rPr>
              <w:t>-544,169</w:t>
            </w:r>
          </w:p>
        </w:tc>
        <w:tc>
          <w:tcPr>
            <w:tcW w:w="1418" w:type="dxa"/>
            <w:vAlign w:val="bottom"/>
          </w:tcPr>
          <w:p w:rsidR="006A427F" w:rsidRPr="00BA108B" w:rsidRDefault="005D7300" w:rsidP="005D7300">
            <w:pPr>
              <w:spacing w:after="200"/>
              <w:jc w:val="right"/>
              <w:cnfStyle w:val="000000000000" w:firstRow="0" w:lastRow="0" w:firstColumn="0" w:lastColumn="0" w:oddVBand="0" w:evenVBand="0" w:oddHBand="0" w:evenHBand="0" w:firstRowFirstColumn="0" w:firstRowLastColumn="0" w:lastRowFirstColumn="0" w:lastRowLastColumn="0"/>
              <w:rPr>
                <w:sz w:val="18"/>
              </w:rPr>
            </w:pPr>
            <w:r w:rsidRPr="00BA108B">
              <w:rPr>
                <w:sz w:val="18"/>
              </w:rPr>
              <w:t>0</w:t>
            </w:r>
          </w:p>
        </w:tc>
        <w:tc>
          <w:tcPr>
            <w:tcW w:w="1418" w:type="dxa"/>
            <w:vAlign w:val="bottom"/>
          </w:tcPr>
          <w:p w:rsidR="006A427F" w:rsidRPr="00BA108B" w:rsidRDefault="002B08D3" w:rsidP="005D7300">
            <w:pPr>
              <w:spacing w:after="200"/>
              <w:jc w:val="right"/>
              <w:cnfStyle w:val="000000000000" w:firstRow="0" w:lastRow="0" w:firstColumn="0" w:lastColumn="0" w:oddVBand="0" w:evenVBand="0" w:oddHBand="0" w:evenHBand="0" w:firstRowFirstColumn="0" w:firstRowLastColumn="0" w:lastRowFirstColumn="0" w:lastRowLastColumn="0"/>
              <w:rPr>
                <w:sz w:val="18"/>
              </w:rPr>
            </w:pPr>
            <w:r w:rsidRPr="00BA108B">
              <w:rPr>
                <w:sz w:val="18"/>
              </w:rPr>
              <w:t>-545,993</w:t>
            </w:r>
          </w:p>
        </w:tc>
      </w:tr>
      <w:tr w:rsidR="006A427F" w:rsidRPr="00830681" w:rsidTr="006A42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6" w:type="dxa"/>
            <w:vAlign w:val="center"/>
          </w:tcPr>
          <w:p w:rsidR="006A427F" w:rsidRPr="00BA108B" w:rsidRDefault="006A427F">
            <w:pPr>
              <w:spacing w:after="200"/>
              <w:rPr>
                <w:b w:val="0"/>
                <w:sz w:val="18"/>
              </w:rPr>
            </w:pPr>
            <w:r w:rsidRPr="00BA108B">
              <w:rPr>
                <w:b w:val="0"/>
                <w:sz w:val="18"/>
              </w:rPr>
              <w:t xml:space="preserve">Council Tax including Surplus on Collection Fund </w:t>
            </w:r>
          </w:p>
        </w:tc>
        <w:tc>
          <w:tcPr>
            <w:tcW w:w="1418" w:type="dxa"/>
            <w:vAlign w:val="bottom"/>
          </w:tcPr>
          <w:p w:rsidR="006A427F" w:rsidRPr="00BA108B" w:rsidRDefault="005D7300" w:rsidP="005D7300">
            <w:pPr>
              <w:spacing w:after="200"/>
              <w:jc w:val="right"/>
              <w:cnfStyle w:val="000000100000" w:firstRow="0" w:lastRow="0" w:firstColumn="0" w:lastColumn="0" w:oddVBand="0" w:evenVBand="0" w:oddHBand="1" w:evenHBand="0" w:firstRowFirstColumn="0" w:firstRowLastColumn="0" w:lastRowFirstColumn="0" w:lastRowLastColumn="0"/>
              <w:rPr>
                <w:sz w:val="18"/>
              </w:rPr>
            </w:pPr>
            <w:r w:rsidRPr="00BA108B">
              <w:rPr>
                <w:sz w:val="18"/>
              </w:rPr>
              <w:t>-134,572</w:t>
            </w:r>
          </w:p>
        </w:tc>
        <w:tc>
          <w:tcPr>
            <w:tcW w:w="1418" w:type="dxa"/>
            <w:vAlign w:val="bottom"/>
          </w:tcPr>
          <w:p w:rsidR="006A427F" w:rsidRPr="00BA108B" w:rsidRDefault="005D7300" w:rsidP="005D7300">
            <w:pPr>
              <w:spacing w:after="200"/>
              <w:jc w:val="right"/>
              <w:cnfStyle w:val="000000100000" w:firstRow="0" w:lastRow="0" w:firstColumn="0" w:lastColumn="0" w:oddVBand="0" w:evenVBand="0" w:oddHBand="1" w:evenHBand="0" w:firstRowFirstColumn="0" w:firstRowLastColumn="0" w:lastRowFirstColumn="0" w:lastRowLastColumn="0"/>
              <w:rPr>
                <w:sz w:val="18"/>
              </w:rPr>
            </w:pPr>
            <w:r w:rsidRPr="00BA108B">
              <w:rPr>
                <w:sz w:val="18"/>
              </w:rPr>
              <w:t>0</w:t>
            </w:r>
          </w:p>
        </w:tc>
        <w:tc>
          <w:tcPr>
            <w:tcW w:w="1418" w:type="dxa"/>
            <w:vAlign w:val="bottom"/>
          </w:tcPr>
          <w:p w:rsidR="006A427F" w:rsidRPr="00BA108B" w:rsidRDefault="002B08D3" w:rsidP="005D7300">
            <w:pPr>
              <w:spacing w:after="200"/>
              <w:jc w:val="right"/>
              <w:cnfStyle w:val="000000100000" w:firstRow="0" w:lastRow="0" w:firstColumn="0" w:lastColumn="0" w:oddVBand="0" w:evenVBand="0" w:oddHBand="1" w:evenHBand="0" w:firstRowFirstColumn="0" w:firstRowLastColumn="0" w:lastRowFirstColumn="0" w:lastRowLastColumn="0"/>
              <w:rPr>
                <w:sz w:val="18"/>
              </w:rPr>
            </w:pPr>
            <w:r w:rsidRPr="00BA108B">
              <w:rPr>
                <w:sz w:val="18"/>
              </w:rPr>
              <w:t>-152,379</w:t>
            </w:r>
          </w:p>
        </w:tc>
      </w:tr>
      <w:tr w:rsidR="006A427F" w:rsidRPr="006A427F" w:rsidTr="006A427F">
        <w:trPr>
          <w:trHeight w:val="20"/>
        </w:trPr>
        <w:tc>
          <w:tcPr>
            <w:cnfStyle w:val="001000000000" w:firstRow="0" w:lastRow="0" w:firstColumn="1" w:lastColumn="0" w:oddVBand="0" w:evenVBand="0" w:oddHBand="0" w:evenHBand="0" w:firstRowFirstColumn="0" w:firstRowLastColumn="0" w:lastRowFirstColumn="0" w:lastRowLastColumn="0"/>
            <w:tcW w:w="4536" w:type="dxa"/>
            <w:vAlign w:val="center"/>
          </w:tcPr>
          <w:p w:rsidR="006A427F" w:rsidRPr="00BA108B" w:rsidRDefault="006A427F">
            <w:pPr>
              <w:spacing w:after="200"/>
              <w:rPr>
                <w:sz w:val="18"/>
              </w:rPr>
            </w:pPr>
            <w:r w:rsidRPr="00BA108B">
              <w:rPr>
                <w:sz w:val="18"/>
              </w:rPr>
              <w:t>Net Use of Reserves</w:t>
            </w:r>
          </w:p>
        </w:tc>
        <w:tc>
          <w:tcPr>
            <w:tcW w:w="1418" w:type="dxa"/>
            <w:vAlign w:val="bottom"/>
          </w:tcPr>
          <w:p w:rsidR="006A427F" w:rsidRPr="00BA108B" w:rsidRDefault="005D7300" w:rsidP="005D7300">
            <w:pPr>
              <w:spacing w:after="200"/>
              <w:jc w:val="right"/>
              <w:cnfStyle w:val="000000000000" w:firstRow="0" w:lastRow="0" w:firstColumn="0" w:lastColumn="0" w:oddVBand="0" w:evenVBand="0" w:oddHBand="0" w:evenHBand="0" w:firstRowFirstColumn="0" w:firstRowLastColumn="0" w:lastRowFirstColumn="0" w:lastRowLastColumn="0"/>
              <w:rPr>
                <w:b/>
                <w:sz w:val="18"/>
              </w:rPr>
            </w:pPr>
            <w:r w:rsidRPr="00BA108B">
              <w:rPr>
                <w:b/>
                <w:sz w:val="18"/>
              </w:rPr>
              <w:t>8,051</w:t>
            </w:r>
          </w:p>
        </w:tc>
        <w:tc>
          <w:tcPr>
            <w:tcW w:w="1418" w:type="dxa"/>
            <w:vAlign w:val="bottom"/>
          </w:tcPr>
          <w:p w:rsidR="006A427F" w:rsidRPr="00BA108B" w:rsidRDefault="005D7300" w:rsidP="005D7300">
            <w:pPr>
              <w:spacing w:after="200"/>
              <w:jc w:val="right"/>
              <w:cnfStyle w:val="000000000000" w:firstRow="0" w:lastRow="0" w:firstColumn="0" w:lastColumn="0" w:oddVBand="0" w:evenVBand="0" w:oddHBand="0" w:evenHBand="0" w:firstRowFirstColumn="0" w:firstRowLastColumn="0" w:lastRowFirstColumn="0" w:lastRowLastColumn="0"/>
              <w:rPr>
                <w:b/>
                <w:sz w:val="18"/>
              </w:rPr>
            </w:pPr>
            <w:r w:rsidRPr="00BA108B">
              <w:rPr>
                <w:b/>
                <w:sz w:val="18"/>
              </w:rPr>
              <w:t>0</w:t>
            </w:r>
          </w:p>
        </w:tc>
        <w:tc>
          <w:tcPr>
            <w:tcW w:w="1418" w:type="dxa"/>
            <w:vAlign w:val="bottom"/>
          </w:tcPr>
          <w:p w:rsidR="006A427F" w:rsidRPr="00BA108B" w:rsidRDefault="002B08D3" w:rsidP="005D7300">
            <w:pPr>
              <w:spacing w:after="200"/>
              <w:jc w:val="right"/>
              <w:cnfStyle w:val="000000000000" w:firstRow="0" w:lastRow="0" w:firstColumn="0" w:lastColumn="0" w:oddVBand="0" w:evenVBand="0" w:oddHBand="0" w:evenHBand="0" w:firstRowFirstColumn="0" w:firstRowLastColumn="0" w:lastRowFirstColumn="0" w:lastRowLastColumn="0"/>
              <w:rPr>
                <w:b/>
                <w:sz w:val="18"/>
              </w:rPr>
            </w:pPr>
            <w:r w:rsidRPr="00BA108B">
              <w:rPr>
                <w:b/>
                <w:sz w:val="18"/>
              </w:rPr>
              <w:t>10,753</w:t>
            </w:r>
          </w:p>
        </w:tc>
      </w:tr>
    </w:tbl>
    <w:p w:rsidR="00F77DA8" w:rsidRPr="006A427F" w:rsidRDefault="00F77DA8">
      <w:pPr>
        <w:spacing w:after="200"/>
        <w:rPr>
          <w:rFonts w:eastAsia="Times New Roman" w:cs="Times New Roman"/>
          <w:b/>
          <w:i/>
          <w:spacing w:val="5"/>
          <w:sz w:val="18"/>
          <w:szCs w:val="18"/>
          <w:lang w:eastAsia="en-GB"/>
        </w:rPr>
      </w:pPr>
      <w:r w:rsidRPr="006A427F">
        <w:rPr>
          <w:i/>
          <w:sz w:val="18"/>
          <w:szCs w:val="18"/>
        </w:rPr>
        <w:br w:type="page"/>
      </w:r>
    </w:p>
    <w:p w:rsidR="00096D5F" w:rsidRDefault="00096D5F" w:rsidP="00A859AE">
      <w:pPr>
        <w:pStyle w:val="NumHeading1"/>
        <w:sectPr w:rsidR="00096D5F" w:rsidSect="00096D5F">
          <w:pgSz w:w="11906" w:h="16838"/>
          <w:pgMar w:top="1134" w:right="1418" w:bottom="1418" w:left="1134" w:header="709" w:footer="828" w:gutter="0"/>
          <w:cols w:space="708"/>
          <w:docGrid w:linePitch="360"/>
        </w:sectPr>
      </w:pPr>
    </w:p>
    <w:p w:rsidR="00FB0867" w:rsidRDefault="0076079E" w:rsidP="002631F6">
      <w:pPr>
        <w:pStyle w:val="Heading1"/>
      </w:pPr>
      <w:r>
        <w:lastRenderedPageBreak/>
        <w:t>A</w:t>
      </w:r>
      <w:r w:rsidR="00E1361A">
        <w:t>ppend</w:t>
      </w:r>
      <w:r w:rsidR="00C06858">
        <w:t xml:space="preserve">ix </w:t>
      </w:r>
      <w:r w:rsidR="00830681">
        <w:t>2</w:t>
      </w:r>
      <w:r w:rsidR="005C25A9">
        <w:t xml:space="preserve"> – Operational Budgets 2023/24</w:t>
      </w:r>
    </w:p>
    <w:p w:rsidR="00251CEB" w:rsidRDefault="005C25A9" w:rsidP="002631F6">
      <w:pPr>
        <w:pStyle w:val="Heading2"/>
      </w:pPr>
      <w:r>
        <w:t>The tables below detail the operational budgets for the Force for 2023/24.</w:t>
      </w:r>
    </w:p>
    <w:tbl>
      <w:tblPr>
        <w:tblStyle w:val="GridTable4-Accent1"/>
        <w:tblW w:w="5620" w:type="dxa"/>
        <w:jc w:val="center"/>
        <w:tblInd w:w="0" w:type="dxa"/>
        <w:tblLook w:val="04A0" w:firstRow="1" w:lastRow="0" w:firstColumn="1" w:lastColumn="0" w:noHBand="0" w:noVBand="1"/>
      </w:tblPr>
      <w:tblGrid>
        <w:gridCol w:w="4180"/>
        <w:gridCol w:w="1440"/>
      </w:tblGrid>
      <w:tr w:rsidR="008D4D7E" w:rsidRPr="008D4D7E" w:rsidTr="008D4D7E">
        <w:trPr>
          <w:cnfStyle w:val="100000000000" w:firstRow="1" w:lastRow="0" w:firstColumn="0" w:lastColumn="0" w:oddVBand="0" w:evenVBand="0" w:oddHBand="0" w:evenHBand="0"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4180" w:type="dxa"/>
            <w:hideMark/>
          </w:tcPr>
          <w:p w:rsidR="008D4D7E" w:rsidRPr="008D4D7E" w:rsidRDefault="008D4D7E" w:rsidP="008D4D7E">
            <w:pPr>
              <w:spacing w:after="0"/>
              <w:rPr>
                <w:rFonts w:eastAsia="Times New Roman"/>
                <w:color w:val="000000"/>
                <w:szCs w:val="24"/>
              </w:rPr>
            </w:pPr>
            <w:r w:rsidRPr="008D4D7E">
              <w:rPr>
                <w:rFonts w:eastAsia="Times New Roman"/>
                <w:color w:val="000000"/>
                <w:szCs w:val="24"/>
              </w:rPr>
              <w:t>Operational Budget</w:t>
            </w:r>
          </w:p>
        </w:tc>
        <w:tc>
          <w:tcPr>
            <w:tcW w:w="1440" w:type="dxa"/>
            <w:hideMark/>
          </w:tcPr>
          <w:p w:rsidR="008D4D7E" w:rsidRPr="008D4D7E" w:rsidRDefault="008D4D7E" w:rsidP="008D4D7E">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olor w:val="000000"/>
                <w:szCs w:val="24"/>
              </w:rPr>
            </w:pPr>
            <w:r w:rsidRPr="008D4D7E">
              <w:rPr>
                <w:rFonts w:eastAsia="Times New Roman"/>
                <w:color w:val="000000"/>
                <w:szCs w:val="24"/>
              </w:rPr>
              <w:t>2023/24 Budget</w:t>
            </w:r>
            <w:r w:rsidRPr="008D4D7E">
              <w:rPr>
                <w:rFonts w:eastAsia="Times New Roman"/>
                <w:color w:val="000000"/>
                <w:szCs w:val="24"/>
              </w:rPr>
              <w:br/>
              <w:t>£,000</w:t>
            </w:r>
          </w:p>
        </w:tc>
      </w:tr>
      <w:tr w:rsidR="008D4D7E" w:rsidRPr="008D4D7E" w:rsidTr="008D4D7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80" w:type="dxa"/>
            <w:hideMark/>
          </w:tcPr>
          <w:p w:rsidR="008D4D7E" w:rsidRPr="008D4D7E" w:rsidRDefault="008D4D7E" w:rsidP="008D4D7E">
            <w:pPr>
              <w:spacing w:after="0"/>
              <w:rPr>
                <w:rFonts w:eastAsia="Times New Roman"/>
                <w:b w:val="0"/>
                <w:color w:val="000000"/>
                <w:szCs w:val="24"/>
              </w:rPr>
            </w:pPr>
            <w:r w:rsidRPr="008D4D7E">
              <w:rPr>
                <w:rFonts w:eastAsia="Times New Roman"/>
                <w:b w:val="0"/>
                <w:color w:val="000000"/>
                <w:szCs w:val="24"/>
              </w:rPr>
              <w:t>Police Pay &amp; Allowances</w:t>
            </w:r>
          </w:p>
        </w:tc>
        <w:tc>
          <w:tcPr>
            <w:tcW w:w="1440" w:type="dxa"/>
            <w:hideMark/>
          </w:tcPr>
          <w:p w:rsidR="008D4D7E" w:rsidRPr="008D4D7E" w:rsidRDefault="008D4D7E" w:rsidP="008D4D7E">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8D4D7E">
              <w:rPr>
                <w:rFonts w:eastAsia="Times New Roman"/>
                <w:color w:val="000000"/>
                <w:szCs w:val="24"/>
              </w:rPr>
              <w:t>439,476</w:t>
            </w:r>
          </w:p>
        </w:tc>
      </w:tr>
      <w:tr w:rsidR="008D4D7E" w:rsidRPr="008D4D7E" w:rsidTr="008D4D7E">
        <w:trPr>
          <w:trHeight w:val="300"/>
          <w:jc w:val="center"/>
        </w:trPr>
        <w:tc>
          <w:tcPr>
            <w:cnfStyle w:val="001000000000" w:firstRow="0" w:lastRow="0" w:firstColumn="1" w:lastColumn="0" w:oddVBand="0" w:evenVBand="0" w:oddHBand="0" w:evenHBand="0" w:firstRowFirstColumn="0" w:firstRowLastColumn="0" w:lastRowFirstColumn="0" w:lastRowLastColumn="0"/>
            <w:tcW w:w="4180" w:type="dxa"/>
            <w:hideMark/>
          </w:tcPr>
          <w:p w:rsidR="008D4D7E" w:rsidRPr="008D4D7E" w:rsidRDefault="008D4D7E" w:rsidP="008D4D7E">
            <w:pPr>
              <w:spacing w:after="0"/>
              <w:rPr>
                <w:rFonts w:eastAsia="Times New Roman"/>
                <w:b w:val="0"/>
                <w:color w:val="000000"/>
                <w:szCs w:val="24"/>
              </w:rPr>
            </w:pPr>
            <w:r w:rsidRPr="008D4D7E">
              <w:rPr>
                <w:rFonts w:eastAsia="Times New Roman"/>
                <w:b w:val="0"/>
                <w:color w:val="000000"/>
                <w:szCs w:val="24"/>
              </w:rPr>
              <w:t>Police Staff &amp; Allowances</w:t>
            </w:r>
          </w:p>
        </w:tc>
        <w:tc>
          <w:tcPr>
            <w:tcW w:w="1440" w:type="dxa"/>
            <w:hideMark/>
          </w:tcPr>
          <w:p w:rsidR="008D4D7E" w:rsidRPr="008D4D7E" w:rsidRDefault="008D4D7E" w:rsidP="008D4D7E">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4"/>
              </w:rPr>
            </w:pPr>
            <w:r w:rsidRPr="008D4D7E">
              <w:rPr>
                <w:rFonts w:eastAsia="Times New Roman"/>
                <w:color w:val="000000"/>
                <w:szCs w:val="24"/>
              </w:rPr>
              <w:t>184,761</w:t>
            </w:r>
          </w:p>
        </w:tc>
      </w:tr>
      <w:tr w:rsidR="008D4D7E" w:rsidRPr="008D4D7E" w:rsidTr="008D4D7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80" w:type="dxa"/>
            <w:hideMark/>
          </w:tcPr>
          <w:p w:rsidR="008D4D7E" w:rsidRPr="008D4D7E" w:rsidRDefault="008D4D7E" w:rsidP="008D4D7E">
            <w:pPr>
              <w:spacing w:after="0"/>
              <w:rPr>
                <w:rFonts w:eastAsia="Times New Roman"/>
                <w:b w:val="0"/>
                <w:color w:val="000000"/>
                <w:szCs w:val="24"/>
              </w:rPr>
            </w:pPr>
            <w:r w:rsidRPr="008D4D7E">
              <w:rPr>
                <w:rFonts w:eastAsia="Times New Roman"/>
                <w:b w:val="0"/>
                <w:color w:val="000000"/>
                <w:szCs w:val="24"/>
              </w:rPr>
              <w:t>Other Employee Expenses</w:t>
            </w:r>
          </w:p>
        </w:tc>
        <w:tc>
          <w:tcPr>
            <w:tcW w:w="1440" w:type="dxa"/>
            <w:hideMark/>
          </w:tcPr>
          <w:p w:rsidR="008D4D7E" w:rsidRPr="008D4D7E" w:rsidRDefault="008D4D7E" w:rsidP="008D4D7E">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8D4D7E">
              <w:rPr>
                <w:rFonts w:eastAsia="Times New Roman"/>
                <w:color w:val="000000"/>
                <w:szCs w:val="24"/>
              </w:rPr>
              <w:t>14,560</w:t>
            </w:r>
          </w:p>
        </w:tc>
      </w:tr>
      <w:tr w:rsidR="008D4D7E" w:rsidRPr="008D4D7E" w:rsidTr="008D4D7E">
        <w:trPr>
          <w:trHeight w:val="300"/>
          <w:jc w:val="center"/>
        </w:trPr>
        <w:tc>
          <w:tcPr>
            <w:cnfStyle w:val="001000000000" w:firstRow="0" w:lastRow="0" w:firstColumn="1" w:lastColumn="0" w:oddVBand="0" w:evenVBand="0" w:oddHBand="0" w:evenHBand="0" w:firstRowFirstColumn="0" w:firstRowLastColumn="0" w:lastRowFirstColumn="0" w:lastRowLastColumn="0"/>
            <w:tcW w:w="4180" w:type="dxa"/>
            <w:hideMark/>
          </w:tcPr>
          <w:p w:rsidR="008D4D7E" w:rsidRPr="008D4D7E" w:rsidRDefault="008D4D7E" w:rsidP="008D4D7E">
            <w:pPr>
              <w:spacing w:after="0"/>
              <w:rPr>
                <w:rFonts w:eastAsia="Times New Roman"/>
                <w:color w:val="000000"/>
                <w:szCs w:val="24"/>
              </w:rPr>
            </w:pPr>
            <w:r w:rsidRPr="008D4D7E">
              <w:rPr>
                <w:rFonts w:eastAsia="Times New Roman"/>
                <w:color w:val="000000"/>
                <w:szCs w:val="24"/>
              </w:rPr>
              <w:t>Total Employee Costs</w:t>
            </w:r>
          </w:p>
        </w:tc>
        <w:tc>
          <w:tcPr>
            <w:tcW w:w="1440" w:type="dxa"/>
            <w:hideMark/>
          </w:tcPr>
          <w:p w:rsidR="008D4D7E" w:rsidRPr="008D4D7E" w:rsidRDefault="008D4D7E" w:rsidP="008D4D7E">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zCs w:val="24"/>
              </w:rPr>
            </w:pPr>
            <w:r w:rsidRPr="008D4D7E">
              <w:rPr>
                <w:rFonts w:eastAsia="Times New Roman"/>
                <w:b/>
                <w:bCs/>
                <w:color w:val="000000"/>
                <w:szCs w:val="24"/>
              </w:rPr>
              <w:t>638,797</w:t>
            </w:r>
          </w:p>
        </w:tc>
      </w:tr>
      <w:tr w:rsidR="008D4D7E" w:rsidRPr="008D4D7E" w:rsidTr="008D4D7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80" w:type="dxa"/>
            <w:hideMark/>
          </w:tcPr>
          <w:p w:rsidR="008D4D7E" w:rsidRPr="008D4D7E" w:rsidRDefault="008D4D7E" w:rsidP="008D4D7E">
            <w:pPr>
              <w:spacing w:after="0"/>
              <w:rPr>
                <w:rFonts w:eastAsia="Times New Roman"/>
                <w:b w:val="0"/>
                <w:color w:val="000000"/>
                <w:szCs w:val="24"/>
              </w:rPr>
            </w:pPr>
            <w:r w:rsidRPr="008D4D7E">
              <w:rPr>
                <w:rFonts w:eastAsia="Times New Roman"/>
                <w:b w:val="0"/>
                <w:color w:val="000000"/>
                <w:szCs w:val="24"/>
              </w:rPr>
              <w:t>Running Costs</w:t>
            </w:r>
          </w:p>
        </w:tc>
        <w:tc>
          <w:tcPr>
            <w:tcW w:w="1440" w:type="dxa"/>
            <w:hideMark/>
          </w:tcPr>
          <w:p w:rsidR="008D4D7E" w:rsidRPr="008D4D7E" w:rsidRDefault="008D4D7E" w:rsidP="008D4D7E">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8D4D7E">
              <w:rPr>
                <w:rFonts w:eastAsia="Times New Roman"/>
                <w:color w:val="000000"/>
                <w:szCs w:val="24"/>
              </w:rPr>
              <w:t>119,342</w:t>
            </w:r>
          </w:p>
        </w:tc>
      </w:tr>
      <w:tr w:rsidR="008D4D7E" w:rsidRPr="008D4D7E" w:rsidTr="008D4D7E">
        <w:trPr>
          <w:trHeight w:val="300"/>
          <w:jc w:val="center"/>
        </w:trPr>
        <w:tc>
          <w:tcPr>
            <w:cnfStyle w:val="001000000000" w:firstRow="0" w:lastRow="0" w:firstColumn="1" w:lastColumn="0" w:oddVBand="0" w:evenVBand="0" w:oddHBand="0" w:evenHBand="0" w:firstRowFirstColumn="0" w:firstRowLastColumn="0" w:lastRowFirstColumn="0" w:lastRowLastColumn="0"/>
            <w:tcW w:w="4180" w:type="dxa"/>
            <w:hideMark/>
          </w:tcPr>
          <w:p w:rsidR="008D4D7E" w:rsidRPr="008D4D7E" w:rsidRDefault="008D4D7E" w:rsidP="008D4D7E">
            <w:pPr>
              <w:spacing w:after="0"/>
              <w:rPr>
                <w:rFonts w:eastAsia="Times New Roman"/>
                <w:b w:val="0"/>
                <w:color w:val="000000"/>
                <w:szCs w:val="24"/>
              </w:rPr>
            </w:pPr>
            <w:r w:rsidRPr="008D4D7E">
              <w:rPr>
                <w:rFonts w:eastAsia="Times New Roman"/>
                <w:b w:val="0"/>
                <w:color w:val="000000"/>
                <w:szCs w:val="24"/>
              </w:rPr>
              <w:t>Income</w:t>
            </w:r>
          </w:p>
        </w:tc>
        <w:tc>
          <w:tcPr>
            <w:tcW w:w="1440" w:type="dxa"/>
            <w:hideMark/>
          </w:tcPr>
          <w:p w:rsidR="008D4D7E" w:rsidRPr="008D4D7E" w:rsidRDefault="008D4D7E" w:rsidP="008D4D7E">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4"/>
              </w:rPr>
            </w:pPr>
            <w:r w:rsidRPr="008D4D7E">
              <w:rPr>
                <w:rFonts w:eastAsia="Times New Roman"/>
                <w:color w:val="000000"/>
                <w:szCs w:val="24"/>
              </w:rPr>
              <w:t>-78,465</w:t>
            </w:r>
          </w:p>
        </w:tc>
      </w:tr>
      <w:tr w:rsidR="008D4D7E" w:rsidRPr="008D4D7E" w:rsidTr="008D4D7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80" w:type="dxa"/>
            <w:hideMark/>
          </w:tcPr>
          <w:p w:rsidR="008D4D7E" w:rsidRPr="008D4D7E" w:rsidRDefault="008D4D7E" w:rsidP="008D4D7E">
            <w:pPr>
              <w:spacing w:after="0"/>
              <w:rPr>
                <w:rFonts w:eastAsia="Times New Roman"/>
                <w:color w:val="000000"/>
                <w:szCs w:val="24"/>
              </w:rPr>
            </w:pPr>
            <w:r w:rsidRPr="008D4D7E">
              <w:rPr>
                <w:rFonts w:eastAsia="Times New Roman"/>
                <w:color w:val="000000"/>
                <w:szCs w:val="24"/>
              </w:rPr>
              <w:t>Total Operational Budget</w:t>
            </w:r>
          </w:p>
        </w:tc>
        <w:tc>
          <w:tcPr>
            <w:tcW w:w="1440" w:type="dxa"/>
            <w:hideMark/>
          </w:tcPr>
          <w:p w:rsidR="008D4D7E" w:rsidRPr="008D4D7E" w:rsidRDefault="008D4D7E" w:rsidP="008D4D7E">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24"/>
              </w:rPr>
            </w:pPr>
            <w:r w:rsidRPr="008D4D7E">
              <w:rPr>
                <w:rFonts w:eastAsia="Times New Roman"/>
                <w:b/>
                <w:bCs/>
                <w:color w:val="000000"/>
                <w:szCs w:val="24"/>
              </w:rPr>
              <w:t>679,674</w:t>
            </w:r>
          </w:p>
        </w:tc>
      </w:tr>
      <w:tr w:rsidR="008D4D7E" w:rsidRPr="008D4D7E" w:rsidTr="008D4D7E">
        <w:trPr>
          <w:trHeight w:val="300"/>
          <w:jc w:val="center"/>
        </w:trPr>
        <w:tc>
          <w:tcPr>
            <w:cnfStyle w:val="001000000000" w:firstRow="0" w:lastRow="0" w:firstColumn="1" w:lastColumn="0" w:oddVBand="0" w:evenVBand="0" w:oddHBand="0" w:evenHBand="0" w:firstRowFirstColumn="0" w:firstRowLastColumn="0" w:lastRowFirstColumn="0" w:lastRowLastColumn="0"/>
            <w:tcW w:w="4180" w:type="dxa"/>
            <w:hideMark/>
          </w:tcPr>
          <w:p w:rsidR="008D4D7E" w:rsidRPr="008D4D7E" w:rsidRDefault="008D4D7E" w:rsidP="008D4D7E">
            <w:pPr>
              <w:spacing w:after="0"/>
              <w:rPr>
                <w:rFonts w:eastAsia="Times New Roman"/>
                <w:b w:val="0"/>
                <w:color w:val="000000"/>
                <w:szCs w:val="24"/>
              </w:rPr>
            </w:pPr>
            <w:r w:rsidRPr="008D4D7E">
              <w:rPr>
                <w:rFonts w:eastAsia="Times New Roman"/>
                <w:b w:val="0"/>
                <w:color w:val="000000"/>
                <w:szCs w:val="24"/>
              </w:rPr>
              <w:t>Change Programme</w:t>
            </w:r>
          </w:p>
        </w:tc>
        <w:tc>
          <w:tcPr>
            <w:tcW w:w="1440" w:type="dxa"/>
            <w:hideMark/>
          </w:tcPr>
          <w:p w:rsidR="008D4D7E" w:rsidRPr="008D4D7E" w:rsidRDefault="008D4D7E" w:rsidP="008D4D7E">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4"/>
              </w:rPr>
            </w:pPr>
            <w:r w:rsidRPr="008D4D7E">
              <w:rPr>
                <w:rFonts w:eastAsia="Times New Roman"/>
                <w:color w:val="000000"/>
                <w:szCs w:val="24"/>
              </w:rPr>
              <w:t>12,509</w:t>
            </w:r>
          </w:p>
        </w:tc>
      </w:tr>
      <w:tr w:rsidR="008D4D7E" w:rsidRPr="008D4D7E" w:rsidTr="008D4D7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80" w:type="dxa"/>
            <w:hideMark/>
          </w:tcPr>
          <w:p w:rsidR="008D4D7E" w:rsidRPr="008D4D7E" w:rsidRDefault="008D4D7E" w:rsidP="008D4D7E">
            <w:pPr>
              <w:spacing w:after="0"/>
              <w:rPr>
                <w:rFonts w:eastAsia="Times New Roman"/>
                <w:b w:val="0"/>
                <w:color w:val="000000"/>
                <w:szCs w:val="24"/>
              </w:rPr>
            </w:pPr>
            <w:r w:rsidRPr="008D4D7E">
              <w:rPr>
                <w:rFonts w:eastAsia="Times New Roman"/>
                <w:b w:val="0"/>
                <w:color w:val="000000"/>
                <w:szCs w:val="24"/>
              </w:rPr>
              <w:t>Capital Financing</w:t>
            </w:r>
          </w:p>
        </w:tc>
        <w:tc>
          <w:tcPr>
            <w:tcW w:w="1440" w:type="dxa"/>
            <w:hideMark/>
          </w:tcPr>
          <w:p w:rsidR="008D4D7E" w:rsidRPr="008D4D7E" w:rsidRDefault="008D4D7E" w:rsidP="008D4D7E">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8D4D7E">
              <w:rPr>
                <w:rFonts w:eastAsia="Times New Roman"/>
                <w:color w:val="000000"/>
                <w:szCs w:val="24"/>
              </w:rPr>
              <w:t>8,169</w:t>
            </w:r>
          </w:p>
        </w:tc>
      </w:tr>
      <w:tr w:rsidR="008D4D7E" w:rsidRPr="008D4D7E" w:rsidTr="008D4D7E">
        <w:trPr>
          <w:trHeight w:val="300"/>
          <w:jc w:val="center"/>
        </w:trPr>
        <w:tc>
          <w:tcPr>
            <w:cnfStyle w:val="001000000000" w:firstRow="0" w:lastRow="0" w:firstColumn="1" w:lastColumn="0" w:oddVBand="0" w:evenVBand="0" w:oddHBand="0" w:evenHBand="0" w:firstRowFirstColumn="0" w:firstRowLastColumn="0" w:lastRowFirstColumn="0" w:lastRowLastColumn="0"/>
            <w:tcW w:w="4180" w:type="dxa"/>
            <w:hideMark/>
          </w:tcPr>
          <w:p w:rsidR="008D4D7E" w:rsidRPr="008D4D7E" w:rsidRDefault="008D4D7E" w:rsidP="008D4D7E">
            <w:pPr>
              <w:spacing w:after="0"/>
              <w:rPr>
                <w:rFonts w:eastAsia="Times New Roman"/>
                <w:color w:val="000000"/>
                <w:szCs w:val="24"/>
              </w:rPr>
            </w:pPr>
            <w:r w:rsidRPr="008D4D7E">
              <w:rPr>
                <w:rFonts w:eastAsia="Times New Roman"/>
                <w:color w:val="000000"/>
                <w:szCs w:val="24"/>
              </w:rPr>
              <w:t>Total Police Force Budget</w:t>
            </w:r>
          </w:p>
        </w:tc>
        <w:tc>
          <w:tcPr>
            <w:tcW w:w="1440" w:type="dxa"/>
            <w:hideMark/>
          </w:tcPr>
          <w:p w:rsidR="008D4D7E" w:rsidRPr="008D4D7E" w:rsidRDefault="008D4D7E" w:rsidP="008D4D7E">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zCs w:val="24"/>
              </w:rPr>
            </w:pPr>
            <w:r w:rsidRPr="008D4D7E">
              <w:rPr>
                <w:rFonts w:eastAsia="Times New Roman"/>
                <w:b/>
                <w:bCs/>
                <w:color w:val="000000"/>
                <w:szCs w:val="24"/>
              </w:rPr>
              <w:t>700,352</w:t>
            </w:r>
          </w:p>
        </w:tc>
      </w:tr>
    </w:tbl>
    <w:p w:rsidR="00A963A1" w:rsidRDefault="00A963A1" w:rsidP="00C63DBD">
      <w:pPr>
        <w:pStyle w:val="NumPara"/>
        <w:numPr>
          <w:ilvl w:val="0"/>
          <w:numId w:val="0"/>
        </w:numPr>
        <w:ind w:left="851"/>
      </w:pPr>
    </w:p>
    <w:tbl>
      <w:tblPr>
        <w:tblStyle w:val="GridTable4-Accent1"/>
        <w:tblW w:w="5620" w:type="dxa"/>
        <w:jc w:val="center"/>
        <w:tblInd w:w="0" w:type="dxa"/>
        <w:tblLook w:val="04A0" w:firstRow="1" w:lastRow="0" w:firstColumn="1" w:lastColumn="0" w:noHBand="0" w:noVBand="1"/>
      </w:tblPr>
      <w:tblGrid>
        <w:gridCol w:w="4180"/>
        <w:gridCol w:w="1440"/>
      </w:tblGrid>
      <w:tr w:rsidR="008D4D7E" w:rsidRPr="008D4D7E" w:rsidTr="008D4D7E">
        <w:trPr>
          <w:cnfStyle w:val="100000000000" w:firstRow="1" w:lastRow="0" w:firstColumn="0" w:lastColumn="0" w:oddVBand="0" w:evenVBand="0" w:oddHBand="0" w:evenHBand="0"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4180" w:type="dxa"/>
            <w:hideMark/>
          </w:tcPr>
          <w:p w:rsidR="008D4D7E" w:rsidRPr="008D4D7E" w:rsidRDefault="008D4D7E" w:rsidP="008D4D7E">
            <w:pPr>
              <w:spacing w:after="0"/>
              <w:rPr>
                <w:rFonts w:eastAsia="Times New Roman"/>
                <w:color w:val="000000"/>
                <w:szCs w:val="24"/>
              </w:rPr>
            </w:pPr>
            <w:r w:rsidRPr="008D4D7E">
              <w:rPr>
                <w:rFonts w:eastAsia="Times New Roman"/>
                <w:color w:val="000000"/>
                <w:szCs w:val="24"/>
              </w:rPr>
              <w:t>Operational Budget Portfolio Breakdown</w:t>
            </w:r>
          </w:p>
        </w:tc>
        <w:tc>
          <w:tcPr>
            <w:tcW w:w="1440" w:type="dxa"/>
            <w:hideMark/>
          </w:tcPr>
          <w:p w:rsidR="008D4D7E" w:rsidRPr="008D4D7E" w:rsidRDefault="008D4D7E" w:rsidP="008D4D7E">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olor w:val="000000"/>
                <w:szCs w:val="24"/>
              </w:rPr>
            </w:pPr>
            <w:r w:rsidRPr="008D4D7E">
              <w:rPr>
                <w:rFonts w:eastAsia="Times New Roman"/>
                <w:color w:val="000000"/>
                <w:szCs w:val="24"/>
              </w:rPr>
              <w:t>2023/24 Budget</w:t>
            </w:r>
            <w:r w:rsidRPr="008D4D7E">
              <w:rPr>
                <w:rFonts w:eastAsia="Times New Roman"/>
                <w:color w:val="000000"/>
                <w:szCs w:val="24"/>
              </w:rPr>
              <w:br/>
              <w:t>£,000</w:t>
            </w:r>
          </w:p>
        </w:tc>
      </w:tr>
      <w:tr w:rsidR="008D4D7E" w:rsidRPr="008D4D7E" w:rsidTr="008D4D7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80" w:type="dxa"/>
            <w:hideMark/>
          </w:tcPr>
          <w:p w:rsidR="008D4D7E" w:rsidRPr="008D4D7E" w:rsidRDefault="008D4D7E" w:rsidP="008D4D7E">
            <w:pPr>
              <w:spacing w:after="0"/>
              <w:rPr>
                <w:rFonts w:eastAsia="Times New Roman"/>
                <w:b w:val="0"/>
                <w:color w:val="000000"/>
                <w:szCs w:val="24"/>
              </w:rPr>
            </w:pPr>
            <w:r w:rsidRPr="008D4D7E">
              <w:rPr>
                <w:rFonts w:eastAsia="Times New Roman"/>
                <w:b w:val="0"/>
                <w:color w:val="000000"/>
                <w:szCs w:val="24"/>
              </w:rPr>
              <w:t>Local Policing including Response</w:t>
            </w:r>
          </w:p>
        </w:tc>
        <w:tc>
          <w:tcPr>
            <w:tcW w:w="1440" w:type="dxa"/>
            <w:hideMark/>
          </w:tcPr>
          <w:p w:rsidR="008D4D7E" w:rsidRPr="008D4D7E" w:rsidRDefault="008D4D7E" w:rsidP="008D4D7E">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8D4D7E">
              <w:rPr>
                <w:rFonts w:eastAsia="Times New Roman"/>
                <w:color w:val="000000"/>
                <w:szCs w:val="24"/>
              </w:rPr>
              <w:t>193,072</w:t>
            </w:r>
          </w:p>
        </w:tc>
      </w:tr>
      <w:tr w:rsidR="008D4D7E" w:rsidRPr="008D4D7E" w:rsidTr="008D4D7E">
        <w:trPr>
          <w:trHeight w:val="300"/>
          <w:jc w:val="center"/>
        </w:trPr>
        <w:tc>
          <w:tcPr>
            <w:cnfStyle w:val="001000000000" w:firstRow="0" w:lastRow="0" w:firstColumn="1" w:lastColumn="0" w:oddVBand="0" w:evenVBand="0" w:oddHBand="0" w:evenHBand="0" w:firstRowFirstColumn="0" w:firstRowLastColumn="0" w:lastRowFirstColumn="0" w:lastRowLastColumn="0"/>
            <w:tcW w:w="4180" w:type="dxa"/>
            <w:hideMark/>
          </w:tcPr>
          <w:p w:rsidR="008D4D7E" w:rsidRPr="008D4D7E" w:rsidRDefault="008D4D7E" w:rsidP="008D4D7E">
            <w:pPr>
              <w:spacing w:after="0"/>
              <w:rPr>
                <w:rFonts w:eastAsia="Times New Roman"/>
                <w:b w:val="0"/>
                <w:color w:val="000000"/>
                <w:szCs w:val="24"/>
              </w:rPr>
            </w:pPr>
            <w:r w:rsidRPr="008D4D7E">
              <w:rPr>
                <w:rFonts w:eastAsia="Times New Roman"/>
                <w:b w:val="0"/>
                <w:color w:val="000000"/>
                <w:szCs w:val="24"/>
              </w:rPr>
              <w:t>Crime</w:t>
            </w:r>
          </w:p>
        </w:tc>
        <w:tc>
          <w:tcPr>
            <w:tcW w:w="1440" w:type="dxa"/>
            <w:hideMark/>
          </w:tcPr>
          <w:p w:rsidR="008D4D7E" w:rsidRPr="008D4D7E" w:rsidRDefault="008D4D7E" w:rsidP="008D4D7E">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4"/>
              </w:rPr>
            </w:pPr>
            <w:r w:rsidRPr="008D4D7E">
              <w:rPr>
                <w:rFonts w:eastAsia="Times New Roman"/>
                <w:color w:val="000000"/>
                <w:szCs w:val="24"/>
              </w:rPr>
              <w:t>182,644</w:t>
            </w:r>
          </w:p>
        </w:tc>
      </w:tr>
      <w:tr w:rsidR="008D4D7E" w:rsidRPr="008D4D7E" w:rsidTr="008D4D7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80" w:type="dxa"/>
            <w:hideMark/>
          </w:tcPr>
          <w:p w:rsidR="008D4D7E" w:rsidRPr="008D4D7E" w:rsidRDefault="008D4D7E" w:rsidP="008D4D7E">
            <w:pPr>
              <w:spacing w:after="0"/>
              <w:rPr>
                <w:rFonts w:eastAsia="Times New Roman"/>
                <w:b w:val="0"/>
                <w:color w:val="000000"/>
                <w:szCs w:val="24"/>
              </w:rPr>
            </w:pPr>
            <w:r w:rsidRPr="008D4D7E">
              <w:rPr>
                <w:rFonts w:eastAsia="Times New Roman"/>
                <w:b w:val="0"/>
                <w:color w:val="000000"/>
                <w:szCs w:val="24"/>
              </w:rPr>
              <w:t>Operations</w:t>
            </w:r>
          </w:p>
        </w:tc>
        <w:tc>
          <w:tcPr>
            <w:tcW w:w="1440" w:type="dxa"/>
            <w:hideMark/>
          </w:tcPr>
          <w:p w:rsidR="008D4D7E" w:rsidRPr="008D4D7E" w:rsidRDefault="008D4D7E" w:rsidP="008D4D7E">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8D4D7E">
              <w:rPr>
                <w:rFonts w:eastAsia="Times New Roman"/>
                <w:color w:val="000000"/>
                <w:szCs w:val="24"/>
              </w:rPr>
              <w:t>111,471</w:t>
            </w:r>
          </w:p>
        </w:tc>
      </w:tr>
      <w:tr w:rsidR="008D4D7E" w:rsidRPr="008D4D7E" w:rsidTr="008D4D7E">
        <w:trPr>
          <w:trHeight w:val="300"/>
          <w:jc w:val="center"/>
        </w:trPr>
        <w:tc>
          <w:tcPr>
            <w:cnfStyle w:val="001000000000" w:firstRow="0" w:lastRow="0" w:firstColumn="1" w:lastColumn="0" w:oddVBand="0" w:evenVBand="0" w:oddHBand="0" w:evenHBand="0" w:firstRowFirstColumn="0" w:firstRowLastColumn="0" w:lastRowFirstColumn="0" w:lastRowLastColumn="0"/>
            <w:tcW w:w="4180" w:type="dxa"/>
            <w:hideMark/>
          </w:tcPr>
          <w:p w:rsidR="008D4D7E" w:rsidRPr="008D4D7E" w:rsidRDefault="008D4D7E" w:rsidP="008D4D7E">
            <w:pPr>
              <w:spacing w:after="0"/>
              <w:rPr>
                <w:rFonts w:eastAsia="Times New Roman"/>
                <w:b w:val="0"/>
                <w:color w:val="000000"/>
                <w:szCs w:val="24"/>
              </w:rPr>
            </w:pPr>
            <w:r w:rsidRPr="008D4D7E">
              <w:rPr>
                <w:rFonts w:eastAsia="Times New Roman"/>
                <w:b w:val="0"/>
                <w:color w:val="000000"/>
                <w:szCs w:val="24"/>
              </w:rPr>
              <w:t>Security</w:t>
            </w:r>
            <w:r>
              <w:rPr>
                <w:rFonts w:eastAsia="Times New Roman"/>
                <w:b w:val="0"/>
                <w:color w:val="000000"/>
                <w:szCs w:val="24"/>
              </w:rPr>
              <w:t>*</w:t>
            </w:r>
          </w:p>
        </w:tc>
        <w:tc>
          <w:tcPr>
            <w:tcW w:w="1440" w:type="dxa"/>
            <w:hideMark/>
          </w:tcPr>
          <w:p w:rsidR="008D4D7E" w:rsidRPr="008D4D7E" w:rsidRDefault="008D4D7E" w:rsidP="008D4D7E">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4"/>
              </w:rPr>
            </w:pPr>
            <w:r w:rsidRPr="008D4D7E">
              <w:rPr>
                <w:rFonts w:eastAsia="Times New Roman"/>
                <w:color w:val="000000"/>
                <w:szCs w:val="24"/>
              </w:rPr>
              <w:t>41,475</w:t>
            </w:r>
          </w:p>
        </w:tc>
      </w:tr>
      <w:tr w:rsidR="008D4D7E" w:rsidRPr="008D4D7E" w:rsidTr="008D4D7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80" w:type="dxa"/>
            <w:hideMark/>
          </w:tcPr>
          <w:p w:rsidR="008D4D7E" w:rsidRPr="008D4D7E" w:rsidRDefault="008D4D7E" w:rsidP="008D4D7E">
            <w:pPr>
              <w:spacing w:after="0"/>
              <w:rPr>
                <w:rFonts w:eastAsia="Times New Roman"/>
                <w:b w:val="0"/>
                <w:color w:val="000000"/>
                <w:szCs w:val="24"/>
              </w:rPr>
            </w:pPr>
            <w:r w:rsidRPr="008D4D7E">
              <w:rPr>
                <w:rFonts w:eastAsia="Times New Roman"/>
                <w:b w:val="0"/>
                <w:color w:val="000000"/>
                <w:szCs w:val="24"/>
              </w:rPr>
              <w:t>Commercial Services</w:t>
            </w:r>
          </w:p>
        </w:tc>
        <w:tc>
          <w:tcPr>
            <w:tcW w:w="1440" w:type="dxa"/>
            <w:hideMark/>
          </w:tcPr>
          <w:p w:rsidR="008D4D7E" w:rsidRPr="008D4D7E" w:rsidRDefault="008D4D7E" w:rsidP="008D4D7E">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8D4D7E">
              <w:rPr>
                <w:rFonts w:eastAsia="Times New Roman"/>
                <w:color w:val="000000"/>
                <w:szCs w:val="24"/>
              </w:rPr>
              <w:t>95,622</w:t>
            </w:r>
          </w:p>
        </w:tc>
      </w:tr>
      <w:tr w:rsidR="008D4D7E" w:rsidRPr="008D4D7E" w:rsidTr="008D4D7E">
        <w:trPr>
          <w:trHeight w:val="300"/>
          <w:jc w:val="center"/>
        </w:trPr>
        <w:tc>
          <w:tcPr>
            <w:cnfStyle w:val="001000000000" w:firstRow="0" w:lastRow="0" w:firstColumn="1" w:lastColumn="0" w:oddVBand="0" w:evenVBand="0" w:oddHBand="0" w:evenHBand="0" w:firstRowFirstColumn="0" w:firstRowLastColumn="0" w:lastRowFirstColumn="0" w:lastRowLastColumn="0"/>
            <w:tcW w:w="4180" w:type="dxa"/>
            <w:hideMark/>
          </w:tcPr>
          <w:p w:rsidR="008D4D7E" w:rsidRPr="008D4D7E" w:rsidRDefault="008D4D7E" w:rsidP="008D4D7E">
            <w:pPr>
              <w:spacing w:after="0"/>
              <w:rPr>
                <w:rFonts w:eastAsia="Times New Roman"/>
                <w:b w:val="0"/>
                <w:color w:val="000000"/>
                <w:szCs w:val="24"/>
              </w:rPr>
            </w:pPr>
            <w:r w:rsidRPr="008D4D7E">
              <w:rPr>
                <w:rFonts w:eastAsia="Times New Roman"/>
                <w:b w:val="0"/>
                <w:color w:val="000000"/>
                <w:szCs w:val="24"/>
              </w:rPr>
              <w:t>People &amp; Organisation Development</w:t>
            </w:r>
          </w:p>
        </w:tc>
        <w:tc>
          <w:tcPr>
            <w:tcW w:w="1440" w:type="dxa"/>
            <w:hideMark/>
          </w:tcPr>
          <w:p w:rsidR="008D4D7E" w:rsidRPr="008D4D7E" w:rsidRDefault="008D4D7E" w:rsidP="008D4D7E">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4"/>
              </w:rPr>
            </w:pPr>
            <w:r w:rsidRPr="008D4D7E">
              <w:rPr>
                <w:rFonts w:eastAsia="Times New Roman"/>
                <w:color w:val="000000"/>
                <w:szCs w:val="24"/>
              </w:rPr>
              <w:t>33,626</w:t>
            </w:r>
          </w:p>
        </w:tc>
      </w:tr>
      <w:tr w:rsidR="008D4D7E" w:rsidRPr="008D4D7E" w:rsidTr="008D4D7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80" w:type="dxa"/>
            <w:hideMark/>
          </w:tcPr>
          <w:p w:rsidR="008D4D7E" w:rsidRPr="008D4D7E" w:rsidRDefault="008D4D7E" w:rsidP="008D4D7E">
            <w:pPr>
              <w:spacing w:after="0"/>
              <w:rPr>
                <w:rFonts w:eastAsia="Times New Roman"/>
                <w:b w:val="0"/>
                <w:color w:val="000000"/>
                <w:szCs w:val="24"/>
              </w:rPr>
            </w:pPr>
            <w:r w:rsidRPr="008D4D7E">
              <w:rPr>
                <w:rFonts w:eastAsia="Times New Roman"/>
                <w:b w:val="0"/>
                <w:color w:val="000000"/>
                <w:szCs w:val="24"/>
              </w:rPr>
              <w:t>Other</w:t>
            </w:r>
          </w:p>
        </w:tc>
        <w:tc>
          <w:tcPr>
            <w:tcW w:w="1440" w:type="dxa"/>
            <w:hideMark/>
          </w:tcPr>
          <w:p w:rsidR="008D4D7E" w:rsidRPr="008D4D7E" w:rsidRDefault="008D4D7E" w:rsidP="008D4D7E">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8D4D7E">
              <w:rPr>
                <w:rFonts w:eastAsia="Times New Roman"/>
                <w:color w:val="000000"/>
                <w:szCs w:val="24"/>
              </w:rPr>
              <w:t>21,763</w:t>
            </w:r>
          </w:p>
        </w:tc>
      </w:tr>
      <w:tr w:rsidR="008D4D7E" w:rsidRPr="008D4D7E" w:rsidTr="008D4D7E">
        <w:trPr>
          <w:trHeight w:val="300"/>
          <w:jc w:val="center"/>
        </w:trPr>
        <w:tc>
          <w:tcPr>
            <w:cnfStyle w:val="001000000000" w:firstRow="0" w:lastRow="0" w:firstColumn="1" w:lastColumn="0" w:oddVBand="0" w:evenVBand="0" w:oddHBand="0" w:evenHBand="0" w:firstRowFirstColumn="0" w:firstRowLastColumn="0" w:lastRowFirstColumn="0" w:lastRowLastColumn="0"/>
            <w:tcW w:w="4180" w:type="dxa"/>
            <w:hideMark/>
          </w:tcPr>
          <w:p w:rsidR="008D4D7E" w:rsidRPr="008D4D7E" w:rsidRDefault="008D4D7E" w:rsidP="008D4D7E">
            <w:pPr>
              <w:spacing w:after="0"/>
              <w:rPr>
                <w:rFonts w:eastAsia="Times New Roman"/>
                <w:color w:val="000000"/>
                <w:szCs w:val="24"/>
              </w:rPr>
            </w:pPr>
            <w:r w:rsidRPr="008D4D7E">
              <w:rPr>
                <w:rFonts w:eastAsia="Times New Roman"/>
                <w:color w:val="000000"/>
                <w:szCs w:val="24"/>
              </w:rPr>
              <w:t>Total Operational Budget</w:t>
            </w:r>
          </w:p>
        </w:tc>
        <w:tc>
          <w:tcPr>
            <w:tcW w:w="1440" w:type="dxa"/>
            <w:hideMark/>
          </w:tcPr>
          <w:p w:rsidR="008D4D7E" w:rsidRPr="008D4D7E" w:rsidRDefault="008D4D7E" w:rsidP="008D4D7E">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zCs w:val="24"/>
              </w:rPr>
            </w:pPr>
            <w:r w:rsidRPr="008D4D7E">
              <w:rPr>
                <w:rFonts w:eastAsia="Times New Roman"/>
                <w:b/>
                <w:bCs/>
                <w:color w:val="000000"/>
                <w:szCs w:val="24"/>
              </w:rPr>
              <w:t>679,674</w:t>
            </w:r>
          </w:p>
        </w:tc>
      </w:tr>
      <w:tr w:rsidR="008D4D7E" w:rsidRPr="008D4D7E" w:rsidTr="008D4D7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80" w:type="dxa"/>
            <w:hideMark/>
          </w:tcPr>
          <w:p w:rsidR="008D4D7E" w:rsidRPr="008D4D7E" w:rsidRDefault="008D4D7E" w:rsidP="008D4D7E">
            <w:pPr>
              <w:spacing w:after="0"/>
              <w:rPr>
                <w:rFonts w:eastAsia="Times New Roman"/>
                <w:b w:val="0"/>
                <w:color w:val="000000"/>
                <w:szCs w:val="24"/>
              </w:rPr>
            </w:pPr>
            <w:r w:rsidRPr="008D4D7E">
              <w:rPr>
                <w:rFonts w:eastAsia="Times New Roman"/>
                <w:b w:val="0"/>
                <w:color w:val="000000"/>
                <w:szCs w:val="24"/>
              </w:rPr>
              <w:t>Change Programme</w:t>
            </w:r>
          </w:p>
        </w:tc>
        <w:tc>
          <w:tcPr>
            <w:tcW w:w="1440" w:type="dxa"/>
            <w:hideMark/>
          </w:tcPr>
          <w:p w:rsidR="008D4D7E" w:rsidRPr="008D4D7E" w:rsidRDefault="008D4D7E" w:rsidP="008D4D7E">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8D4D7E">
              <w:rPr>
                <w:rFonts w:eastAsia="Times New Roman"/>
                <w:color w:val="000000"/>
                <w:szCs w:val="24"/>
              </w:rPr>
              <w:t>12,509</w:t>
            </w:r>
          </w:p>
        </w:tc>
      </w:tr>
      <w:tr w:rsidR="008D4D7E" w:rsidRPr="008D4D7E" w:rsidTr="008D4D7E">
        <w:trPr>
          <w:trHeight w:val="300"/>
          <w:jc w:val="center"/>
        </w:trPr>
        <w:tc>
          <w:tcPr>
            <w:cnfStyle w:val="001000000000" w:firstRow="0" w:lastRow="0" w:firstColumn="1" w:lastColumn="0" w:oddVBand="0" w:evenVBand="0" w:oddHBand="0" w:evenHBand="0" w:firstRowFirstColumn="0" w:firstRowLastColumn="0" w:lastRowFirstColumn="0" w:lastRowLastColumn="0"/>
            <w:tcW w:w="4180" w:type="dxa"/>
            <w:hideMark/>
          </w:tcPr>
          <w:p w:rsidR="008D4D7E" w:rsidRPr="008D4D7E" w:rsidRDefault="008D4D7E" w:rsidP="008D4D7E">
            <w:pPr>
              <w:spacing w:after="0"/>
              <w:rPr>
                <w:rFonts w:eastAsia="Times New Roman"/>
                <w:b w:val="0"/>
                <w:color w:val="000000"/>
                <w:szCs w:val="24"/>
              </w:rPr>
            </w:pPr>
            <w:r w:rsidRPr="008D4D7E">
              <w:rPr>
                <w:rFonts w:eastAsia="Times New Roman"/>
                <w:b w:val="0"/>
                <w:color w:val="000000"/>
                <w:szCs w:val="24"/>
              </w:rPr>
              <w:t>Capital Financing</w:t>
            </w:r>
          </w:p>
        </w:tc>
        <w:tc>
          <w:tcPr>
            <w:tcW w:w="1440" w:type="dxa"/>
            <w:hideMark/>
          </w:tcPr>
          <w:p w:rsidR="008D4D7E" w:rsidRPr="008D4D7E" w:rsidRDefault="008D4D7E" w:rsidP="008D4D7E">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4"/>
              </w:rPr>
            </w:pPr>
            <w:r w:rsidRPr="008D4D7E">
              <w:rPr>
                <w:rFonts w:eastAsia="Times New Roman"/>
                <w:color w:val="000000"/>
                <w:szCs w:val="24"/>
              </w:rPr>
              <w:t>8,169</w:t>
            </w:r>
          </w:p>
        </w:tc>
      </w:tr>
      <w:tr w:rsidR="008D4D7E" w:rsidRPr="008D4D7E" w:rsidTr="008D4D7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80" w:type="dxa"/>
            <w:hideMark/>
          </w:tcPr>
          <w:p w:rsidR="008D4D7E" w:rsidRPr="008D4D7E" w:rsidRDefault="008D4D7E" w:rsidP="008D4D7E">
            <w:pPr>
              <w:spacing w:after="0"/>
              <w:rPr>
                <w:rFonts w:eastAsia="Times New Roman"/>
                <w:color w:val="000000"/>
                <w:szCs w:val="24"/>
              </w:rPr>
            </w:pPr>
            <w:r w:rsidRPr="008D4D7E">
              <w:rPr>
                <w:rFonts w:eastAsia="Times New Roman"/>
                <w:color w:val="000000"/>
                <w:szCs w:val="24"/>
              </w:rPr>
              <w:t>Total Police Force Budget</w:t>
            </w:r>
          </w:p>
        </w:tc>
        <w:tc>
          <w:tcPr>
            <w:tcW w:w="1440" w:type="dxa"/>
            <w:hideMark/>
          </w:tcPr>
          <w:p w:rsidR="008D4D7E" w:rsidRPr="008D4D7E" w:rsidRDefault="008D4D7E" w:rsidP="008D4D7E">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24"/>
              </w:rPr>
            </w:pPr>
            <w:r w:rsidRPr="008D4D7E">
              <w:rPr>
                <w:rFonts w:eastAsia="Times New Roman"/>
                <w:b/>
                <w:bCs/>
                <w:color w:val="000000"/>
                <w:szCs w:val="24"/>
              </w:rPr>
              <w:t>700,352</w:t>
            </w:r>
          </w:p>
        </w:tc>
      </w:tr>
    </w:tbl>
    <w:p w:rsidR="008D4D7E" w:rsidRPr="008D4D7E" w:rsidRDefault="008D4D7E" w:rsidP="008D4D7E">
      <w:pPr>
        <w:pStyle w:val="NumPara"/>
        <w:numPr>
          <w:ilvl w:val="0"/>
          <w:numId w:val="0"/>
        </w:numPr>
        <w:ind w:left="2160"/>
        <w:rPr>
          <w:i/>
        </w:rPr>
      </w:pPr>
      <w:r w:rsidRPr="008D4D7E">
        <w:rPr>
          <w:i/>
        </w:rPr>
        <w:t>*CTU is net of Counter Terrorism Grant</w:t>
      </w:r>
    </w:p>
    <w:p w:rsidR="005C25A9" w:rsidRDefault="005C25A9" w:rsidP="006854C7">
      <w:pPr>
        <w:pStyle w:val="Heading1"/>
      </w:pPr>
      <w:r>
        <w:lastRenderedPageBreak/>
        <w:t xml:space="preserve">Appendix </w:t>
      </w:r>
      <w:r w:rsidR="00830681">
        <w:t>3</w:t>
      </w:r>
      <w:r>
        <w:t xml:space="preserve"> – Capital Strategy 2023/24 to 2026/27</w:t>
      </w:r>
    </w:p>
    <w:p w:rsidR="005C25A9" w:rsidRPr="00217C21" w:rsidRDefault="00217C21" w:rsidP="006854C7">
      <w:pPr>
        <w:pStyle w:val="Heading2"/>
        <w:rPr>
          <w:b/>
        </w:rPr>
      </w:pPr>
      <w:r w:rsidRPr="00217C21">
        <w:rPr>
          <w:b/>
        </w:rPr>
        <w:t>Background and Introduction</w:t>
      </w:r>
    </w:p>
    <w:p w:rsidR="00217C21" w:rsidRPr="00D91301" w:rsidRDefault="00217C21" w:rsidP="00217C21">
      <w:pPr>
        <w:pStyle w:val="Heading4"/>
        <w:rPr>
          <w:rFonts w:eastAsia="Verdana"/>
        </w:rPr>
      </w:pPr>
      <w:r>
        <w:rPr>
          <w:rFonts w:eastAsia="Times New Roman"/>
        </w:rPr>
        <w:t xml:space="preserve">The CIPFA </w:t>
      </w:r>
      <w:r w:rsidRPr="00D91301">
        <w:rPr>
          <w:rFonts w:eastAsia="Verdana"/>
        </w:rPr>
        <w:t xml:space="preserve">(Chartered Institute of Public Finance and Accountancy) 2021 Prudential and Treasury Management Codes require all local authorities (which includes Policing Bodies) to prepare a capital strategy report and there is a need for the Capital </w:t>
      </w:r>
      <w:r w:rsidR="00525549">
        <w:rPr>
          <w:rFonts w:eastAsia="Verdana"/>
        </w:rPr>
        <w:t>S</w:t>
      </w:r>
      <w:r w:rsidRPr="00D91301">
        <w:rPr>
          <w:rFonts w:eastAsia="Verdana"/>
        </w:rPr>
        <w:t>trategy to be approved before the start of each financial year.</w:t>
      </w:r>
    </w:p>
    <w:p w:rsidR="006854C7" w:rsidRDefault="00217C21" w:rsidP="00217C21">
      <w:pPr>
        <w:pStyle w:val="Heading4"/>
        <w:rPr>
          <w:rFonts w:eastAsia="Verdana" w:cs="Arial"/>
        </w:rPr>
      </w:pPr>
      <w:r w:rsidRPr="00D91301">
        <w:rPr>
          <w:rFonts w:eastAsia="Verdana" w:cs="Arial"/>
        </w:rPr>
        <w:t>The Capital Strategy for the Police and Crime Commissioner (PCC) for the West Midlands and West Midlands Police is a key overarching document and sets out the policy framework for developing, managing, and monitoring capital investment</w:t>
      </w:r>
      <w:r w:rsidR="00830681">
        <w:rPr>
          <w:rFonts w:eastAsia="Verdana" w:cs="Arial"/>
        </w:rPr>
        <w:t xml:space="preserve">.  </w:t>
      </w:r>
    </w:p>
    <w:p w:rsidR="00217C21" w:rsidRDefault="00217C21" w:rsidP="00217C21">
      <w:pPr>
        <w:pStyle w:val="Heading2"/>
        <w:rPr>
          <w:b/>
        </w:rPr>
      </w:pPr>
      <w:r w:rsidRPr="00217C21">
        <w:rPr>
          <w:b/>
        </w:rPr>
        <w:t>Purpose</w:t>
      </w:r>
    </w:p>
    <w:p w:rsidR="00217C21" w:rsidRDefault="00217C21" w:rsidP="00217C21">
      <w:pPr>
        <w:pStyle w:val="Heading4"/>
      </w:pPr>
      <w:r>
        <w:t>This</w:t>
      </w:r>
      <w:r w:rsidRPr="00217C21">
        <w:t xml:space="preserve"> </w:t>
      </w:r>
      <w:r w:rsidR="00844094">
        <w:t>C</w:t>
      </w:r>
      <w:r>
        <w:t xml:space="preserve">apital </w:t>
      </w:r>
      <w:r w:rsidR="00844094">
        <w:t>S</w:t>
      </w:r>
      <w:r>
        <w:t xml:space="preserve">trategy provides a framework for the development of the Capital Programme which sets out the investment in assets and identifies the resources required for that investment. It also represents the intentions for capital investment reflective of strategic priorities, objectives, and outcomes. Guiding the importance of a link from capital investment to strategic outcomes.  </w:t>
      </w:r>
    </w:p>
    <w:p w:rsidR="00217C21" w:rsidRDefault="00217C21" w:rsidP="00217C21">
      <w:pPr>
        <w:pStyle w:val="Heading4"/>
      </w:pPr>
      <w:r>
        <w:t xml:space="preserve">To sustain this service and meet the objectives set out in the Police and Crime Plan, the Capital Strategy also gives an overview of how the Police and Crime Commissioner (PCC) will apply the principles set out in the CIPFA Prudential Code to test the affordability of the Capital Strategy. It is therefore also closely linked to the Reserves Strategy and Treasury Management Strategy which includes the Investment Strategy, Borrowing Strategy and Prudential Indicators. </w:t>
      </w:r>
    </w:p>
    <w:p w:rsidR="00217C21" w:rsidRDefault="00217C21" w:rsidP="00217C21">
      <w:pPr>
        <w:pStyle w:val="Heading4"/>
      </w:pPr>
      <w:r>
        <w:t>Additionally, this strategy aligns to the Police and Crime Plan and demonstrates how investment decisions properly take account of stewardship, value for money, prudence, risk, sustainability, and affordability.</w:t>
      </w:r>
    </w:p>
    <w:p w:rsidR="00217C21" w:rsidRDefault="00217C21" w:rsidP="00217C21">
      <w:pPr>
        <w:pStyle w:val="Heading4"/>
      </w:pPr>
      <w:r>
        <w:t xml:space="preserve">The policy sits below the Police and Crime plan and This Work Matters and above more detailed capital strategies for Estates, Fleet, </w:t>
      </w:r>
      <w:r w:rsidR="00830681">
        <w:t xml:space="preserve">Environmental Sustainability </w:t>
      </w:r>
      <w:r>
        <w:t>and IT and digital and plays a role in prioritisation and co-ordination of those strategies.</w:t>
      </w:r>
    </w:p>
    <w:p w:rsidR="00217C21" w:rsidRDefault="00217C21" w:rsidP="00217C21">
      <w:pPr>
        <w:pStyle w:val="Heading4"/>
      </w:pPr>
      <w:r>
        <w:t>The operation of all these strategies and plans is underpinned by the Code of Corporate Governance which includes Contract Procedure Rules and the Force’s Financial Regulations.</w:t>
      </w:r>
    </w:p>
    <w:p w:rsidR="00217C21" w:rsidRDefault="00217C21" w:rsidP="00217C21">
      <w:pPr>
        <w:pStyle w:val="Heading4"/>
      </w:pPr>
      <w:r>
        <w:t xml:space="preserve">The strategy also considers how any associated risks are managed and the implications of future financial sustainability.  </w:t>
      </w:r>
    </w:p>
    <w:p w:rsidR="00217C21" w:rsidRPr="00217C21" w:rsidRDefault="00217C21" w:rsidP="00217C21">
      <w:pPr>
        <w:pStyle w:val="Heading2"/>
        <w:rPr>
          <w:b/>
        </w:rPr>
      </w:pPr>
      <w:r w:rsidRPr="00217C21">
        <w:rPr>
          <w:b/>
        </w:rPr>
        <w:t>Scope</w:t>
      </w:r>
    </w:p>
    <w:p w:rsidR="006854C7" w:rsidRDefault="00217C21" w:rsidP="00217C21">
      <w:pPr>
        <w:pStyle w:val="Heading4"/>
      </w:pPr>
      <w:r>
        <w:t>In managing capital investment for the Police and Crime Commissioner and West Midlands Police this strategy considers the following areas:</w:t>
      </w:r>
    </w:p>
    <w:p w:rsidR="00ED292B" w:rsidRDefault="00ED292B">
      <w:pPr>
        <w:spacing w:after="200"/>
      </w:pPr>
      <w:r>
        <w:br w:type="page"/>
      </w:r>
    </w:p>
    <w:p w:rsidR="00ED292B" w:rsidRPr="00ED292B" w:rsidRDefault="00ED292B" w:rsidP="004A5911">
      <w:pPr>
        <w:pStyle w:val="Heading4"/>
        <w:numPr>
          <w:ilvl w:val="2"/>
          <w:numId w:val="26"/>
        </w:numPr>
        <w:ind w:left="1191" w:hanging="340"/>
      </w:pPr>
      <w:r>
        <w:lastRenderedPageBreak/>
        <w:t>Governance Frame</w:t>
      </w:r>
      <w:r w:rsidRPr="00ED292B">
        <w:t>work</w:t>
      </w:r>
    </w:p>
    <w:p w:rsidR="00ED292B" w:rsidRPr="00ED292B" w:rsidRDefault="00ED292B" w:rsidP="004A5911">
      <w:pPr>
        <w:pStyle w:val="Heading4"/>
        <w:numPr>
          <w:ilvl w:val="2"/>
          <w:numId w:val="26"/>
        </w:numPr>
        <w:ind w:left="1191" w:hanging="340"/>
      </w:pPr>
      <w:r w:rsidRPr="00ED292B">
        <w:t>Capital Expenditure Priorities</w:t>
      </w:r>
    </w:p>
    <w:p w:rsidR="00ED292B" w:rsidRPr="00ED292B" w:rsidRDefault="00ED292B" w:rsidP="004A5911">
      <w:pPr>
        <w:pStyle w:val="Heading4"/>
        <w:numPr>
          <w:ilvl w:val="2"/>
          <w:numId w:val="26"/>
        </w:numPr>
        <w:ind w:left="1191" w:hanging="340"/>
      </w:pPr>
      <w:r w:rsidRPr="00ED292B">
        <w:t>Capital Investment Priorities</w:t>
      </w:r>
    </w:p>
    <w:p w:rsidR="00ED292B" w:rsidRPr="00ED292B" w:rsidRDefault="00497378" w:rsidP="004A5911">
      <w:pPr>
        <w:pStyle w:val="Heading4"/>
        <w:numPr>
          <w:ilvl w:val="2"/>
          <w:numId w:val="26"/>
        </w:numPr>
        <w:ind w:left="1191" w:hanging="340"/>
      </w:pPr>
      <w:r>
        <w:t>Prioritisation Approach</w:t>
      </w:r>
    </w:p>
    <w:p w:rsidR="00497378" w:rsidRPr="00ED292B" w:rsidRDefault="00497378" w:rsidP="00497378">
      <w:pPr>
        <w:pStyle w:val="Heading4"/>
        <w:numPr>
          <w:ilvl w:val="2"/>
          <w:numId w:val="26"/>
        </w:numPr>
        <w:ind w:left="1191" w:hanging="340"/>
      </w:pPr>
      <w:r>
        <w:t>Capital Funding</w:t>
      </w:r>
    </w:p>
    <w:p w:rsidR="00497378" w:rsidRDefault="000E3BAA" w:rsidP="00497378">
      <w:pPr>
        <w:pStyle w:val="Heading4"/>
        <w:numPr>
          <w:ilvl w:val="2"/>
          <w:numId w:val="26"/>
        </w:numPr>
        <w:ind w:left="1191" w:hanging="340"/>
      </w:pPr>
      <w:r>
        <w:t>Monitoring Capital Projects</w:t>
      </w:r>
    </w:p>
    <w:p w:rsidR="000E3BAA" w:rsidRDefault="000E3BAA" w:rsidP="000E3BAA">
      <w:pPr>
        <w:pStyle w:val="Heading4"/>
        <w:numPr>
          <w:ilvl w:val="2"/>
          <w:numId w:val="26"/>
        </w:numPr>
        <w:ind w:left="1191" w:hanging="340"/>
      </w:pPr>
      <w:r w:rsidRPr="00ED292B">
        <w:t>Benefits Realisation</w:t>
      </w:r>
    </w:p>
    <w:p w:rsidR="000E3BAA" w:rsidRDefault="000E3BAA" w:rsidP="000E3BAA">
      <w:pPr>
        <w:pStyle w:val="Heading4"/>
        <w:numPr>
          <w:ilvl w:val="2"/>
          <w:numId w:val="26"/>
        </w:numPr>
        <w:ind w:left="1191" w:hanging="340"/>
      </w:pPr>
      <w:r>
        <w:t>Risk Management</w:t>
      </w:r>
    </w:p>
    <w:p w:rsidR="00C65A94" w:rsidRPr="00ED292B" w:rsidRDefault="00C65A94" w:rsidP="00ED292B">
      <w:pPr>
        <w:pStyle w:val="Heading2"/>
        <w:rPr>
          <w:b/>
        </w:rPr>
      </w:pPr>
      <w:r w:rsidRPr="00ED292B">
        <w:rPr>
          <w:b/>
        </w:rPr>
        <w:t>Governance Framework</w:t>
      </w:r>
    </w:p>
    <w:p w:rsidR="00C65A94" w:rsidRDefault="004A5911" w:rsidP="00C65A94">
      <w:pPr>
        <w:pStyle w:val="Heading4"/>
        <w:rPr>
          <w:rFonts w:eastAsia="Verdana" w:cs="Arial"/>
        </w:rPr>
      </w:pPr>
      <w:r>
        <w:t>A</w:t>
      </w:r>
      <w:r w:rsidR="00C65A94">
        <w:t xml:space="preserve"> Capital Strategy Board (CSB) </w:t>
      </w:r>
      <w:r w:rsidR="00497378">
        <w:t xml:space="preserve">will be </w:t>
      </w:r>
      <w:r>
        <w:t xml:space="preserve">set up </w:t>
      </w:r>
      <w:r w:rsidR="00497378">
        <w:t xml:space="preserve">in early 2023/24 </w:t>
      </w:r>
      <w:r>
        <w:t xml:space="preserve">to </w:t>
      </w:r>
      <w:r w:rsidR="00C65A94">
        <w:t xml:space="preserve">set the </w:t>
      </w:r>
      <w:r w:rsidR="00C65A94" w:rsidRPr="56D68AAF">
        <w:rPr>
          <w:rFonts w:eastAsia="Verdana" w:cs="Arial"/>
        </w:rPr>
        <w:t>strategic priorities for capital investment, ha</w:t>
      </w:r>
      <w:r>
        <w:rPr>
          <w:rFonts w:eastAsia="Verdana" w:cs="Arial"/>
        </w:rPr>
        <w:t>ve</w:t>
      </w:r>
      <w:r w:rsidR="00C65A94" w:rsidRPr="56D68AAF">
        <w:rPr>
          <w:rFonts w:eastAsia="Verdana" w:cs="Arial"/>
        </w:rPr>
        <w:t xml:space="preserve"> an overview of the progress in terms of financial position, and benefits realisation. It ensures that capital priorities are aligned to organisational priorities and sees reports on revenue impact as wel</w:t>
      </w:r>
      <w:r w:rsidR="00C65A94">
        <w:rPr>
          <w:rFonts w:eastAsia="Verdana" w:cs="Arial"/>
        </w:rPr>
        <w:t>l.</w:t>
      </w:r>
    </w:p>
    <w:p w:rsidR="00C65A94" w:rsidRDefault="00C65A94" w:rsidP="00C65A94">
      <w:pPr>
        <w:pStyle w:val="Heading4"/>
        <w:rPr>
          <w:rFonts w:eastAsia="Verdana" w:cs="Arial"/>
        </w:rPr>
      </w:pPr>
      <w:r>
        <w:t xml:space="preserve">It sets </w:t>
      </w:r>
      <w:r w:rsidRPr="56D68AAF">
        <w:rPr>
          <w:rFonts w:eastAsia="Verdana" w:cs="Arial"/>
        </w:rPr>
        <w:t>the prioritisation framework</w:t>
      </w:r>
      <w:r w:rsidR="002D790D">
        <w:rPr>
          <w:rFonts w:eastAsia="Verdana" w:cs="Arial"/>
        </w:rPr>
        <w:t>,</w:t>
      </w:r>
      <w:r w:rsidR="005308BD">
        <w:rPr>
          <w:rFonts w:eastAsia="Verdana" w:cs="Arial"/>
        </w:rPr>
        <w:t xml:space="preserve"> </w:t>
      </w:r>
      <w:r w:rsidRPr="56D68AAF">
        <w:rPr>
          <w:rFonts w:eastAsia="Verdana" w:cs="Arial"/>
        </w:rPr>
        <w:t>set</w:t>
      </w:r>
      <w:r w:rsidR="002D790D">
        <w:rPr>
          <w:rFonts w:eastAsia="Verdana" w:cs="Arial"/>
        </w:rPr>
        <w:t>ting</w:t>
      </w:r>
      <w:r w:rsidRPr="56D68AAF">
        <w:rPr>
          <w:rFonts w:eastAsia="Verdana" w:cs="Arial"/>
        </w:rPr>
        <w:t xml:space="preserve"> out the terms </w:t>
      </w:r>
      <w:r w:rsidR="002D790D">
        <w:rPr>
          <w:rFonts w:eastAsia="Verdana" w:cs="Arial"/>
        </w:rPr>
        <w:t xml:space="preserve">and approvals </w:t>
      </w:r>
      <w:r w:rsidRPr="56D68AAF">
        <w:rPr>
          <w:rFonts w:eastAsia="Verdana" w:cs="Arial"/>
        </w:rPr>
        <w:t>for business cases and business as usual capital plans against an agreed prioritisation framework</w:t>
      </w:r>
      <w:r>
        <w:rPr>
          <w:rFonts w:eastAsia="Verdana" w:cs="Arial"/>
        </w:rPr>
        <w:t>.</w:t>
      </w:r>
    </w:p>
    <w:p w:rsidR="00C65A94" w:rsidRPr="000D0ACF" w:rsidRDefault="00C65A94" w:rsidP="00C65A94">
      <w:pPr>
        <w:pStyle w:val="Heading4"/>
        <w:rPr>
          <w:rFonts w:eastAsia="Verdana"/>
        </w:rPr>
      </w:pPr>
      <w:r w:rsidRPr="56D68AAF">
        <w:rPr>
          <w:rFonts w:eastAsia="Verdana"/>
        </w:rPr>
        <w:t>This works in line with the 2-gateway process that is currently in place. An outline business case is prepared first and may inform the strategy and MTFP with provisional figures. However, then a full business case is prepared which may require modification.</w:t>
      </w:r>
    </w:p>
    <w:p w:rsidR="00C65A94" w:rsidRPr="00D91301" w:rsidRDefault="00C65A94" w:rsidP="00C65A94">
      <w:pPr>
        <w:pStyle w:val="Heading4"/>
        <w:rPr>
          <w:rFonts w:eastAsia="Verdana"/>
        </w:rPr>
      </w:pPr>
      <w:r w:rsidRPr="56D68AAF">
        <w:rPr>
          <w:rFonts w:eastAsia="Verdana"/>
        </w:rPr>
        <w:t xml:space="preserve">The CSB board investment decisions are made based upon the presentation of a business case. These are considered and challenged at the Capital strategy Board (CSB) </w:t>
      </w:r>
      <w:r w:rsidR="004A5911">
        <w:rPr>
          <w:rFonts w:eastAsia="Verdana"/>
        </w:rPr>
        <w:t>m</w:t>
      </w:r>
      <w:r w:rsidRPr="56D68AAF">
        <w:rPr>
          <w:rFonts w:eastAsia="Verdana"/>
        </w:rPr>
        <w:t>eetings</w:t>
      </w:r>
      <w:r w:rsidR="004A5911">
        <w:rPr>
          <w:rFonts w:eastAsia="Verdana"/>
        </w:rPr>
        <w:t>; attendees include th</w:t>
      </w:r>
      <w:r w:rsidRPr="56D68AAF">
        <w:rPr>
          <w:rFonts w:eastAsia="Verdana"/>
        </w:rPr>
        <w:t>e Chief Finance Officers of both the Chief Constable and the PCC and representatives from key stakeholders Assistant Direct</w:t>
      </w:r>
      <w:r w:rsidR="002D790D">
        <w:rPr>
          <w:rFonts w:eastAsia="Verdana"/>
        </w:rPr>
        <w:t>or</w:t>
      </w:r>
      <w:r w:rsidRPr="56D68AAF">
        <w:rPr>
          <w:rFonts w:eastAsia="Verdana"/>
        </w:rPr>
        <w:t xml:space="preserve"> of </w:t>
      </w:r>
      <w:r w:rsidR="002D790D">
        <w:rPr>
          <w:rFonts w:eastAsia="Verdana"/>
        </w:rPr>
        <w:t>F</w:t>
      </w:r>
      <w:r w:rsidRPr="56D68AAF">
        <w:rPr>
          <w:rFonts w:eastAsia="Verdana"/>
        </w:rPr>
        <w:t xml:space="preserve">inance &amp; </w:t>
      </w:r>
      <w:r w:rsidR="002D790D">
        <w:rPr>
          <w:rFonts w:eastAsia="Verdana"/>
        </w:rPr>
        <w:t>P</w:t>
      </w:r>
      <w:r w:rsidRPr="56D68AAF">
        <w:rPr>
          <w:rFonts w:eastAsia="Verdana"/>
        </w:rPr>
        <w:t>rocurement, Head of Corporate Asset Management, Deputy Chief Constable, Director of Commercial Services.</w:t>
      </w:r>
    </w:p>
    <w:p w:rsidR="00C65A94" w:rsidRPr="00D91301" w:rsidRDefault="00C65A94" w:rsidP="00C65A94">
      <w:pPr>
        <w:pStyle w:val="Heading4"/>
      </w:pPr>
      <w:r w:rsidRPr="00D91301">
        <w:rPr>
          <w:rFonts w:eastAsia="Verdana"/>
        </w:rPr>
        <w:t>The business case process includes a rigorous process of options appraisal including identifying the needs and benefits (both financial and non-financial) of the proposal, the associated risks and the costs profiled over the life of the project (revenue and capital).</w:t>
      </w:r>
    </w:p>
    <w:p w:rsidR="00C65A94" w:rsidRPr="00D91301" w:rsidRDefault="00C65A94" w:rsidP="00C65A94">
      <w:pPr>
        <w:pStyle w:val="Heading4"/>
      </w:pPr>
      <w:r w:rsidRPr="00D91301">
        <w:rPr>
          <w:rFonts w:eastAsia="Verdana"/>
        </w:rPr>
        <w:t>All the investment decisions made follow Force Standing Orders and the usual approvals process via the Office of the Police and Crime Commissioner.</w:t>
      </w:r>
    </w:p>
    <w:p w:rsidR="00C65A94" w:rsidRDefault="00C65A94" w:rsidP="00C65A94">
      <w:pPr>
        <w:pStyle w:val="Heading4"/>
        <w:rPr>
          <w:rFonts w:eastAsia="Verdana"/>
        </w:rPr>
      </w:pPr>
      <w:r w:rsidRPr="56D68AAF">
        <w:rPr>
          <w:rFonts w:eastAsia="Verdana"/>
        </w:rPr>
        <w:t>Plans are only revised and updated following the approval given at CSB. These are then built into the longer-term capital plan which forms part of the revenue and capital budget setting process of the Force. The budget plans are presented to the Commissioner’s Strategic Policing and Crime Board and the West Midlands Police and Crime Panel to ensure that there is a wide opportunity for challenge and scrutiny. Following on from this process the PCC formally approves the decision to accept the budget proposal.</w:t>
      </w:r>
    </w:p>
    <w:p w:rsidR="00C65A94" w:rsidRPr="00D91301" w:rsidRDefault="00C65A94" w:rsidP="00C65A94">
      <w:pPr>
        <w:pStyle w:val="Heading4"/>
      </w:pPr>
      <w:r w:rsidRPr="00D91301">
        <w:rPr>
          <w:rFonts w:eastAsia="Verdana"/>
        </w:rPr>
        <w:lastRenderedPageBreak/>
        <w:t xml:space="preserve">The delivery of the capital plan is monitored monthly by the </w:t>
      </w:r>
      <w:r w:rsidR="004A5911">
        <w:rPr>
          <w:rFonts w:eastAsia="Verdana"/>
        </w:rPr>
        <w:t>S</w:t>
      </w:r>
      <w:r w:rsidRPr="00D91301">
        <w:rPr>
          <w:rFonts w:eastAsia="Verdana"/>
        </w:rPr>
        <w:t xml:space="preserve">151 Officers for the Force and the PCC and quarterly via reports that are presented to the Strategic Policing and Crime Board. </w:t>
      </w:r>
    </w:p>
    <w:p w:rsidR="00C65A94" w:rsidRDefault="00C65A94" w:rsidP="00C65A94">
      <w:pPr>
        <w:pStyle w:val="Heading4"/>
        <w:rPr>
          <w:rFonts w:eastAsia="Verdana"/>
        </w:rPr>
      </w:pPr>
      <w:r w:rsidRPr="56D68AAF">
        <w:rPr>
          <w:rFonts w:eastAsia="Verdana"/>
        </w:rPr>
        <w:t xml:space="preserve">To underpin the capital </w:t>
      </w:r>
      <w:r w:rsidR="00497378" w:rsidRPr="56D68AAF">
        <w:rPr>
          <w:rFonts w:eastAsia="Verdana"/>
        </w:rPr>
        <w:t>investment,</w:t>
      </w:r>
      <w:r w:rsidRPr="56D68AAF">
        <w:rPr>
          <w:rFonts w:eastAsia="Verdana"/>
        </w:rPr>
        <w:t xml:space="preserve"> each year a Treasury Management Strategy is produced which incorporates the Commissioner’s investment strategy and approach to borrowing (The capital investment programme is the key driver of treasury management activity). This report is written by the CFOs of the PCC and the Chief Constable and is presented to the Joint Audit Committee in March each year for consideration before being approved by the Commissioner. Copies of the strategy can be found on </w:t>
      </w:r>
      <w:hyperlink r:id="rId16">
        <w:r w:rsidRPr="56D68AAF">
          <w:rPr>
            <w:rStyle w:val="Hyperlink"/>
            <w:rFonts w:eastAsia="Times New Roman" w:cs="Arial"/>
          </w:rPr>
          <w:t>https://www.westmidlands-pcc.gov.uk/finance/annual-investment-strategies/</w:t>
        </w:r>
      </w:hyperlink>
      <w:r w:rsidRPr="56D68AAF">
        <w:rPr>
          <w:rFonts w:eastAsia="Verdana"/>
        </w:rPr>
        <w:t xml:space="preserve"> for each relevant year. The Joint Audit Committee also receive update reports throughout the year on the delivery of the Treasury Management Strategy.</w:t>
      </w:r>
    </w:p>
    <w:p w:rsidR="00C65A94" w:rsidRPr="00C65A94" w:rsidRDefault="00C65A94" w:rsidP="00C65A94">
      <w:pPr>
        <w:pStyle w:val="Heading2"/>
        <w:rPr>
          <w:b/>
        </w:rPr>
      </w:pPr>
      <w:r w:rsidRPr="00C65A94">
        <w:rPr>
          <w:b/>
        </w:rPr>
        <w:t>Capital Expenditure</w:t>
      </w:r>
    </w:p>
    <w:p w:rsidR="00C65A94" w:rsidRPr="00D5511F" w:rsidRDefault="00C65A94" w:rsidP="00C65A94">
      <w:pPr>
        <w:pStyle w:val="Heading4"/>
        <w:rPr>
          <w:sz w:val="22"/>
        </w:rPr>
      </w:pPr>
      <w:r>
        <w:t xml:space="preserve">As part of </w:t>
      </w:r>
      <w:r w:rsidRPr="00D91301">
        <w:t xml:space="preserve">the Medium-Term Financial Planning (MTFP), West Midlands Police takes a forward view of the Forces’ asset needs to meet its future objectives. The MTFP links very closely with the Police and Crime Plan 2021-25 in assessing where capital investment priorities may lie. </w:t>
      </w:r>
    </w:p>
    <w:p w:rsidR="00C65A94" w:rsidRPr="00D91301" w:rsidRDefault="00C65A94" w:rsidP="00C65A94">
      <w:pPr>
        <w:pStyle w:val="Heading4"/>
      </w:pPr>
      <w:r w:rsidRPr="00D91301">
        <w:rPr>
          <w:rFonts w:eastAsia="Times New Roman"/>
        </w:rPr>
        <w:t>In addition to the change programme the capital programme also provides for business-as-usual expenditure (BAU) such as the replacement of fleet vehicles, replacement or upgrade of core IT systems and equipment not related to change programmes but meeting the definition of capital expenditure.</w:t>
      </w:r>
    </w:p>
    <w:p w:rsidR="00C65A94" w:rsidRDefault="00C65A94" w:rsidP="00C65A94">
      <w:pPr>
        <w:pStyle w:val="Heading4"/>
        <w:rPr>
          <w:rFonts w:eastAsia="Times New Roman" w:cs="Arial"/>
        </w:rPr>
      </w:pPr>
      <w:r w:rsidRPr="00D91301">
        <w:rPr>
          <w:rFonts w:eastAsia="Times New Roman" w:cs="Arial"/>
        </w:rPr>
        <w:t>To meet the definition of capital, the expenditure incurred must result in the acquisition, construction, or enhancement of a fixed asset (either tangible or intangible).  In the case of enhancement this must be to prolong the life of or increase the market value of the asset</w:t>
      </w:r>
      <w:r>
        <w:rPr>
          <w:rFonts w:eastAsia="Times New Roman" w:cs="Arial"/>
        </w:rPr>
        <w:t>.</w:t>
      </w:r>
    </w:p>
    <w:p w:rsidR="00130AAC" w:rsidRPr="00ED292B" w:rsidRDefault="00130AAC" w:rsidP="00130AAC">
      <w:pPr>
        <w:pStyle w:val="Heading4"/>
        <w:rPr>
          <w:rStyle w:val="Hyperlink"/>
          <w:rFonts w:cs="Arial"/>
          <w:sz w:val="20"/>
          <w:szCs w:val="20"/>
        </w:rPr>
      </w:pPr>
      <w:r w:rsidRPr="00ED292B">
        <w:rPr>
          <w:rStyle w:val="normaltextrun"/>
        </w:rPr>
        <w:t>The</w:t>
      </w:r>
      <w:r>
        <w:rPr>
          <w:rStyle w:val="normaltextrun"/>
        </w:rPr>
        <w:t xml:space="preserve"> </w:t>
      </w:r>
      <w:r w:rsidRPr="00397E4C">
        <w:rPr>
          <w:rStyle w:val="normaltextrun"/>
        </w:rPr>
        <w:t xml:space="preserve">overarching capital strategy </w:t>
      </w:r>
      <w:r>
        <w:rPr>
          <w:rStyle w:val="normaltextrun"/>
        </w:rPr>
        <w:t xml:space="preserve">considers and links in the various strategies including </w:t>
      </w:r>
      <w:r w:rsidRPr="00397E4C">
        <w:rPr>
          <w:rStyle w:val="normaltextrun"/>
        </w:rPr>
        <w:t xml:space="preserve">estates, fleet, </w:t>
      </w:r>
      <w:r>
        <w:rPr>
          <w:rStyle w:val="normaltextrun"/>
        </w:rPr>
        <w:t xml:space="preserve">environmental </w:t>
      </w:r>
      <w:r w:rsidRPr="00397E4C">
        <w:rPr>
          <w:rStyle w:val="normaltextrun"/>
        </w:rPr>
        <w:t xml:space="preserve">and IT. </w:t>
      </w:r>
    </w:p>
    <w:p w:rsidR="00C65A94" w:rsidRPr="00C65A94" w:rsidRDefault="00C65A94" w:rsidP="00C65A94">
      <w:pPr>
        <w:pStyle w:val="Heading2"/>
        <w:rPr>
          <w:b/>
        </w:rPr>
      </w:pPr>
      <w:r w:rsidRPr="00C65A94">
        <w:rPr>
          <w:b/>
        </w:rPr>
        <w:t>Capital Investment Priorities</w:t>
      </w:r>
    </w:p>
    <w:p w:rsidR="00C65A94" w:rsidRPr="00D91301" w:rsidRDefault="00C65A94" w:rsidP="00C65A94">
      <w:pPr>
        <w:pStyle w:val="Heading4"/>
        <w:rPr>
          <w:rFonts w:cs="Arial"/>
        </w:rPr>
      </w:pPr>
      <w:r w:rsidRPr="00D91301">
        <w:rPr>
          <w:rFonts w:eastAsia="Verdana" w:cs="Arial"/>
        </w:rPr>
        <w:t>The PCCs Police and Crime Plan 2021-25 (</w:t>
      </w:r>
      <w:hyperlink r:id="rId17">
        <w:r w:rsidRPr="00D91301">
          <w:rPr>
            <w:rStyle w:val="Hyperlink"/>
            <w:rFonts w:eastAsia="Times New Roman" w:cs="Arial"/>
          </w:rPr>
          <w:t>https://www.westmidlands-pcc.gov.uk/wp-content/uploads/2021/10/The-West-Midlands-Police-and-Crime-Plan-2021-25.pdf?x41638</w:t>
        </w:r>
      </w:hyperlink>
      <w:r w:rsidRPr="00D91301">
        <w:rPr>
          <w:rFonts w:eastAsia="Verdana" w:cs="Arial"/>
        </w:rPr>
        <w:t xml:space="preserve"> ) states the priorities and ambitions over the medium term.  These are summarised as:</w:t>
      </w:r>
    </w:p>
    <w:p w:rsidR="00C65A94" w:rsidRPr="00C65A94" w:rsidRDefault="00C65A94" w:rsidP="00497378">
      <w:pPr>
        <w:pStyle w:val="Heading4"/>
        <w:numPr>
          <w:ilvl w:val="2"/>
          <w:numId w:val="27"/>
        </w:numPr>
        <w:ind w:left="1191" w:hanging="340"/>
        <w:rPr>
          <w:rFonts w:eastAsia="Cambria"/>
        </w:rPr>
      </w:pPr>
      <w:r w:rsidRPr="00C65A94">
        <w:rPr>
          <w:rFonts w:eastAsia="Cambria"/>
        </w:rPr>
        <w:t xml:space="preserve">Rebuilding community policing, </w:t>
      </w:r>
    </w:p>
    <w:p w:rsidR="00C65A94" w:rsidRPr="00C65A94" w:rsidRDefault="00C65A94" w:rsidP="00497378">
      <w:pPr>
        <w:pStyle w:val="Heading4"/>
        <w:numPr>
          <w:ilvl w:val="2"/>
          <w:numId w:val="27"/>
        </w:numPr>
        <w:ind w:left="1191" w:hanging="340"/>
        <w:rPr>
          <w:rFonts w:eastAsia="Cambria"/>
        </w:rPr>
      </w:pPr>
      <w:r w:rsidRPr="00C65A94">
        <w:rPr>
          <w:rFonts w:eastAsia="Cambria"/>
        </w:rPr>
        <w:t xml:space="preserve">Preventing and reducing crime, </w:t>
      </w:r>
    </w:p>
    <w:p w:rsidR="00C65A94" w:rsidRPr="00C65A94" w:rsidRDefault="00C65A94" w:rsidP="00497378">
      <w:pPr>
        <w:pStyle w:val="Heading4"/>
        <w:numPr>
          <w:ilvl w:val="2"/>
          <w:numId w:val="27"/>
        </w:numPr>
        <w:ind w:left="1191" w:hanging="340"/>
        <w:rPr>
          <w:rFonts w:eastAsia="Cambria"/>
        </w:rPr>
      </w:pPr>
      <w:r w:rsidRPr="00C65A94">
        <w:rPr>
          <w:rFonts w:eastAsia="Cambria"/>
        </w:rPr>
        <w:t xml:space="preserve">Increased confidence in West Midlands Police, </w:t>
      </w:r>
    </w:p>
    <w:p w:rsidR="00C65A94" w:rsidRPr="00C65A94" w:rsidRDefault="00C65A94" w:rsidP="00497378">
      <w:pPr>
        <w:pStyle w:val="Heading4"/>
        <w:numPr>
          <w:ilvl w:val="2"/>
          <w:numId w:val="27"/>
        </w:numPr>
        <w:ind w:left="1191" w:hanging="340"/>
        <w:rPr>
          <w:rFonts w:eastAsia="Cambria"/>
        </w:rPr>
      </w:pPr>
      <w:r w:rsidRPr="00C65A94">
        <w:rPr>
          <w:rFonts w:eastAsia="Cambria"/>
        </w:rPr>
        <w:t xml:space="preserve">Supporting the workforce, organisational change, and new technology, </w:t>
      </w:r>
    </w:p>
    <w:p w:rsidR="00C65A94" w:rsidRPr="00C65A94" w:rsidRDefault="00C65A94" w:rsidP="00497378">
      <w:pPr>
        <w:pStyle w:val="Heading4"/>
        <w:numPr>
          <w:ilvl w:val="2"/>
          <w:numId w:val="27"/>
        </w:numPr>
        <w:ind w:left="1191" w:hanging="340"/>
        <w:rPr>
          <w:rFonts w:eastAsia="Cambria"/>
        </w:rPr>
      </w:pPr>
      <w:r w:rsidRPr="00C65A94">
        <w:rPr>
          <w:rFonts w:eastAsia="Cambria"/>
        </w:rPr>
        <w:t xml:space="preserve">Combatting violence against women and girls and domestic abuse, </w:t>
      </w:r>
    </w:p>
    <w:p w:rsidR="00C65A94" w:rsidRPr="00C65A94" w:rsidRDefault="00C65A94" w:rsidP="00497378">
      <w:pPr>
        <w:pStyle w:val="Heading4"/>
        <w:numPr>
          <w:ilvl w:val="2"/>
          <w:numId w:val="27"/>
        </w:numPr>
        <w:ind w:left="1191" w:hanging="340"/>
        <w:rPr>
          <w:rFonts w:eastAsia="Cambria"/>
        </w:rPr>
      </w:pPr>
      <w:r w:rsidRPr="00C65A94">
        <w:rPr>
          <w:rFonts w:eastAsia="Cambria"/>
        </w:rPr>
        <w:t xml:space="preserve">Prioritising the rights of victims, </w:t>
      </w:r>
    </w:p>
    <w:p w:rsidR="00C65A94" w:rsidRPr="00C65A94" w:rsidRDefault="00C65A94" w:rsidP="00497378">
      <w:pPr>
        <w:pStyle w:val="Heading4"/>
        <w:numPr>
          <w:ilvl w:val="2"/>
          <w:numId w:val="27"/>
        </w:numPr>
        <w:ind w:left="1191" w:hanging="340"/>
        <w:rPr>
          <w:rFonts w:eastAsia="Cambria"/>
        </w:rPr>
      </w:pPr>
      <w:r w:rsidRPr="00C65A94">
        <w:rPr>
          <w:rFonts w:eastAsia="Cambria"/>
        </w:rPr>
        <w:lastRenderedPageBreak/>
        <w:t xml:space="preserve">An efficient and effective criminal justice system, </w:t>
      </w:r>
    </w:p>
    <w:p w:rsidR="00C65A94" w:rsidRPr="00C65A94" w:rsidRDefault="00C65A94" w:rsidP="00497378">
      <w:pPr>
        <w:pStyle w:val="Heading4"/>
        <w:numPr>
          <w:ilvl w:val="2"/>
          <w:numId w:val="27"/>
        </w:numPr>
        <w:ind w:left="1191" w:hanging="340"/>
        <w:rPr>
          <w:rFonts w:eastAsia="Cambria"/>
        </w:rPr>
      </w:pPr>
      <w:r w:rsidRPr="00C65A94">
        <w:rPr>
          <w:rFonts w:eastAsia="Cambria"/>
        </w:rPr>
        <w:t xml:space="preserve">Improving community safety, </w:t>
      </w:r>
    </w:p>
    <w:p w:rsidR="00C65A94" w:rsidRPr="00C65A94" w:rsidRDefault="00C65A94" w:rsidP="00497378">
      <w:pPr>
        <w:pStyle w:val="Heading4"/>
        <w:numPr>
          <w:ilvl w:val="2"/>
          <w:numId w:val="27"/>
        </w:numPr>
        <w:ind w:left="1191" w:hanging="340"/>
        <w:rPr>
          <w:rFonts w:eastAsia="Cambria"/>
        </w:rPr>
      </w:pPr>
      <w:r w:rsidRPr="00C65A94">
        <w:rPr>
          <w:rFonts w:eastAsia="Cambria"/>
        </w:rPr>
        <w:t xml:space="preserve">Reducing Violence, </w:t>
      </w:r>
    </w:p>
    <w:p w:rsidR="00C65A94" w:rsidRPr="00C65A94" w:rsidRDefault="00C65A94" w:rsidP="00497378">
      <w:pPr>
        <w:pStyle w:val="Heading4"/>
        <w:numPr>
          <w:ilvl w:val="2"/>
          <w:numId w:val="27"/>
        </w:numPr>
        <w:ind w:left="1191" w:hanging="340"/>
        <w:rPr>
          <w:rFonts w:eastAsia="Cambria"/>
        </w:rPr>
      </w:pPr>
      <w:r w:rsidRPr="00C65A94">
        <w:rPr>
          <w:rFonts w:eastAsia="Cambria"/>
        </w:rPr>
        <w:t xml:space="preserve">Working together for children and young people, </w:t>
      </w:r>
    </w:p>
    <w:p w:rsidR="00C65A94" w:rsidRPr="00C65A94" w:rsidRDefault="00C65A94" w:rsidP="00497378">
      <w:pPr>
        <w:pStyle w:val="Heading4"/>
        <w:numPr>
          <w:ilvl w:val="2"/>
          <w:numId w:val="27"/>
        </w:numPr>
        <w:ind w:left="1191" w:hanging="340"/>
        <w:rPr>
          <w:rFonts w:eastAsia="Cambria"/>
        </w:rPr>
      </w:pPr>
      <w:r w:rsidRPr="00C65A94">
        <w:rPr>
          <w:rFonts w:eastAsia="Cambria"/>
        </w:rPr>
        <w:t>Supporting a friendly,</w:t>
      </w:r>
    </w:p>
    <w:p w:rsidR="00C65A94" w:rsidRPr="00C65A94" w:rsidRDefault="00C65A94" w:rsidP="00497378">
      <w:pPr>
        <w:pStyle w:val="Heading4"/>
        <w:numPr>
          <w:ilvl w:val="2"/>
          <w:numId w:val="27"/>
        </w:numPr>
        <w:ind w:left="1191" w:hanging="340"/>
        <w:rPr>
          <w:rFonts w:eastAsia="Cambria"/>
        </w:rPr>
      </w:pPr>
      <w:r w:rsidRPr="00C65A94">
        <w:rPr>
          <w:rFonts w:eastAsia="Cambria"/>
        </w:rPr>
        <w:t xml:space="preserve">Safe and commonwealth games, </w:t>
      </w:r>
    </w:p>
    <w:p w:rsidR="00C65A94" w:rsidRPr="00C65A94" w:rsidRDefault="00C65A94" w:rsidP="00497378">
      <w:pPr>
        <w:pStyle w:val="Heading4"/>
        <w:numPr>
          <w:ilvl w:val="2"/>
          <w:numId w:val="27"/>
        </w:numPr>
        <w:ind w:left="1191" w:hanging="340"/>
        <w:rPr>
          <w:rFonts w:eastAsia="Cambria"/>
        </w:rPr>
      </w:pPr>
      <w:r w:rsidRPr="00C65A94">
        <w:rPr>
          <w:rFonts w:eastAsia="Cambria"/>
        </w:rPr>
        <w:t>Safer Travel</w:t>
      </w:r>
    </w:p>
    <w:p w:rsidR="00C65A94" w:rsidRPr="00D91301" w:rsidRDefault="00C65A94" w:rsidP="00C65A94">
      <w:pPr>
        <w:pStyle w:val="Heading4"/>
      </w:pPr>
      <w:r w:rsidRPr="00D91301">
        <w:rPr>
          <w:rFonts w:eastAsia="Verdana"/>
        </w:rPr>
        <w:t xml:space="preserve">The Association of Police and Crime Commissioners (APCC) and National Police Chiefs Council (NPCC) are actively working nationally with all police leaders to reform policing by 2025.  A vision for Policing in 2025 has been published and sets out the following five priorities for reform: </w:t>
      </w:r>
    </w:p>
    <w:p w:rsidR="00C65A94" w:rsidRPr="00ED292B" w:rsidRDefault="00C65A94" w:rsidP="00C65A94">
      <w:pPr>
        <w:pStyle w:val="Heading1"/>
        <w:keepLines/>
        <w:numPr>
          <w:ilvl w:val="0"/>
          <w:numId w:val="21"/>
        </w:numPr>
        <w:spacing w:before="240" w:after="0" w:line="259" w:lineRule="auto"/>
        <w:contextualSpacing/>
        <w:jc w:val="both"/>
        <w:rPr>
          <w:rFonts w:eastAsia="Cambria" w:cs="Arial"/>
          <w:b w:val="0"/>
          <w:szCs w:val="24"/>
        </w:rPr>
      </w:pPr>
      <w:r w:rsidRPr="00ED292B">
        <w:rPr>
          <w:rFonts w:eastAsia="Cambria" w:cs="Arial"/>
          <w:b w:val="0"/>
          <w:szCs w:val="24"/>
        </w:rPr>
        <w:t>Local policing</w:t>
      </w:r>
    </w:p>
    <w:p w:rsidR="00C65A94" w:rsidRPr="00ED292B" w:rsidRDefault="00C65A94" w:rsidP="00C65A94">
      <w:pPr>
        <w:pStyle w:val="Heading1"/>
        <w:keepLines/>
        <w:numPr>
          <w:ilvl w:val="0"/>
          <w:numId w:val="21"/>
        </w:numPr>
        <w:spacing w:before="240" w:after="0" w:line="259" w:lineRule="auto"/>
        <w:contextualSpacing/>
        <w:jc w:val="both"/>
        <w:rPr>
          <w:rFonts w:eastAsia="Cambria" w:cs="Arial"/>
          <w:b w:val="0"/>
          <w:szCs w:val="24"/>
        </w:rPr>
      </w:pPr>
      <w:r w:rsidRPr="00ED292B">
        <w:rPr>
          <w:rFonts w:eastAsia="Cambria" w:cs="Arial"/>
          <w:b w:val="0"/>
          <w:szCs w:val="24"/>
        </w:rPr>
        <w:t>Specialist capabilities like armed policing and organised crime investigation</w:t>
      </w:r>
    </w:p>
    <w:p w:rsidR="00C65A94" w:rsidRPr="00ED292B" w:rsidRDefault="00C65A94" w:rsidP="00C65A94">
      <w:pPr>
        <w:pStyle w:val="Heading1"/>
        <w:keepLines/>
        <w:numPr>
          <w:ilvl w:val="0"/>
          <w:numId w:val="21"/>
        </w:numPr>
        <w:spacing w:before="240" w:after="0" w:line="259" w:lineRule="auto"/>
        <w:contextualSpacing/>
        <w:jc w:val="both"/>
        <w:rPr>
          <w:rFonts w:eastAsia="Cambria" w:cs="Arial"/>
          <w:b w:val="0"/>
          <w:szCs w:val="24"/>
        </w:rPr>
      </w:pPr>
      <w:r w:rsidRPr="00ED292B">
        <w:rPr>
          <w:rFonts w:eastAsia="Cambria" w:cs="Arial"/>
          <w:b w:val="0"/>
          <w:szCs w:val="24"/>
        </w:rPr>
        <w:t>Digital policing</w:t>
      </w:r>
    </w:p>
    <w:p w:rsidR="00C65A94" w:rsidRPr="00ED292B" w:rsidRDefault="00C65A94" w:rsidP="00C65A94">
      <w:pPr>
        <w:pStyle w:val="Heading1"/>
        <w:keepLines/>
        <w:numPr>
          <w:ilvl w:val="0"/>
          <w:numId w:val="21"/>
        </w:numPr>
        <w:spacing w:before="240" w:after="0" w:line="259" w:lineRule="auto"/>
        <w:contextualSpacing/>
        <w:jc w:val="both"/>
        <w:rPr>
          <w:rFonts w:eastAsia="Cambria" w:cs="Arial"/>
          <w:b w:val="0"/>
          <w:szCs w:val="24"/>
        </w:rPr>
      </w:pPr>
      <w:r w:rsidRPr="00ED292B">
        <w:rPr>
          <w:rFonts w:eastAsia="Cambria" w:cs="Arial"/>
          <w:b w:val="0"/>
          <w:szCs w:val="24"/>
        </w:rPr>
        <w:t>Building a workforce with the right skills for the future</w:t>
      </w:r>
    </w:p>
    <w:p w:rsidR="00C65A94" w:rsidRPr="00ED292B" w:rsidRDefault="00C65A94" w:rsidP="00C65A94">
      <w:pPr>
        <w:pStyle w:val="Heading1"/>
        <w:keepLines/>
        <w:numPr>
          <w:ilvl w:val="0"/>
          <w:numId w:val="21"/>
        </w:numPr>
        <w:spacing w:before="240" w:after="0" w:line="259" w:lineRule="auto"/>
        <w:contextualSpacing/>
        <w:jc w:val="both"/>
        <w:rPr>
          <w:rFonts w:eastAsia="Cambria" w:cs="Arial"/>
          <w:b w:val="0"/>
          <w:szCs w:val="24"/>
        </w:rPr>
      </w:pPr>
      <w:r w:rsidRPr="00ED292B">
        <w:rPr>
          <w:rFonts w:eastAsia="Cambria" w:cs="Arial"/>
          <w:b w:val="0"/>
          <w:szCs w:val="24"/>
        </w:rPr>
        <w:t>Improving collaboration in business support services (enabling business delivery)</w:t>
      </w:r>
    </w:p>
    <w:p w:rsidR="00C65A94" w:rsidRPr="00D91301" w:rsidRDefault="00C65A94" w:rsidP="00C65A94">
      <w:pPr>
        <w:pStyle w:val="Heading1"/>
        <w:numPr>
          <w:ilvl w:val="0"/>
          <w:numId w:val="0"/>
        </w:numPr>
        <w:ind w:left="432"/>
        <w:contextualSpacing/>
        <w:jc w:val="both"/>
        <w:rPr>
          <w:rFonts w:eastAsia="Cambria" w:cs="Arial"/>
          <w:color w:val="365F91"/>
          <w:sz w:val="22"/>
          <w:szCs w:val="22"/>
        </w:rPr>
      </w:pPr>
    </w:p>
    <w:p w:rsidR="00C65A94" w:rsidRPr="00D91301" w:rsidRDefault="00C65A94" w:rsidP="00C65A94">
      <w:pPr>
        <w:pStyle w:val="Heading4"/>
        <w:rPr>
          <w:rFonts w:eastAsia="Verdana"/>
        </w:rPr>
      </w:pPr>
      <w:r w:rsidRPr="00D91301">
        <w:rPr>
          <w:rFonts w:eastAsia="Verdana"/>
        </w:rPr>
        <w:t>The capital</w:t>
      </w:r>
      <w:r w:rsidRPr="00D91301">
        <w:rPr>
          <w:rFonts w:eastAsia="Verdana"/>
          <w:b/>
          <w:bCs/>
        </w:rPr>
        <w:t xml:space="preserve"> </w:t>
      </w:r>
      <w:r w:rsidRPr="00D91301">
        <w:rPr>
          <w:rFonts w:eastAsia="Verdana"/>
        </w:rPr>
        <w:t xml:space="preserve">strategy and capital programme underpin both the local and national priorities in the investments it makes, particularly in relation to making the best use of resources and creating a modern police service.  The investments made through the IT &amp; digitals new approach and the Estates strategy enhance and improve the service for both staff and citizens by providing up to date technology and systems and creating better working environments, optimising available space. </w:t>
      </w:r>
    </w:p>
    <w:p w:rsidR="00C65A94" w:rsidRDefault="00C65A94" w:rsidP="00C65A94">
      <w:pPr>
        <w:pStyle w:val="Heading4"/>
        <w:rPr>
          <w:rFonts w:eastAsia="Verdana"/>
        </w:rPr>
      </w:pPr>
      <w:r w:rsidRPr="00D91301">
        <w:rPr>
          <w:rFonts w:eastAsia="Verdana"/>
        </w:rPr>
        <w:t xml:space="preserve">Given the significant scope of ambition of the strategy a prioritisation matrix </w:t>
      </w:r>
      <w:r>
        <w:rPr>
          <w:rFonts w:eastAsia="Verdana"/>
        </w:rPr>
        <w:t>is to be</w:t>
      </w:r>
      <w:r w:rsidRPr="00D91301">
        <w:rPr>
          <w:rFonts w:eastAsia="Verdana"/>
        </w:rPr>
        <w:t xml:space="preserve"> used in approval of capital investments as set out below against which business case’s and BAU capital activity request</w:t>
      </w:r>
      <w:r>
        <w:rPr>
          <w:rFonts w:eastAsia="Verdana"/>
        </w:rPr>
        <w:t>s can</w:t>
      </w:r>
      <w:r w:rsidRPr="00D91301">
        <w:rPr>
          <w:rFonts w:eastAsia="Verdana"/>
        </w:rPr>
        <w:t xml:space="preserve"> be</w:t>
      </w:r>
      <w:r>
        <w:rPr>
          <w:rFonts w:eastAsia="Verdana"/>
        </w:rPr>
        <w:t xml:space="preserve"> more objectively prioritised</w:t>
      </w:r>
      <w:r w:rsidRPr="00D91301">
        <w:rPr>
          <w:rFonts w:eastAsia="Verdana"/>
        </w:rPr>
        <w:t>.</w:t>
      </w:r>
    </w:p>
    <w:p w:rsidR="00C65A94" w:rsidRPr="004E504C" w:rsidRDefault="00C65A94" w:rsidP="00C65A94">
      <w:pPr>
        <w:pStyle w:val="Heading2"/>
        <w:rPr>
          <w:b/>
        </w:rPr>
      </w:pPr>
      <w:r w:rsidRPr="004E504C">
        <w:rPr>
          <w:b/>
        </w:rPr>
        <w:t>Prioritisation Approach</w:t>
      </w:r>
    </w:p>
    <w:p w:rsidR="004E504C" w:rsidRPr="004E504C" w:rsidRDefault="004E504C" w:rsidP="004E504C">
      <w:pPr>
        <w:pStyle w:val="Heading4"/>
        <w:rPr>
          <w:rStyle w:val="normaltextrun"/>
        </w:rPr>
      </w:pPr>
      <w:r w:rsidRPr="004E504C">
        <w:rPr>
          <w:rStyle w:val="normaltextrun"/>
        </w:rPr>
        <w:t>The Capital Strategy is led by the priorities outlined in the PCC’s Police and Crime Plan. It translates these priorities into a programme of projects in the PCC’s Capital Programme that will achieve the intended outcome whilst also factoring in other key criteria that make different business cases attractive when pursuing those aims. </w:t>
      </w:r>
    </w:p>
    <w:p w:rsidR="004E504C" w:rsidRPr="00D91301" w:rsidRDefault="00497378" w:rsidP="004E504C">
      <w:pPr>
        <w:pStyle w:val="Heading4"/>
        <w:rPr>
          <w:rFonts w:eastAsia="Verdana"/>
        </w:rPr>
      </w:pPr>
      <w:r>
        <w:lastRenderedPageBreak/>
        <w:t>A prioritisation process is currently being designed that will look to rank</w:t>
      </w:r>
      <w:r>
        <w:rPr>
          <w:rStyle w:val="normaltextrun"/>
          <w:rFonts w:cs="Arial"/>
          <w:color w:val="000000"/>
        </w:rPr>
        <w:t xml:space="preserve"> and </w:t>
      </w:r>
      <w:r w:rsidR="004E504C" w:rsidRPr="00D91301">
        <w:rPr>
          <w:rStyle w:val="normaltextrun"/>
          <w:rFonts w:cs="Arial"/>
          <w:color w:val="000000"/>
        </w:rPr>
        <w:t xml:space="preserve">produce a ‘league table’ of Business Cases that can be fitted into a </w:t>
      </w:r>
      <w:r w:rsidR="004E504C" w:rsidRPr="00D91301">
        <w:rPr>
          <w:rStyle w:val="normaltextrun"/>
          <w:rFonts w:cs="Arial"/>
          <w:color w:val="111111"/>
          <w:shd w:val="clear" w:color="auto" w:fill="FFFFFF"/>
        </w:rPr>
        <w:t>MoSCoW prioritisation which acronym represents four categories of initiatives: must-have, should-have, could-have, and won’t-have, or will not have right now. This could form the basis of an ongoing investment programme, for example ‘must-haves’ should be achieved in year one; ‘should-haves’ in year two and so on, recognising that regular reviews and re-assessment will promote or relegate some projects in the programme.</w:t>
      </w:r>
      <w:r w:rsidR="004E504C" w:rsidRPr="00D91301">
        <w:rPr>
          <w:rStyle w:val="eop"/>
          <w:rFonts w:cs="Arial"/>
          <w:color w:val="111111"/>
        </w:rPr>
        <w:t> </w:t>
      </w:r>
    </w:p>
    <w:p w:rsidR="00217C21" w:rsidRDefault="004E504C" w:rsidP="004E504C">
      <w:pPr>
        <w:pStyle w:val="Heading4"/>
      </w:pPr>
      <w:r>
        <w:t>West Midlands Police will set out which of the priorities are key based on the latest plans, to provide some initial rational to the prioritisation score scheme and so people know where to focus their attention.</w:t>
      </w:r>
    </w:p>
    <w:p w:rsidR="004E504C" w:rsidRDefault="004E504C" w:rsidP="004E504C">
      <w:pPr>
        <w:pStyle w:val="Heading4"/>
      </w:pPr>
      <w:r>
        <w:t xml:space="preserve">This would allow a rational debate about the relative merits of projects and in the event of a restriction on resources a way of ordering schemes. If, however it was felt that there was a critical and pressing need to override the result a rationale could be agreed and signed off. </w:t>
      </w:r>
    </w:p>
    <w:p w:rsidR="004E504C" w:rsidRDefault="004E504C" w:rsidP="004E504C">
      <w:pPr>
        <w:pStyle w:val="Heading4"/>
      </w:pPr>
      <w:r>
        <w:t xml:space="preserve">Assets are vital to the delivery of efficient services, and so the optimum use of resources whilst securing best value in relation to both cost and quality are key considerations.  </w:t>
      </w:r>
    </w:p>
    <w:p w:rsidR="004E504C" w:rsidRDefault="004E504C" w:rsidP="004E504C">
      <w:pPr>
        <w:pStyle w:val="Heading4"/>
      </w:pPr>
      <w:r>
        <w:t xml:space="preserve">An asset management plan/strategy for each asset classification is held and contains specific details of each asset including the longevity and optimum replacement cycles. </w:t>
      </w:r>
    </w:p>
    <w:p w:rsidR="004E504C" w:rsidRDefault="004E504C" w:rsidP="004E504C">
      <w:pPr>
        <w:pStyle w:val="Heading4"/>
      </w:pPr>
      <w:r>
        <w:t>The capital investment priorities because of the above will include:</w:t>
      </w:r>
    </w:p>
    <w:p w:rsidR="004E504C" w:rsidRDefault="004E504C" w:rsidP="00497378">
      <w:pPr>
        <w:pStyle w:val="Heading4"/>
        <w:numPr>
          <w:ilvl w:val="2"/>
          <w:numId w:val="28"/>
        </w:numPr>
        <w:ind w:left="1191" w:hanging="340"/>
      </w:pPr>
      <w:r>
        <w:t>Police Buildings to ensure they are fit for purpose and cost effective</w:t>
      </w:r>
    </w:p>
    <w:p w:rsidR="004E504C" w:rsidRDefault="004E504C" w:rsidP="00497378">
      <w:pPr>
        <w:pStyle w:val="Heading4"/>
        <w:numPr>
          <w:ilvl w:val="2"/>
          <w:numId w:val="28"/>
        </w:numPr>
        <w:ind w:left="1191" w:hanging="340"/>
      </w:pPr>
      <w:r>
        <w:t>ICT and systems to exploit the operational and organisational benefits of new technology</w:t>
      </w:r>
    </w:p>
    <w:p w:rsidR="004E504C" w:rsidRDefault="004E504C" w:rsidP="00497378">
      <w:pPr>
        <w:pStyle w:val="Heading4"/>
        <w:numPr>
          <w:ilvl w:val="2"/>
          <w:numId w:val="28"/>
        </w:numPr>
        <w:ind w:left="1191" w:hanging="340"/>
      </w:pPr>
      <w:r>
        <w:t>Police Vehicles</w:t>
      </w:r>
    </w:p>
    <w:p w:rsidR="00ED292B" w:rsidRDefault="00ED292B" w:rsidP="00497378">
      <w:pPr>
        <w:pStyle w:val="Heading4"/>
        <w:numPr>
          <w:ilvl w:val="2"/>
          <w:numId w:val="28"/>
        </w:numPr>
        <w:ind w:left="1191" w:hanging="340"/>
      </w:pPr>
      <w:r>
        <w:t>Environmental Considerations</w:t>
      </w:r>
    </w:p>
    <w:p w:rsidR="00397E4C" w:rsidRPr="00397E4C" w:rsidRDefault="00397E4C" w:rsidP="00397E4C">
      <w:pPr>
        <w:pStyle w:val="Heading2"/>
        <w:rPr>
          <w:b/>
        </w:rPr>
      </w:pPr>
      <w:r w:rsidRPr="00397E4C">
        <w:rPr>
          <w:b/>
        </w:rPr>
        <w:t>Capital Funding Strategy</w:t>
      </w:r>
    </w:p>
    <w:p w:rsidR="00397E4C" w:rsidRDefault="00397E4C" w:rsidP="00397E4C">
      <w:pPr>
        <w:pStyle w:val="Heading4"/>
      </w:pPr>
      <w:r>
        <w:t xml:space="preserve">Under the provision of the Prudential Code, the PCC can invest in a capital programme so long as its capital spending plans are “affordable, prudent and sustainable”. </w:t>
      </w:r>
    </w:p>
    <w:p w:rsidR="00397E4C" w:rsidRDefault="00397E4C" w:rsidP="00397E4C">
      <w:pPr>
        <w:pStyle w:val="Heading4"/>
      </w:pPr>
      <w:r>
        <w:t>The Capital Programme is reflected in the PCC’s Treasury Management Strategy, which is presented annually to the Police and Crime Panel and reviewed by the Independent Audit Committee. It sets out the Prudential Indicators, which determine the limits set against the requirements of affordability, prudence, and sustainability. Link to TM Strategy to be added in.</w:t>
      </w:r>
    </w:p>
    <w:p w:rsidR="00397E4C" w:rsidRDefault="00397E4C" w:rsidP="00397E4C">
      <w:pPr>
        <w:pStyle w:val="Heading4"/>
      </w:pPr>
      <w:r>
        <w:t xml:space="preserve">The PCC in consultation with the Chief Constable will identify available sources of funding for the Medium-Term Capital Programme including the identification of potential capital receipts from the disposal of property. </w:t>
      </w:r>
    </w:p>
    <w:p w:rsidR="00397E4C" w:rsidRDefault="00397E4C" w:rsidP="00397E4C">
      <w:pPr>
        <w:pStyle w:val="Heading4"/>
      </w:pPr>
      <w:r>
        <w:lastRenderedPageBreak/>
        <w:t>T</w:t>
      </w:r>
      <w:r w:rsidR="00021C95">
        <w:t>h</w:t>
      </w:r>
      <w:r>
        <w:t xml:space="preserve">e sources of funding available to the PCC to finance capital expenditure are detailed below: </w:t>
      </w:r>
    </w:p>
    <w:p w:rsidR="00397E4C" w:rsidRDefault="00397E4C" w:rsidP="00F91C4C">
      <w:pPr>
        <w:pStyle w:val="Heading4"/>
      </w:pPr>
      <w:r w:rsidRPr="00C36855">
        <w:rPr>
          <w:b/>
        </w:rPr>
        <w:t xml:space="preserve">Revenue Contributions </w:t>
      </w:r>
      <w:r>
        <w:t>- In some circumstances the Force does allow revenue contributions to be made to fund capital expenditure.  This is usually where a piece of equipment is locally purchased but meets the definition of a capital asset. Where affordable within achieving a balanced budget and cashflow – this method of finance avoids the need to pay interest. It is currently WMP preferred method of funding BAU – but this must be planned carefully and budgeted into the revenue budgets at a sustainable level with due care that revenue to capital contributions do not affect front line service adversely.</w:t>
      </w:r>
    </w:p>
    <w:p w:rsidR="00397E4C" w:rsidRDefault="00397E4C" w:rsidP="00F91C4C">
      <w:pPr>
        <w:pStyle w:val="Heading4"/>
      </w:pPr>
      <w:r w:rsidRPr="00C36855">
        <w:rPr>
          <w:b/>
        </w:rPr>
        <w:t>Government Grants</w:t>
      </w:r>
      <w:r>
        <w:t xml:space="preserve"> - The Force also receives </w:t>
      </w:r>
      <w:r w:rsidR="00021C95">
        <w:t xml:space="preserve">a small number and low value of </w:t>
      </w:r>
      <w:r>
        <w:t xml:space="preserve">in year other specific grants which could be spent as capital or revenue to fund specific projects. Where possible additional grant income and plans to deliver should be sought. </w:t>
      </w:r>
    </w:p>
    <w:p w:rsidR="00397E4C" w:rsidRDefault="00397E4C" w:rsidP="00397E4C">
      <w:pPr>
        <w:pStyle w:val="Heading4"/>
      </w:pPr>
      <w:r>
        <w:t xml:space="preserve">In addition to the funding given to the Force some specific grants are also received by the Counter Terrorism Unit (CTU) and these fund expenditures specific to the CTU. </w:t>
      </w:r>
    </w:p>
    <w:p w:rsidR="00397E4C" w:rsidRDefault="00397E4C" w:rsidP="00F91C4C">
      <w:pPr>
        <w:pStyle w:val="Heading4"/>
      </w:pPr>
      <w:r w:rsidRPr="00C36855">
        <w:rPr>
          <w:b/>
        </w:rPr>
        <w:t>Capital Receipts</w:t>
      </w:r>
      <w:r>
        <w:t xml:space="preserve"> - The financing of the estate’s development programme is dependent on the release of property assets for sale. Achieving the full investment programme will be dependent on progressing schemes listed on the development schedule or identifying alternative assets for disposal. </w:t>
      </w:r>
    </w:p>
    <w:p w:rsidR="00397E4C" w:rsidRDefault="00397E4C" w:rsidP="00F91C4C">
      <w:pPr>
        <w:pStyle w:val="Heading4"/>
      </w:pPr>
      <w:r>
        <w:t xml:space="preserve"> </w:t>
      </w:r>
      <w:r w:rsidRPr="00C36855">
        <w:rPr>
          <w:b/>
        </w:rPr>
        <w:t>Prudential Borrowing</w:t>
      </w:r>
      <w:r>
        <w:t xml:space="preserve"> - The introduction of the 2004 Prudential Code enabled PCCs, like local Authorities, to determine their own level of capital investment controlled by self-regulation.  It gives PCCs the ability to borrow provided that the borrowing is prudent, sustainable, and affordable. </w:t>
      </w:r>
    </w:p>
    <w:p w:rsidR="00397E4C" w:rsidRDefault="00397E4C" w:rsidP="00D6167B">
      <w:pPr>
        <w:pStyle w:val="Heading4"/>
        <w:ind w:left="709" w:hanging="851"/>
      </w:pPr>
      <w:r>
        <w:t xml:space="preserve">The PCC is currently undertaking borrowing on a needs and phased approach to fund the Estates programme and other areas of the capital programme as required.  The decision to borrow includes the impact of borrowing costs on the revenue budget.  It also ensures the borrowing costs are included in the revenue budget.  WMP has significant levels of borrowing and is currently moving closer towards its set borrowing limits. So, there are restrictions on scope for additional borrowing which are closely being monitored. </w:t>
      </w:r>
    </w:p>
    <w:p w:rsidR="00397E4C" w:rsidRDefault="00397E4C" w:rsidP="00D6167B">
      <w:pPr>
        <w:pStyle w:val="Heading4"/>
        <w:ind w:hanging="862"/>
      </w:pPr>
      <w:r w:rsidRPr="000E3BAA">
        <w:rPr>
          <w:b/>
        </w:rPr>
        <w:t>Reserves (also part of revenue contributions</w:t>
      </w:r>
      <w:r>
        <w:t>) - have been under pressure and as such the available ones are earmarked for specific purposes already. As such it should not be assumed that reserves can fund additional capital expenditure. [Link to Reserves policy to be added]</w:t>
      </w:r>
    </w:p>
    <w:p w:rsidR="00397E4C" w:rsidRDefault="00397E4C" w:rsidP="00D6167B">
      <w:pPr>
        <w:pStyle w:val="Heading4"/>
        <w:ind w:hanging="862"/>
      </w:pPr>
      <w:r>
        <w:t>In addition to revenue and funding considerations full cashflow considerations and appropriate treasury management advice should be considered in relation to levels of capital expenditure and financing decisions.</w:t>
      </w:r>
    </w:p>
    <w:p w:rsidR="000E3BAA" w:rsidRDefault="000E3BAA">
      <w:pPr>
        <w:spacing w:after="200"/>
        <w:rPr>
          <w:rFonts w:eastAsia="Times New Roman" w:cs="Times New Roman"/>
          <w:b/>
          <w:spacing w:val="5"/>
          <w:szCs w:val="48"/>
          <w:lang w:eastAsia="en-GB"/>
        </w:rPr>
      </w:pPr>
      <w:r>
        <w:rPr>
          <w:b/>
        </w:rPr>
        <w:br w:type="page"/>
      </w:r>
    </w:p>
    <w:p w:rsidR="00397E4C" w:rsidRDefault="00397E4C" w:rsidP="00397E4C">
      <w:pPr>
        <w:pStyle w:val="Heading2"/>
        <w:rPr>
          <w:b/>
        </w:rPr>
      </w:pPr>
      <w:r w:rsidRPr="00397E4C">
        <w:rPr>
          <w:b/>
        </w:rPr>
        <w:lastRenderedPageBreak/>
        <w:t>Monitoring Capital Projects</w:t>
      </w:r>
    </w:p>
    <w:p w:rsidR="008E0B21" w:rsidRDefault="00397E4C" w:rsidP="008E0B21">
      <w:pPr>
        <w:pStyle w:val="Heading4"/>
      </w:pPr>
      <w:r>
        <w:t>Capital projects are subject to high levels of scrutiny. The precise scrutiny will vary dependant on the type of project and may be influenced by size or by the makeup of regional involvement. Each project will have a Project Manager and potentially a team to implement the project.</w:t>
      </w:r>
    </w:p>
    <w:p w:rsidR="008E0B21" w:rsidRDefault="00397E4C" w:rsidP="008E0B21">
      <w:pPr>
        <w:pStyle w:val="Heading4"/>
      </w:pPr>
      <w:r>
        <w:t xml:space="preserve"> Typically, projects will have a dedicated Project Board which, if part of a larger programme, may sit under a Programme Board. Programme and Project Boards will have a Senior Responsible Officer.</w:t>
      </w:r>
    </w:p>
    <w:p w:rsidR="00397E4C" w:rsidRDefault="00397E4C" w:rsidP="00664E5D">
      <w:pPr>
        <w:pStyle w:val="Heading4"/>
      </w:pPr>
      <w:r>
        <w:t xml:space="preserve"> Heads of Department have overall responsibility for ensuring that the objectives are met for all projects, but particular focus will be placed on ensuring that high-profile projects are delivered on time</w:t>
      </w:r>
      <w:r w:rsidR="000E3BAA">
        <w:t xml:space="preserve">, </w:t>
      </w:r>
      <w:r>
        <w:t>achiev</w:t>
      </w:r>
      <w:r w:rsidR="000E3BAA">
        <w:t>ing</w:t>
      </w:r>
      <w:r>
        <w:t xml:space="preserve"> the intended outcome</w:t>
      </w:r>
      <w:r w:rsidR="000E3BAA">
        <w:t xml:space="preserve"> and</w:t>
      </w:r>
      <w:r>
        <w:t xml:space="preserve"> good progress is being made in delivering the programme </w:t>
      </w:r>
      <w:r w:rsidR="000E3BAA">
        <w:t xml:space="preserve">within planned </w:t>
      </w:r>
      <w:r>
        <w:t xml:space="preserve">capital and revenue funding set out in the current year’s budget, the Capital Programme and the MTFS. </w:t>
      </w:r>
    </w:p>
    <w:p w:rsidR="00397E4C" w:rsidRDefault="00397E4C" w:rsidP="00397E4C">
      <w:pPr>
        <w:pStyle w:val="Heading4"/>
      </w:pPr>
      <w:r>
        <w:t xml:space="preserve">Progress against the capital programme, including considerations of capital financing, is reported quarterly to our Capital Strategy </w:t>
      </w:r>
      <w:r w:rsidR="000E3BAA">
        <w:t>B</w:t>
      </w:r>
      <w:r>
        <w:t xml:space="preserve">oard and a summary position to Constabulary Management Board and the Police and Crime Board.  </w:t>
      </w:r>
    </w:p>
    <w:p w:rsidR="00397E4C" w:rsidRDefault="00397E4C" w:rsidP="00397E4C">
      <w:pPr>
        <w:pStyle w:val="Heading4"/>
      </w:pPr>
      <w:r>
        <w:t xml:space="preserve">The following measures have been put in place to mitigate the risk of slippage in the Capital Programme: </w:t>
      </w:r>
    </w:p>
    <w:p w:rsidR="00397E4C" w:rsidRDefault="00397E4C" w:rsidP="00D6167B">
      <w:pPr>
        <w:pStyle w:val="Heading4"/>
        <w:numPr>
          <w:ilvl w:val="2"/>
          <w:numId w:val="24"/>
        </w:numPr>
        <w:ind w:left="993" w:hanging="284"/>
      </w:pPr>
      <w:r>
        <w:t xml:space="preserve">Comprehensive assessment of project risks during the development of the business case for each scheme  </w:t>
      </w:r>
    </w:p>
    <w:p w:rsidR="00397E4C" w:rsidRDefault="00397E4C" w:rsidP="00D6167B">
      <w:pPr>
        <w:pStyle w:val="Heading4"/>
        <w:numPr>
          <w:ilvl w:val="2"/>
          <w:numId w:val="24"/>
        </w:numPr>
        <w:ind w:left="993" w:hanging="284"/>
        <w:rPr>
          <w:rFonts w:eastAsia="Times New Roman" w:cs="Times New Roman"/>
          <w:spacing w:val="5"/>
          <w:szCs w:val="48"/>
          <w:lang w:eastAsia="en-GB"/>
        </w:rPr>
      </w:pPr>
      <w:r>
        <w:t>Continual monitoring of the project’s progress will help to identify reasons for delays in delivery so that appropriate action can be taken.</w:t>
      </w:r>
    </w:p>
    <w:p w:rsidR="00397E4C" w:rsidRDefault="00397E4C" w:rsidP="00397E4C">
      <w:pPr>
        <w:pStyle w:val="Heading2"/>
        <w:rPr>
          <w:b/>
        </w:rPr>
      </w:pPr>
      <w:r w:rsidRPr="00397E4C">
        <w:rPr>
          <w:b/>
        </w:rPr>
        <w:t>Benefits Realisation Review</w:t>
      </w:r>
    </w:p>
    <w:p w:rsidR="004B295D" w:rsidRPr="00ED292B" w:rsidRDefault="00397E4C" w:rsidP="00967D74">
      <w:pPr>
        <w:pStyle w:val="Heading4"/>
        <w:ind w:hanging="862"/>
      </w:pPr>
      <w:r w:rsidRPr="00ED292B">
        <w:t xml:space="preserve">Upon completion of a capital project, consideration will be given to the use of a Post Implementation Review (PIR). This review will provide a check against the performance compared to the original proposal. It will focus on the outcomes achieved both financial and non-financial, the extent to which the benefits claimed are being realised, and the actual costs both revenue and capital. Using these types of </w:t>
      </w:r>
      <w:r w:rsidR="004B295D" w:rsidRPr="00ED292B">
        <w:t>review,</w:t>
      </w:r>
      <w:r w:rsidRPr="00ED292B">
        <w:t xml:space="preserve"> we would look to capture learning that can inform our future projects and programmes for the better.  The capital management board would receive updates on PIR’s to ensure that it can act on lessons learned</w:t>
      </w:r>
      <w:r w:rsidR="004B295D" w:rsidRPr="00ED292B">
        <w:t>.</w:t>
      </w:r>
    </w:p>
    <w:p w:rsidR="00397E4C" w:rsidRDefault="004B295D" w:rsidP="004B295D">
      <w:pPr>
        <w:pStyle w:val="Heading2"/>
        <w:rPr>
          <w:b/>
        </w:rPr>
      </w:pPr>
      <w:r w:rsidRPr="004B295D">
        <w:rPr>
          <w:b/>
        </w:rPr>
        <w:t>Risk Management</w:t>
      </w:r>
    </w:p>
    <w:p w:rsidR="004B295D" w:rsidRDefault="004B295D" w:rsidP="00967D74">
      <w:pPr>
        <w:pStyle w:val="Heading4"/>
        <w:ind w:hanging="862"/>
        <w:rPr>
          <w:rFonts w:eastAsia="Times New Roman"/>
        </w:rPr>
      </w:pPr>
      <w:r>
        <w:rPr>
          <w:rFonts w:eastAsia="Times New Roman"/>
        </w:rPr>
        <w:t xml:space="preserve">Risk in relation </w:t>
      </w:r>
      <w:r w:rsidRPr="004B295D">
        <w:rPr>
          <w:rFonts w:eastAsia="Times New Roman"/>
        </w:rPr>
        <w:t xml:space="preserve">to capital investment projects should be escalated to the capital strategy board. However, the normal risk register process is used to report on all risks. The effectiveness of the controls </w:t>
      </w:r>
      <w:r w:rsidR="000E3BAA" w:rsidRPr="004B295D">
        <w:rPr>
          <w:rFonts w:eastAsia="Times New Roman"/>
        </w:rPr>
        <w:t>is</w:t>
      </w:r>
      <w:r w:rsidRPr="004B295D">
        <w:rPr>
          <w:rFonts w:eastAsia="Times New Roman"/>
        </w:rPr>
        <w:t xml:space="preserve"> tested as part of the Audit Plan and subject to the scrutiny of the Independent Audit Committee. The Constabulary Management Board will consider risk as part of the individual business cases and monitoring of activity. It can also identify risks and ensure their inclusion in the risk register. New risks can be added to the risk register at any time</w:t>
      </w:r>
      <w:r>
        <w:rPr>
          <w:rFonts w:eastAsia="Times New Roman"/>
        </w:rPr>
        <w:t>.</w:t>
      </w:r>
    </w:p>
    <w:p w:rsidR="00FE599C" w:rsidRDefault="004B295D" w:rsidP="00B67875">
      <w:pPr>
        <w:pStyle w:val="Heading1"/>
      </w:pPr>
      <w:r>
        <w:br w:type="page"/>
      </w:r>
      <w:r w:rsidR="00F12045">
        <w:lastRenderedPageBreak/>
        <w:t xml:space="preserve">Appendix </w:t>
      </w:r>
      <w:r w:rsidR="00830681">
        <w:t>4</w:t>
      </w:r>
      <w:r w:rsidR="00F12045">
        <w:t xml:space="preserve"> – Capital Programme 2023/24 to 2026/27</w:t>
      </w:r>
    </w:p>
    <w:p w:rsidR="00F12045" w:rsidRDefault="00F12045" w:rsidP="002631F6">
      <w:pPr>
        <w:pStyle w:val="Heading2"/>
      </w:pPr>
      <w:r>
        <w:t>The table below details the Capital Programme for 2023/24 to 2026/27.</w:t>
      </w:r>
    </w:p>
    <w:tbl>
      <w:tblPr>
        <w:tblStyle w:val="GridTable4-Accent1"/>
        <w:tblW w:w="9072" w:type="dxa"/>
        <w:jc w:val="center"/>
        <w:tblInd w:w="0" w:type="dxa"/>
        <w:tblLook w:val="04A0" w:firstRow="1" w:lastRow="0" w:firstColumn="1" w:lastColumn="0" w:noHBand="0" w:noVBand="1"/>
      </w:tblPr>
      <w:tblGrid>
        <w:gridCol w:w="2980"/>
        <w:gridCol w:w="1080"/>
        <w:gridCol w:w="1080"/>
        <w:gridCol w:w="1080"/>
        <w:gridCol w:w="1012"/>
        <w:gridCol w:w="1012"/>
        <w:gridCol w:w="828"/>
      </w:tblGrid>
      <w:tr w:rsidR="00F12045" w:rsidRPr="00E76C48" w:rsidTr="00475DB8">
        <w:trPr>
          <w:cnfStyle w:val="100000000000" w:firstRow="1" w:lastRow="0" w:firstColumn="0" w:lastColumn="0" w:oddVBand="0" w:evenVBand="0" w:oddHBand="0"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2980" w:type="dxa"/>
            <w:noWrap/>
            <w:hideMark/>
          </w:tcPr>
          <w:p w:rsidR="00F12045" w:rsidRPr="00E76C48" w:rsidRDefault="00F12045" w:rsidP="00475DB8">
            <w:pPr>
              <w:rPr>
                <w:rFonts w:eastAsia="Times New Roman"/>
                <w:bCs w:val="0"/>
                <w:color w:val="auto"/>
                <w:sz w:val="22"/>
                <w:szCs w:val="22"/>
              </w:rPr>
            </w:pPr>
            <w:r>
              <w:br w:type="page"/>
            </w:r>
            <w:r w:rsidRPr="00E76C48">
              <w:rPr>
                <w:rFonts w:eastAsia="Times New Roman"/>
                <w:bCs w:val="0"/>
                <w:color w:val="auto"/>
                <w:sz w:val="22"/>
                <w:szCs w:val="22"/>
              </w:rPr>
              <w:t>Capital Programme, £m</w:t>
            </w:r>
          </w:p>
        </w:tc>
        <w:tc>
          <w:tcPr>
            <w:tcW w:w="1080" w:type="dxa"/>
            <w:hideMark/>
          </w:tcPr>
          <w:p w:rsidR="00F12045" w:rsidRPr="00E76C48" w:rsidRDefault="00F12045" w:rsidP="00475DB8">
            <w:pPr>
              <w:jc w:val="right"/>
              <w:cnfStyle w:val="100000000000" w:firstRow="1" w:lastRow="0" w:firstColumn="0" w:lastColumn="0" w:oddVBand="0" w:evenVBand="0" w:oddHBand="0" w:evenHBand="0" w:firstRowFirstColumn="0" w:firstRowLastColumn="0" w:lastRowFirstColumn="0" w:lastRowLastColumn="0"/>
              <w:rPr>
                <w:rFonts w:eastAsia="Times New Roman"/>
                <w:bCs w:val="0"/>
                <w:color w:val="auto"/>
                <w:sz w:val="22"/>
                <w:szCs w:val="22"/>
              </w:rPr>
            </w:pPr>
            <w:r w:rsidRPr="00E76C48">
              <w:rPr>
                <w:rFonts w:eastAsia="Times New Roman"/>
                <w:bCs w:val="0"/>
                <w:color w:val="auto"/>
                <w:sz w:val="22"/>
                <w:szCs w:val="22"/>
              </w:rPr>
              <w:t>2022/23</w:t>
            </w:r>
          </w:p>
        </w:tc>
        <w:tc>
          <w:tcPr>
            <w:tcW w:w="1080" w:type="dxa"/>
            <w:hideMark/>
          </w:tcPr>
          <w:p w:rsidR="00F12045" w:rsidRPr="00E76C48" w:rsidRDefault="00F12045" w:rsidP="00475DB8">
            <w:pPr>
              <w:jc w:val="right"/>
              <w:cnfStyle w:val="100000000000" w:firstRow="1" w:lastRow="0" w:firstColumn="0" w:lastColumn="0" w:oddVBand="0" w:evenVBand="0" w:oddHBand="0" w:evenHBand="0" w:firstRowFirstColumn="0" w:firstRowLastColumn="0" w:lastRowFirstColumn="0" w:lastRowLastColumn="0"/>
              <w:rPr>
                <w:rFonts w:eastAsia="Times New Roman"/>
                <w:bCs w:val="0"/>
                <w:color w:val="auto"/>
                <w:sz w:val="22"/>
                <w:szCs w:val="22"/>
              </w:rPr>
            </w:pPr>
            <w:r w:rsidRPr="00E76C48">
              <w:rPr>
                <w:rFonts w:eastAsia="Times New Roman"/>
                <w:bCs w:val="0"/>
                <w:color w:val="auto"/>
                <w:sz w:val="22"/>
                <w:szCs w:val="22"/>
              </w:rPr>
              <w:t>2023/24</w:t>
            </w:r>
          </w:p>
        </w:tc>
        <w:tc>
          <w:tcPr>
            <w:tcW w:w="1080" w:type="dxa"/>
            <w:hideMark/>
          </w:tcPr>
          <w:p w:rsidR="00F12045" w:rsidRPr="00E76C48" w:rsidRDefault="00F12045" w:rsidP="00475DB8">
            <w:pPr>
              <w:jc w:val="right"/>
              <w:cnfStyle w:val="100000000000" w:firstRow="1" w:lastRow="0" w:firstColumn="0" w:lastColumn="0" w:oddVBand="0" w:evenVBand="0" w:oddHBand="0" w:evenHBand="0" w:firstRowFirstColumn="0" w:firstRowLastColumn="0" w:lastRowFirstColumn="0" w:lastRowLastColumn="0"/>
              <w:rPr>
                <w:rFonts w:eastAsia="Times New Roman"/>
                <w:bCs w:val="0"/>
                <w:color w:val="auto"/>
                <w:sz w:val="22"/>
                <w:szCs w:val="22"/>
              </w:rPr>
            </w:pPr>
            <w:r w:rsidRPr="00E76C48">
              <w:rPr>
                <w:rFonts w:eastAsia="Times New Roman"/>
                <w:bCs w:val="0"/>
                <w:color w:val="auto"/>
                <w:sz w:val="22"/>
                <w:szCs w:val="22"/>
              </w:rPr>
              <w:t>2024/25</w:t>
            </w:r>
          </w:p>
        </w:tc>
        <w:tc>
          <w:tcPr>
            <w:tcW w:w="1012" w:type="dxa"/>
            <w:hideMark/>
          </w:tcPr>
          <w:p w:rsidR="00F12045" w:rsidRPr="00E76C48" w:rsidRDefault="00F12045" w:rsidP="00475DB8">
            <w:pPr>
              <w:jc w:val="right"/>
              <w:cnfStyle w:val="100000000000" w:firstRow="1" w:lastRow="0" w:firstColumn="0" w:lastColumn="0" w:oddVBand="0" w:evenVBand="0" w:oddHBand="0" w:evenHBand="0" w:firstRowFirstColumn="0" w:firstRowLastColumn="0" w:lastRowFirstColumn="0" w:lastRowLastColumn="0"/>
              <w:rPr>
                <w:rFonts w:eastAsia="Times New Roman"/>
                <w:bCs w:val="0"/>
                <w:color w:val="auto"/>
                <w:sz w:val="22"/>
                <w:szCs w:val="22"/>
              </w:rPr>
            </w:pPr>
            <w:r w:rsidRPr="00E76C48">
              <w:rPr>
                <w:rFonts w:eastAsia="Times New Roman"/>
                <w:bCs w:val="0"/>
                <w:color w:val="auto"/>
                <w:sz w:val="22"/>
                <w:szCs w:val="22"/>
              </w:rPr>
              <w:t>2025/26</w:t>
            </w:r>
          </w:p>
        </w:tc>
        <w:tc>
          <w:tcPr>
            <w:tcW w:w="1012" w:type="dxa"/>
            <w:hideMark/>
          </w:tcPr>
          <w:p w:rsidR="00F12045" w:rsidRPr="00E76C48" w:rsidRDefault="00F12045" w:rsidP="00475DB8">
            <w:pPr>
              <w:jc w:val="right"/>
              <w:cnfStyle w:val="100000000000" w:firstRow="1" w:lastRow="0" w:firstColumn="0" w:lastColumn="0" w:oddVBand="0" w:evenVBand="0" w:oddHBand="0" w:evenHBand="0" w:firstRowFirstColumn="0" w:firstRowLastColumn="0" w:lastRowFirstColumn="0" w:lastRowLastColumn="0"/>
              <w:rPr>
                <w:rFonts w:eastAsia="Times New Roman"/>
                <w:bCs w:val="0"/>
                <w:color w:val="auto"/>
                <w:sz w:val="22"/>
                <w:szCs w:val="22"/>
              </w:rPr>
            </w:pPr>
            <w:r w:rsidRPr="00E76C48">
              <w:rPr>
                <w:rFonts w:eastAsia="Times New Roman"/>
                <w:bCs w:val="0"/>
                <w:color w:val="auto"/>
                <w:sz w:val="22"/>
                <w:szCs w:val="22"/>
              </w:rPr>
              <w:t>2026/27</w:t>
            </w:r>
          </w:p>
        </w:tc>
        <w:tc>
          <w:tcPr>
            <w:tcW w:w="828" w:type="dxa"/>
            <w:hideMark/>
          </w:tcPr>
          <w:p w:rsidR="00F12045" w:rsidRPr="00E76C48" w:rsidRDefault="00F12045" w:rsidP="00475DB8">
            <w:pPr>
              <w:jc w:val="right"/>
              <w:cnfStyle w:val="100000000000" w:firstRow="1" w:lastRow="0" w:firstColumn="0" w:lastColumn="0" w:oddVBand="0" w:evenVBand="0" w:oddHBand="0" w:evenHBand="0" w:firstRowFirstColumn="0" w:firstRowLastColumn="0" w:lastRowFirstColumn="0" w:lastRowLastColumn="0"/>
              <w:rPr>
                <w:rFonts w:eastAsia="Times New Roman"/>
                <w:bCs w:val="0"/>
                <w:color w:val="auto"/>
                <w:sz w:val="22"/>
                <w:szCs w:val="22"/>
              </w:rPr>
            </w:pPr>
            <w:r w:rsidRPr="00E76C48">
              <w:rPr>
                <w:rFonts w:eastAsia="Times New Roman"/>
                <w:bCs w:val="0"/>
                <w:color w:val="auto"/>
                <w:sz w:val="22"/>
                <w:szCs w:val="22"/>
              </w:rPr>
              <w:t>Total</w:t>
            </w:r>
          </w:p>
        </w:tc>
      </w:tr>
      <w:tr w:rsidR="00F12045" w:rsidRPr="00E76C48" w:rsidTr="00475DB8">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29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rPr>
                <w:rFonts w:eastAsia="Times New Roman"/>
                <w:b w:val="0"/>
                <w:sz w:val="22"/>
                <w:szCs w:val="22"/>
              </w:rPr>
            </w:pPr>
            <w:r w:rsidRPr="00E76C48">
              <w:rPr>
                <w:rFonts w:eastAsia="Times New Roman"/>
                <w:b w:val="0"/>
                <w:sz w:val="22"/>
                <w:szCs w:val="22"/>
              </w:rPr>
              <w:t xml:space="preserve">Fleet </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E76C48">
              <w:rPr>
                <w:rFonts w:eastAsia="Times New Roman"/>
                <w:sz w:val="22"/>
                <w:szCs w:val="22"/>
              </w:rPr>
              <w:t xml:space="preserve">4.7 </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6205E" w:rsidP="00475DB8">
            <w:pPr>
              <w:jc w:val="right"/>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E76C48">
              <w:rPr>
                <w:rFonts w:eastAsia="Times New Roman"/>
                <w:sz w:val="22"/>
                <w:szCs w:val="22"/>
              </w:rPr>
              <w:t>4</w:t>
            </w:r>
            <w:r w:rsidR="00F12045" w:rsidRPr="00E76C48">
              <w:rPr>
                <w:rFonts w:eastAsia="Times New Roman"/>
                <w:sz w:val="22"/>
                <w:szCs w:val="22"/>
              </w:rPr>
              <w:t>.</w:t>
            </w:r>
            <w:r w:rsidRPr="00E76C48">
              <w:rPr>
                <w:rFonts w:eastAsia="Times New Roman"/>
                <w:sz w:val="22"/>
                <w:szCs w:val="22"/>
              </w:rPr>
              <w:t>0</w:t>
            </w:r>
            <w:r w:rsidR="00F12045" w:rsidRPr="00E76C48">
              <w:rPr>
                <w:rFonts w:eastAsia="Times New Roman"/>
                <w:sz w:val="22"/>
                <w:szCs w:val="22"/>
              </w:rPr>
              <w:t xml:space="preserve"> </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E76C48">
              <w:rPr>
                <w:rFonts w:eastAsia="Times New Roman"/>
                <w:sz w:val="22"/>
                <w:szCs w:val="22"/>
              </w:rPr>
              <w:t xml:space="preserve">5.7 </w:t>
            </w:r>
          </w:p>
        </w:tc>
        <w:tc>
          <w:tcPr>
            <w:tcW w:w="10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E76C48">
              <w:rPr>
                <w:rFonts w:eastAsia="Times New Roman"/>
                <w:sz w:val="22"/>
                <w:szCs w:val="22"/>
              </w:rPr>
              <w:t xml:space="preserve">6.4 </w:t>
            </w:r>
          </w:p>
        </w:tc>
        <w:tc>
          <w:tcPr>
            <w:tcW w:w="10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E76C48">
              <w:rPr>
                <w:rFonts w:eastAsia="Times New Roman"/>
                <w:sz w:val="22"/>
                <w:szCs w:val="22"/>
              </w:rPr>
              <w:t xml:space="preserve">6.6 </w:t>
            </w:r>
          </w:p>
        </w:tc>
        <w:tc>
          <w:tcPr>
            <w:tcW w:w="8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100000" w:firstRow="0" w:lastRow="0" w:firstColumn="0" w:lastColumn="0" w:oddVBand="0" w:evenVBand="0" w:oddHBand="1" w:evenHBand="0" w:firstRowFirstColumn="0" w:firstRowLastColumn="0" w:lastRowFirstColumn="0" w:lastRowLastColumn="0"/>
              <w:rPr>
                <w:rFonts w:eastAsia="Times New Roman"/>
                <w:bCs/>
                <w:sz w:val="22"/>
                <w:szCs w:val="22"/>
              </w:rPr>
            </w:pPr>
            <w:r w:rsidRPr="00E76C48">
              <w:rPr>
                <w:rFonts w:eastAsia="Times New Roman"/>
                <w:bCs/>
                <w:sz w:val="22"/>
                <w:szCs w:val="22"/>
              </w:rPr>
              <w:t>2</w:t>
            </w:r>
            <w:r w:rsidR="00590CF6" w:rsidRPr="00E76C48">
              <w:rPr>
                <w:rFonts w:eastAsia="Times New Roman"/>
                <w:bCs/>
                <w:sz w:val="22"/>
                <w:szCs w:val="22"/>
              </w:rPr>
              <w:t>7</w:t>
            </w:r>
            <w:r w:rsidRPr="00E76C48">
              <w:rPr>
                <w:rFonts w:eastAsia="Times New Roman"/>
                <w:bCs/>
                <w:sz w:val="22"/>
                <w:szCs w:val="22"/>
              </w:rPr>
              <w:t>.</w:t>
            </w:r>
            <w:r w:rsidR="00590CF6" w:rsidRPr="00E76C48">
              <w:rPr>
                <w:rFonts w:eastAsia="Times New Roman"/>
                <w:bCs/>
                <w:sz w:val="22"/>
                <w:szCs w:val="22"/>
              </w:rPr>
              <w:t>4</w:t>
            </w:r>
          </w:p>
        </w:tc>
      </w:tr>
      <w:tr w:rsidR="00F12045" w:rsidRPr="00E76C48" w:rsidTr="00475DB8">
        <w:trPr>
          <w:trHeight w:val="280"/>
          <w:jc w:val="center"/>
        </w:trPr>
        <w:tc>
          <w:tcPr>
            <w:cnfStyle w:val="001000000000" w:firstRow="0" w:lastRow="0" w:firstColumn="1" w:lastColumn="0" w:oddVBand="0" w:evenVBand="0" w:oddHBand="0" w:evenHBand="0" w:firstRowFirstColumn="0" w:firstRowLastColumn="0" w:lastRowFirstColumn="0" w:lastRowLastColumn="0"/>
            <w:tcW w:w="29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rPr>
                <w:rFonts w:eastAsia="Times New Roman"/>
                <w:b w:val="0"/>
                <w:sz w:val="22"/>
                <w:szCs w:val="22"/>
              </w:rPr>
            </w:pPr>
            <w:r w:rsidRPr="00E76C48">
              <w:rPr>
                <w:rFonts w:eastAsia="Times New Roman"/>
                <w:b w:val="0"/>
                <w:sz w:val="22"/>
                <w:szCs w:val="22"/>
              </w:rPr>
              <w:t>Body Worn Video</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E76C48">
              <w:rPr>
                <w:rFonts w:eastAsia="Times New Roman"/>
                <w:sz w:val="22"/>
                <w:szCs w:val="22"/>
              </w:rPr>
              <w:t xml:space="preserve">0.7 </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E76C48">
              <w:rPr>
                <w:rFonts w:eastAsia="Times New Roman"/>
                <w:sz w:val="22"/>
                <w:szCs w:val="22"/>
              </w:rPr>
              <w:t xml:space="preserve">1.4 </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E76C48">
              <w:rPr>
                <w:rFonts w:eastAsia="Times New Roman"/>
                <w:sz w:val="22"/>
                <w:szCs w:val="22"/>
              </w:rPr>
              <w:t xml:space="preserve">1.0 </w:t>
            </w:r>
          </w:p>
        </w:tc>
        <w:tc>
          <w:tcPr>
            <w:tcW w:w="10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E76C48">
              <w:rPr>
                <w:rFonts w:eastAsia="Times New Roman"/>
                <w:sz w:val="22"/>
                <w:szCs w:val="22"/>
              </w:rPr>
              <w:t xml:space="preserve">1.0 </w:t>
            </w:r>
          </w:p>
        </w:tc>
        <w:tc>
          <w:tcPr>
            <w:tcW w:w="10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E76C48">
              <w:rPr>
                <w:rFonts w:eastAsia="Times New Roman"/>
                <w:sz w:val="22"/>
                <w:szCs w:val="22"/>
              </w:rPr>
              <w:t xml:space="preserve">1.0 </w:t>
            </w:r>
          </w:p>
        </w:tc>
        <w:tc>
          <w:tcPr>
            <w:tcW w:w="8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000000" w:firstRow="0" w:lastRow="0" w:firstColumn="0" w:lastColumn="0" w:oddVBand="0" w:evenVBand="0" w:oddHBand="0" w:evenHBand="0" w:firstRowFirstColumn="0" w:firstRowLastColumn="0" w:lastRowFirstColumn="0" w:lastRowLastColumn="0"/>
              <w:rPr>
                <w:rFonts w:eastAsia="Times New Roman"/>
                <w:bCs/>
                <w:sz w:val="22"/>
                <w:szCs w:val="22"/>
              </w:rPr>
            </w:pPr>
            <w:r w:rsidRPr="00E76C48">
              <w:rPr>
                <w:rFonts w:eastAsia="Times New Roman"/>
                <w:bCs/>
                <w:sz w:val="22"/>
                <w:szCs w:val="22"/>
              </w:rPr>
              <w:t xml:space="preserve">5.1 </w:t>
            </w:r>
          </w:p>
        </w:tc>
      </w:tr>
      <w:tr w:rsidR="00F12045" w:rsidRPr="00E76C48" w:rsidTr="00475DB8">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29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rPr>
                <w:rFonts w:eastAsia="Times New Roman"/>
                <w:b w:val="0"/>
                <w:sz w:val="22"/>
                <w:szCs w:val="22"/>
              </w:rPr>
            </w:pPr>
            <w:r w:rsidRPr="00E76C48">
              <w:rPr>
                <w:rFonts w:eastAsia="Times New Roman"/>
                <w:b w:val="0"/>
                <w:sz w:val="22"/>
                <w:szCs w:val="22"/>
              </w:rPr>
              <w:t>Taser</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E76C48">
              <w:rPr>
                <w:rFonts w:eastAsia="Times New Roman"/>
                <w:sz w:val="22"/>
                <w:szCs w:val="22"/>
              </w:rPr>
              <w:t xml:space="preserve">0.0 </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E76C48">
              <w:rPr>
                <w:rFonts w:eastAsia="Times New Roman"/>
                <w:sz w:val="22"/>
                <w:szCs w:val="22"/>
              </w:rPr>
              <w:t xml:space="preserve">0.0 </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E76C48">
              <w:rPr>
                <w:rFonts w:eastAsia="Times New Roman"/>
                <w:sz w:val="22"/>
                <w:szCs w:val="22"/>
              </w:rPr>
              <w:t xml:space="preserve">0.0 </w:t>
            </w:r>
          </w:p>
        </w:tc>
        <w:tc>
          <w:tcPr>
            <w:tcW w:w="10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E76C48">
              <w:rPr>
                <w:rFonts w:eastAsia="Times New Roman"/>
                <w:sz w:val="22"/>
                <w:szCs w:val="22"/>
              </w:rPr>
              <w:t xml:space="preserve">1.8 </w:t>
            </w:r>
          </w:p>
        </w:tc>
        <w:tc>
          <w:tcPr>
            <w:tcW w:w="10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E76C48">
              <w:rPr>
                <w:rFonts w:eastAsia="Times New Roman"/>
                <w:sz w:val="22"/>
                <w:szCs w:val="22"/>
              </w:rPr>
              <w:t xml:space="preserve">1.0 </w:t>
            </w:r>
          </w:p>
        </w:tc>
        <w:tc>
          <w:tcPr>
            <w:tcW w:w="8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100000" w:firstRow="0" w:lastRow="0" w:firstColumn="0" w:lastColumn="0" w:oddVBand="0" w:evenVBand="0" w:oddHBand="1" w:evenHBand="0" w:firstRowFirstColumn="0" w:firstRowLastColumn="0" w:lastRowFirstColumn="0" w:lastRowLastColumn="0"/>
              <w:rPr>
                <w:rFonts w:eastAsia="Times New Roman"/>
                <w:bCs/>
                <w:sz w:val="22"/>
                <w:szCs w:val="22"/>
              </w:rPr>
            </w:pPr>
            <w:r w:rsidRPr="00E76C48">
              <w:rPr>
                <w:rFonts w:eastAsia="Times New Roman"/>
                <w:bCs/>
                <w:sz w:val="22"/>
                <w:szCs w:val="22"/>
              </w:rPr>
              <w:t xml:space="preserve">2.8 </w:t>
            </w:r>
          </w:p>
        </w:tc>
      </w:tr>
      <w:tr w:rsidR="00F12045" w:rsidRPr="00E76C48" w:rsidTr="00475DB8">
        <w:trPr>
          <w:trHeight w:val="280"/>
          <w:jc w:val="center"/>
        </w:trPr>
        <w:tc>
          <w:tcPr>
            <w:cnfStyle w:val="001000000000" w:firstRow="0" w:lastRow="0" w:firstColumn="1" w:lastColumn="0" w:oddVBand="0" w:evenVBand="0" w:oddHBand="0" w:evenHBand="0" w:firstRowFirstColumn="0" w:firstRowLastColumn="0" w:lastRowFirstColumn="0" w:lastRowLastColumn="0"/>
            <w:tcW w:w="29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rPr>
                <w:rFonts w:eastAsia="Times New Roman"/>
                <w:b w:val="0"/>
                <w:sz w:val="22"/>
                <w:szCs w:val="22"/>
              </w:rPr>
            </w:pPr>
            <w:r w:rsidRPr="00E76C48">
              <w:rPr>
                <w:rFonts w:eastAsia="Times New Roman"/>
                <w:b w:val="0"/>
                <w:sz w:val="22"/>
                <w:szCs w:val="22"/>
              </w:rPr>
              <w:t>Mobility Devices</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E76C48">
              <w:rPr>
                <w:rFonts w:eastAsia="Times New Roman"/>
                <w:sz w:val="22"/>
                <w:szCs w:val="22"/>
              </w:rPr>
              <w:t xml:space="preserve">2.5 </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6205E" w:rsidP="00475DB8">
            <w:pPr>
              <w:jc w:val="right"/>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E76C48">
              <w:rPr>
                <w:rFonts w:eastAsia="Times New Roman"/>
                <w:sz w:val="22"/>
                <w:szCs w:val="22"/>
              </w:rPr>
              <w:t>1.6</w:t>
            </w:r>
            <w:r w:rsidR="00F12045" w:rsidRPr="00E76C48">
              <w:rPr>
                <w:rFonts w:eastAsia="Times New Roman"/>
                <w:sz w:val="22"/>
                <w:szCs w:val="22"/>
              </w:rPr>
              <w:t xml:space="preserve"> </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E76C48">
              <w:rPr>
                <w:rFonts w:eastAsia="Times New Roman"/>
                <w:sz w:val="22"/>
                <w:szCs w:val="22"/>
              </w:rPr>
              <w:t xml:space="preserve">3.0 </w:t>
            </w:r>
          </w:p>
        </w:tc>
        <w:tc>
          <w:tcPr>
            <w:tcW w:w="10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E76C48">
              <w:rPr>
                <w:rFonts w:eastAsia="Times New Roman"/>
                <w:sz w:val="22"/>
                <w:szCs w:val="22"/>
              </w:rPr>
              <w:t xml:space="preserve">3.0 </w:t>
            </w:r>
          </w:p>
        </w:tc>
        <w:tc>
          <w:tcPr>
            <w:tcW w:w="10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E76C48">
              <w:rPr>
                <w:rFonts w:eastAsia="Times New Roman"/>
                <w:sz w:val="22"/>
                <w:szCs w:val="22"/>
              </w:rPr>
              <w:t xml:space="preserve">3.0 </w:t>
            </w:r>
          </w:p>
        </w:tc>
        <w:tc>
          <w:tcPr>
            <w:tcW w:w="8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000000" w:firstRow="0" w:lastRow="0" w:firstColumn="0" w:lastColumn="0" w:oddVBand="0" w:evenVBand="0" w:oddHBand="0" w:evenHBand="0" w:firstRowFirstColumn="0" w:firstRowLastColumn="0" w:lastRowFirstColumn="0" w:lastRowLastColumn="0"/>
              <w:rPr>
                <w:rFonts w:eastAsia="Times New Roman"/>
                <w:bCs/>
                <w:sz w:val="22"/>
                <w:szCs w:val="22"/>
              </w:rPr>
            </w:pPr>
            <w:r w:rsidRPr="00E76C48">
              <w:rPr>
                <w:rFonts w:eastAsia="Times New Roman"/>
                <w:bCs/>
                <w:sz w:val="22"/>
                <w:szCs w:val="22"/>
              </w:rPr>
              <w:t>1</w:t>
            </w:r>
            <w:r w:rsidR="00590CF6" w:rsidRPr="00E76C48">
              <w:rPr>
                <w:rFonts w:eastAsia="Times New Roman"/>
                <w:bCs/>
                <w:sz w:val="22"/>
                <w:szCs w:val="22"/>
              </w:rPr>
              <w:t>3.1</w:t>
            </w:r>
            <w:r w:rsidRPr="00E76C48">
              <w:rPr>
                <w:rFonts w:eastAsia="Times New Roman"/>
                <w:bCs/>
                <w:sz w:val="22"/>
                <w:szCs w:val="22"/>
              </w:rPr>
              <w:t xml:space="preserve"> </w:t>
            </w:r>
          </w:p>
        </w:tc>
      </w:tr>
      <w:tr w:rsidR="00F12045" w:rsidRPr="00E76C48" w:rsidTr="00475DB8">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29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rPr>
                <w:rFonts w:eastAsia="Times New Roman"/>
                <w:b w:val="0"/>
                <w:sz w:val="22"/>
                <w:szCs w:val="22"/>
              </w:rPr>
            </w:pPr>
            <w:r w:rsidRPr="00E76C48">
              <w:rPr>
                <w:rFonts w:eastAsia="Times New Roman"/>
                <w:b w:val="0"/>
                <w:sz w:val="22"/>
                <w:szCs w:val="22"/>
              </w:rPr>
              <w:t>Laptops / Desktops</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E76C48">
              <w:rPr>
                <w:rFonts w:eastAsia="Times New Roman"/>
                <w:sz w:val="22"/>
                <w:szCs w:val="22"/>
              </w:rPr>
              <w:t xml:space="preserve">2.0 </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E76C48">
              <w:rPr>
                <w:rFonts w:eastAsia="Times New Roman"/>
                <w:sz w:val="22"/>
                <w:szCs w:val="22"/>
              </w:rPr>
              <w:t>2.</w:t>
            </w:r>
            <w:r w:rsidR="00F6205E" w:rsidRPr="00E76C48">
              <w:rPr>
                <w:rFonts w:eastAsia="Times New Roman"/>
                <w:sz w:val="22"/>
                <w:szCs w:val="22"/>
              </w:rPr>
              <w:t>0</w:t>
            </w:r>
            <w:r w:rsidRPr="00E76C48">
              <w:rPr>
                <w:rFonts w:eastAsia="Times New Roman"/>
                <w:sz w:val="22"/>
                <w:szCs w:val="22"/>
              </w:rPr>
              <w:t xml:space="preserve"> </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E76C48">
              <w:rPr>
                <w:rFonts w:eastAsia="Times New Roman"/>
                <w:sz w:val="22"/>
                <w:szCs w:val="22"/>
              </w:rPr>
              <w:t xml:space="preserve">2.0 </w:t>
            </w:r>
          </w:p>
        </w:tc>
        <w:tc>
          <w:tcPr>
            <w:tcW w:w="10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E76C48">
              <w:rPr>
                <w:rFonts w:eastAsia="Times New Roman"/>
                <w:sz w:val="22"/>
                <w:szCs w:val="22"/>
              </w:rPr>
              <w:t xml:space="preserve">2.0 </w:t>
            </w:r>
          </w:p>
        </w:tc>
        <w:tc>
          <w:tcPr>
            <w:tcW w:w="10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E76C48">
              <w:rPr>
                <w:rFonts w:eastAsia="Times New Roman"/>
                <w:sz w:val="22"/>
                <w:szCs w:val="22"/>
              </w:rPr>
              <w:t xml:space="preserve">2.0 </w:t>
            </w:r>
          </w:p>
        </w:tc>
        <w:tc>
          <w:tcPr>
            <w:tcW w:w="8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100000" w:firstRow="0" w:lastRow="0" w:firstColumn="0" w:lastColumn="0" w:oddVBand="0" w:evenVBand="0" w:oddHBand="1" w:evenHBand="0" w:firstRowFirstColumn="0" w:firstRowLastColumn="0" w:lastRowFirstColumn="0" w:lastRowLastColumn="0"/>
              <w:rPr>
                <w:rFonts w:eastAsia="Times New Roman"/>
                <w:bCs/>
                <w:sz w:val="22"/>
                <w:szCs w:val="22"/>
              </w:rPr>
            </w:pPr>
            <w:r w:rsidRPr="00E76C48">
              <w:rPr>
                <w:rFonts w:eastAsia="Times New Roman"/>
                <w:bCs/>
                <w:sz w:val="22"/>
                <w:szCs w:val="22"/>
              </w:rPr>
              <w:t xml:space="preserve">10.0 </w:t>
            </w:r>
          </w:p>
        </w:tc>
      </w:tr>
      <w:tr w:rsidR="00F12045" w:rsidRPr="00E76C48" w:rsidTr="00475DB8">
        <w:trPr>
          <w:trHeight w:val="280"/>
          <w:jc w:val="center"/>
        </w:trPr>
        <w:tc>
          <w:tcPr>
            <w:cnfStyle w:val="001000000000" w:firstRow="0" w:lastRow="0" w:firstColumn="1" w:lastColumn="0" w:oddVBand="0" w:evenVBand="0" w:oddHBand="0" w:evenHBand="0" w:firstRowFirstColumn="0" w:firstRowLastColumn="0" w:lastRowFirstColumn="0" w:lastRowLastColumn="0"/>
            <w:tcW w:w="29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rPr>
                <w:rFonts w:eastAsia="Times New Roman"/>
                <w:b w:val="0"/>
                <w:sz w:val="22"/>
                <w:szCs w:val="22"/>
              </w:rPr>
            </w:pPr>
            <w:r w:rsidRPr="00E76C48">
              <w:rPr>
                <w:rFonts w:eastAsia="Times New Roman"/>
                <w:b w:val="0"/>
                <w:sz w:val="22"/>
                <w:szCs w:val="22"/>
              </w:rPr>
              <w:t>IT Infrastructure</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6205E" w:rsidP="00475DB8">
            <w:pPr>
              <w:jc w:val="right"/>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E76C48">
              <w:rPr>
                <w:rFonts w:eastAsia="Times New Roman"/>
                <w:sz w:val="22"/>
                <w:szCs w:val="22"/>
              </w:rPr>
              <w:t>3</w:t>
            </w:r>
            <w:r w:rsidR="00F12045" w:rsidRPr="00E76C48">
              <w:rPr>
                <w:rFonts w:eastAsia="Times New Roman"/>
                <w:sz w:val="22"/>
                <w:szCs w:val="22"/>
              </w:rPr>
              <w:t xml:space="preserve">.9 </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6205E" w:rsidP="00475DB8">
            <w:pPr>
              <w:jc w:val="right"/>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E76C48">
              <w:rPr>
                <w:rFonts w:eastAsia="Times New Roman"/>
                <w:sz w:val="22"/>
                <w:szCs w:val="22"/>
              </w:rPr>
              <w:t>3.2</w:t>
            </w:r>
            <w:r w:rsidR="00F12045" w:rsidRPr="00E76C48">
              <w:rPr>
                <w:rFonts w:eastAsia="Times New Roman"/>
                <w:sz w:val="22"/>
                <w:szCs w:val="22"/>
              </w:rPr>
              <w:t xml:space="preserve"> </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E76C48">
              <w:rPr>
                <w:rFonts w:eastAsia="Times New Roman"/>
                <w:sz w:val="22"/>
                <w:szCs w:val="22"/>
              </w:rPr>
              <w:t xml:space="preserve">5.5 </w:t>
            </w:r>
          </w:p>
        </w:tc>
        <w:tc>
          <w:tcPr>
            <w:tcW w:w="10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E76C48">
              <w:rPr>
                <w:rFonts w:eastAsia="Times New Roman"/>
                <w:sz w:val="22"/>
                <w:szCs w:val="22"/>
              </w:rPr>
              <w:t xml:space="preserve">5.5 </w:t>
            </w:r>
          </w:p>
        </w:tc>
        <w:tc>
          <w:tcPr>
            <w:tcW w:w="10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E76C48">
              <w:rPr>
                <w:rFonts w:eastAsia="Times New Roman"/>
                <w:sz w:val="22"/>
                <w:szCs w:val="22"/>
              </w:rPr>
              <w:t xml:space="preserve">5.5 </w:t>
            </w:r>
          </w:p>
        </w:tc>
        <w:tc>
          <w:tcPr>
            <w:tcW w:w="8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000000" w:firstRow="0" w:lastRow="0" w:firstColumn="0" w:lastColumn="0" w:oddVBand="0" w:evenVBand="0" w:oddHBand="0" w:evenHBand="0" w:firstRowFirstColumn="0" w:firstRowLastColumn="0" w:lastRowFirstColumn="0" w:lastRowLastColumn="0"/>
              <w:rPr>
                <w:rFonts w:eastAsia="Times New Roman"/>
                <w:bCs/>
                <w:sz w:val="22"/>
                <w:szCs w:val="22"/>
              </w:rPr>
            </w:pPr>
            <w:r w:rsidRPr="00E76C48">
              <w:rPr>
                <w:rFonts w:eastAsia="Times New Roman"/>
                <w:bCs/>
                <w:sz w:val="22"/>
                <w:szCs w:val="22"/>
              </w:rPr>
              <w:t>2</w:t>
            </w:r>
            <w:r w:rsidR="00590CF6" w:rsidRPr="00E76C48">
              <w:rPr>
                <w:rFonts w:eastAsia="Times New Roman"/>
                <w:bCs/>
                <w:sz w:val="22"/>
                <w:szCs w:val="22"/>
              </w:rPr>
              <w:t>3.6</w:t>
            </w:r>
            <w:r w:rsidRPr="00E76C48">
              <w:rPr>
                <w:rFonts w:eastAsia="Times New Roman"/>
                <w:bCs/>
                <w:sz w:val="22"/>
                <w:szCs w:val="22"/>
              </w:rPr>
              <w:t xml:space="preserve"> </w:t>
            </w:r>
          </w:p>
        </w:tc>
      </w:tr>
      <w:tr w:rsidR="00F6205E" w:rsidRPr="00E76C48" w:rsidTr="00475DB8">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29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tcPr>
          <w:p w:rsidR="00F6205E" w:rsidRPr="00E76C48" w:rsidRDefault="00F6205E" w:rsidP="00475DB8">
            <w:pPr>
              <w:rPr>
                <w:rFonts w:eastAsia="Times New Roman"/>
                <w:b w:val="0"/>
                <w:bCs w:val="0"/>
                <w:sz w:val="22"/>
              </w:rPr>
            </w:pPr>
            <w:r w:rsidRPr="00E76C48">
              <w:rPr>
                <w:rFonts w:eastAsia="Times New Roman"/>
                <w:b w:val="0"/>
                <w:bCs w:val="0"/>
                <w:sz w:val="22"/>
              </w:rPr>
              <w:t>Firearms Vehicles</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tcPr>
          <w:p w:rsidR="00F6205E" w:rsidRPr="00E76C48" w:rsidRDefault="00F6205E" w:rsidP="00475DB8">
            <w:pPr>
              <w:jc w:val="right"/>
              <w:cnfStyle w:val="000000100000" w:firstRow="0" w:lastRow="0" w:firstColumn="0" w:lastColumn="0" w:oddVBand="0" w:evenVBand="0" w:oddHBand="1" w:evenHBand="0" w:firstRowFirstColumn="0" w:firstRowLastColumn="0" w:lastRowFirstColumn="0" w:lastRowLastColumn="0"/>
              <w:rPr>
                <w:rFonts w:eastAsia="Times New Roman"/>
                <w:bCs/>
                <w:sz w:val="22"/>
              </w:rPr>
            </w:pPr>
            <w:r w:rsidRPr="00E76C48">
              <w:rPr>
                <w:rFonts w:eastAsia="Times New Roman"/>
                <w:bCs/>
                <w:sz w:val="22"/>
              </w:rPr>
              <w:t>0.0</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tcPr>
          <w:p w:rsidR="00F6205E" w:rsidRPr="00E76C48" w:rsidRDefault="00F6205E" w:rsidP="00475DB8">
            <w:pPr>
              <w:jc w:val="right"/>
              <w:cnfStyle w:val="000000100000" w:firstRow="0" w:lastRow="0" w:firstColumn="0" w:lastColumn="0" w:oddVBand="0" w:evenVBand="0" w:oddHBand="1" w:evenHBand="0" w:firstRowFirstColumn="0" w:firstRowLastColumn="0" w:lastRowFirstColumn="0" w:lastRowLastColumn="0"/>
              <w:rPr>
                <w:rFonts w:eastAsia="Times New Roman"/>
                <w:bCs/>
                <w:sz w:val="22"/>
              </w:rPr>
            </w:pPr>
            <w:r w:rsidRPr="00E76C48">
              <w:rPr>
                <w:rFonts w:eastAsia="Times New Roman"/>
                <w:bCs/>
                <w:sz w:val="22"/>
              </w:rPr>
              <w:t>0.2</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tcPr>
          <w:p w:rsidR="00F6205E" w:rsidRPr="00E76C48" w:rsidRDefault="00F6205E" w:rsidP="00475DB8">
            <w:pPr>
              <w:jc w:val="right"/>
              <w:cnfStyle w:val="000000100000" w:firstRow="0" w:lastRow="0" w:firstColumn="0" w:lastColumn="0" w:oddVBand="0" w:evenVBand="0" w:oddHBand="1" w:evenHBand="0" w:firstRowFirstColumn="0" w:firstRowLastColumn="0" w:lastRowFirstColumn="0" w:lastRowLastColumn="0"/>
              <w:rPr>
                <w:rFonts w:eastAsia="Times New Roman"/>
                <w:bCs/>
                <w:sz w:val="22"/>
              </w:rPr>
            </w:pPr>
            <w:r w:rsidRPr="00E76C48">
              <w:rPr>
                <w:rFonts w:eastAsia="Times New Roman"/>
                <w:bCs/>
                <w:sz w:val="22"/>
              </w:rPr>
              <w:t>0.0</w:t>
            </w:r>
          </w:p>
        </w:tc>
        <w:tc>
          <w:tcPr>
            <w:tcW w:w="10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tcPr>
          <w:p w:rsidR="00F6205E" w:rsidRPr="00E76C48" w:rsidRDefault="00F6205E" w:rsidP="00475DB8">
            <w:pPr>
              <w:jc w:val="right"/>
              <w:cnfStyle w:val="000000100000" w:firstRow="0" w:lastRow="0" w:firstColumn="0" w:lastColumn="0" w:oddVBand="0" w:evenVBand="0" w:oddHBand="1" w:evenHBand="0" w:firstRowFirstColumn="0" w:firstRowLastColumn="0" w:lastRowFirstColumn="0" w:lastRowLastColumn="0"/>
              <w:rPr>
                <w:rFonts w:eastAsia="Times New Roman"/>
                <w:bCs/>
                <w:sz w:val="22"/>
              </w:rPr>
            </w:pPr>
            <w:r w:rsidRPr="00E76C48">
              <w:rPr>
                <w:rFonts w:eastAsia="Times New Roman"/>
                <w:bCs/>
                <w:sz w:val="22"/>
              </w:rPr>
              <w:t>0.0</w:t>
            </w:r>
          </w:p>
        </w:tc>
        <w:tc>
          <w:tcPr>
            <w:tcW w:w="10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tcPr>
          <w:p w:rsidR="00F6205E" w:rsidRPr="00E76C48" w:rsidRDefault="00F6205E" w:rsidP="00475DB8">
            <w:pPr>
              <w:jc w:val="right"/>
              <w:cnfStyle w:val="000000100000" w:firstRow="0" w:lastRow="0" w:firstColumn="0" w:lastColumn="0" w:oddVBand="0" w:evenVBand="0" w:oddHBand="1" w:evenHBand="0" w:firstRowFirstColumn="0" w:firstRowLastColumn="0" w:lastRowFirstColumn="0" w:lastRowLastColumn="0"/>
              <w:rPr>
                <w:rFonts w:eastAsia="Times New Roman"/>
                <w:bCs/>
                <w:sz w:val="22"/>
              </w:rPr>
            </w:pPr>
            <w:r w:rsidRPr="00E76C48">
              <w:rPr>
                <w:rFonts w:eastAsia="Times New Roman"/>
                <w:bCs/>
                <w:sz w:val="22"/>
              </w:rPr>
              <w:t>0.0</w:t>
            </w:r>
          </w:p>
        </w:tc>
        <w:tc>
          <w:tcPr>
            <w:tcW w:w="8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tcPr>
          <w:p w:rsidR="00F6205E" w:rsidRPr="00E76C48" w:rsidRDefault="00F6205E" w:rsidP="00475DB8">
            <w:pPr>
              <w:jc w:val="right"/>
              <w:cnfStyle w:val="000000100000" w:firstRow="0" w:lastRow="0" w:firstColumn="0" w:lastColumn="0" w:oddVBand="0" w:evenVBand="0" w:oddHBand="1" w:evenHBand="0" w:firstRowFirstColumn="0" w:firstRowLastColumn="0" w:lastRowFirstColumn="0" w:lastRowLastColumn="0"/>
              <w:rPr>
                <w:rFonts w:eastAsia="Times New Roman"/>
                <w:bCs/>
                <w:sz w:val="22"/>
              </w:rPr>
            </w:pPr>
            <w:r w:rsidRPr="00E76C48">
              <w:rPr>
                <w:rFonts w:eastAsia="Times New Roman"/>
                <w:bCs/>
                <w:sz w:val="22"/>
              </w:rPr>
              <w:t>0.</w:t>
            </w:r>
            <w:r w:rsidR="00590CF6" w:rsidRPr="00E76C48">
              <w:rPr>
                <w:rFonts w:eastAsia="Times New Roman"/>
                <w:bCs/>
                <w:sz w:val="22"/>
              </w:rPr>
              <w:t>2</w:t>
            </w:r>
          </w:p>
        </w:tc>
      </w:tr>
      <w:tr w:rsidR="00F12045" w:rsidRPr="00E76C48" w:rsidTr="00475DB8">
        <w:trPr>
          <w:trHeight w:val="280"/>
          <w:jc w:val="center"/>
        </w:trPr>
        <w:tc>
          <w:tcPr>
            <w:cnfStyle w:val="001000000000" w:firstRow="0" w:lastRow="0" w:firstColumn="1" w:lastColumn="0" w:oddVBand="0" w:evenVBand="0" w:oddHBand="0" w:evenHBand="0" w:firstRowFirstColumn="0" w:firstRowLastColumn="0" w:lastRowFirstColumn="0" w:lastRowLastColumn="0"/>
            <w:tcW w:w="29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rPr>
                <w:rFonts w:eastAsia="Times New Roman"/>
                <w:bCs w:val="0"/>
                <w:sz w:val="22"/>
                <w:szCs w:val="22"/>
              </w:rPr>
            </w:pPr>
            <w:r w:rsidRPr="00E76C48">
              <w:rPr>
                <w:rFonts w:eastAsia="Times New Roman"/>
                <w:bCs w:val="0"/>
                <w:sz w:val="22"/>
                <w:szCs w:val="22"/>
              </w:rPr>
              <w:t>Total Business as Usual Capital</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000000" w:firstRow="0" w:lastRow="0" w:firstColumn="0" w:lastColumn="0" w:oddVBand="0" w:evenVBand="0" w:oddHBand="0" w:evenHBand="0" w:firstRowFirstColumn="0" w:firstRowLastColumn="0" w:lastRowFirstColumn="0" w:lastRowLastColumn="0"/>
              <w:rPr>
                <w:rFonts w:eastAsia="Times New Roman"/>
                <w:b/>
                <w:bCs/>
                <w:sz w:val="22"/>
                <w:szCs w:val="22"/>
              </w:rPr>
            </w:pPr>
            <w:r w:rsidRPr="00E76C48">
              <w:rPr>
                <w:rFonts w:eastAsia="Times New Roman"/>
                <w:b/>
                <w:bCs/>
                <w:sz w:val="22"/>
                <w:szCs w:val="22"/>
              </w:rPr>
              <w:t>1</w:t>
            </w:r>
            <w:r w:rsidR="00F6205E" w:rsidRPr="00E76C48">
              <w:rPr>
                <w:rFonts w:eastAsia="Times New Roman"/>
                <w:b/>
                <w:bCs/>
                <w:sz w:val="22"/>
                <w:szCs w:val="22"/>
              </w:rPr>
              <w:t>3</w:t>
            </w:r>
            <w:r w:rsidRPr="00E76C48">
              <w:rPr>
                <w:rFonts w:eastAsia="Times New Roman"/>
                <w:b/>
                <w:bCs/>
                <w:sz w:val="22"/>
                <w:szCs w:val="22"/>
              </w:rPr>
              <w:t xml:space="preserve">.8 </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000000" w:firstRow="0" w:lastRow="0" w:firstColumn="0" w:lastColumn="0" w:oddVBand="0" w:evenVBand="0" w:oddHBand="0" w:evenHBand="0" w:firstRowFirstColumn="0" w:firstRowLastColumn="0" w:lastRowFirstColumn="0" w:lastRowLastColumn="0"/>
              <w:rPr>
                <w:rFonts w:eastAsia="Times New Roman"/>
                <w:b/>
                <w:bCs/>
                <w:sz w:val="22"/>
                <w:szCs w:val="22"/>
              </w:rPr>
            </w:pPr>
            <w:r w:rsidRPr="00E76C48">
              <w:rPr>
                <w:rFonts w:eastAsia="Times New Roman"/>
                <w:b/>
                <w:bCs/>
                <w:sz w:val="22"/>
                <w:szCs w:val="22"/>
              </w:rPr>
              <w:t>1</w:t>
            </w:r>
            <w:r w:rsidR="00F6205E" w:rsidRPr="00E76C48">
              <w:rPr>
                <w:rFonts w:eastAsia="Times New Roman"/>
                <w:b/>
                <w:bCs/>
                <w:sz w:val="22"/>
                <w:szCs w:val="22"/>
              </w:rPr>
              <w:t>2.4</w:t>
            </w:r>
            <w:r w:rsidRPr="00E76C48">
              <w:rPr>
                <w:rFonts w:eastAsia="Times New Roman"/>
                <w:b/>
                <w:bCs/>
                <w:sz w:val="22"/>
                <w:szCs w:val="22"/>
              </w:rPr>
              <w:t xml:space="preserve"> </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000000" w:firstRow="0" w:lastRow="0" w:firstColumn="0" w:lastColumn="0" w:oddVBand="0" w:evenVBand="0" w:oddHBand="0" w:evenHBand="0" w:firstRowFirstColumn="0" w:firstRowLastColumn="0" w:lastRowFirstColumn="0" w:lastRowLastColumn="0"/>
              <w:rPr>
                <w:rFonts w:eastAsia="Times New Roman"/>
                <w:b/>
                <w:bCs/>
                <w:sz w:val="22"/>
                <w:szCs w:val="22"/>
              </w:rPr>
            </w:pPr>
            <w:r w:rsidRPr="00E76C48">
              <w:rPr>
                <w:rFonts w:eastAsia="Times New Roman"/>
                <w:b/>
                <w:bCs/>
                <w:sz w:val="22"/>
                <w:szCs w:val="22"/>
              </w:rPr>
              <w:t xml:space="preserve">17.2 </w:t>
            </w:r>
          </w:p>
        </w:tc>
        <w:tc>
          <w:tcPr>
            <w:tcW w:w="10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000000" w:firstRow="0" w:lastRow="0" w:firstColumn="0" w:lastColumn="0" w:oddVBand="0" w:evenVBand="0" w:oddHBand="0" w:evenHBand="0" w:firstRowFirstColumn="0" w:firstRowLastColumn="0" w:lastRowFirstColumn="0" w:lastRowLastColumn="0"/>
              <w:rPr>
                <w:rFonts w:eastAsia="Times New Roman"/>
                <w:b/>
                <w:bCs/>
                <w:sz w:val="22"/>
                <w:szCs w:val="22"/>
              </w:rPr>
            </w:pPr>
            <w:r w:rsidRPr="00E76C48">
              <w:rPr>
                <w:rFonts w:eastAsia="Times New Roman"/>
                <w:b/>
                <w:bCs/>
                <w:sz w:val="22"/>
                <w:szCs w:val="22"/>
              </w:rPr>
              <w:t xml:space="preserve">19.7 </w:t>
            </w:r>
          </w:p>
        </w:tc>
        <w:tc>
          <w:tcPr>
            <w:tcW w:w="10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000000" w:firstRow="0" w:lastRow="0" w:firstColumn="0" w:lastColumn="0" w:oddVBand="0" w:evenVBand="0" w:oddHBand="0" w:evenHBand="0" w:firstRowFirstColumn="0" w:firstRowLastColumn="0" w:lastRowFirstColumn="0" w:lastRowLastColumn="0"/>
              <w:rPr>
                <w:rFonts w:eastAsia="Times New Roman"/>
                <w:b/>
                <w:bCs/>
                <w:sz w:val="22"/>
                <w:szCs w:val="22"/>
              </w:rPr>
            </w:pPr>
            <w:r w:rsidRPr="00E76C48">
              <w:rPr>
                <w:rFonts w:eastAsia="Times New Roman"/>
                <w:b/>
                <w:bCs/>
                <w:sz w:val="22"/>
                <w:szCs w:val="22"/>
              </w:rPr>
              <w:t xml:space="preserve">19.1 </w:t>
            </w:r>
          </w:p>
        </w:tc>
        <w:tc>
          <w:tcPr>
            <w:tcW w:w="8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000000" w:firstRow="0" w:lastRow="0" w:firstColumn="0" w:lastColumn="0" w:oddVBand="0" w:evenVBand="0" w:oddHBand="0" w:evenHBand="0" w:firstRowFirstColumn="0" w:firstRowLastColumn="0" w:lastRowFirstColumn="0" w:lastRowLastColumn="0"/>
              <w:rPr>
                <w:rFonts w:eastAsia="Times New Roman"/>
                <w:b/>
                <w:bCs/>
                <w:sz w:val="22"/>
                <w:szCs w:val="22"/>
              </w:rPr>
            </w:pPr>
            <w:r w:rsidRPr="00E76C48">
              <w:rPr>
                <w:rFonts w:eastAsia="Times New Roman"/>
                <w:b/>
                <w:bCs/>
                <w:sz w:val="22"/>
                <w:szCs w:val="22"/>
              </w:rPr>
              <w:t>8</w:t>
            </w:r>
            <w:r w:rsidR="00590CF6" w:rsidRPr="00E76C48">
              <w:rPr>
                <w:rFonts w:eastAsia="Times New Roman"/>
                <w:b/>
                <w:bCs/>
                <w:sz w:val="22"/>
                <w:szCs w:val="22"/>
              </w:rPr>
              <w:t>2.2</w:t>
            </w:r>
          </w:p>
        </w:tc>
      </w:tr>
      <w:tr w:rsidR="00F12045" w:rsidRPr="00E76C48" w:rsidTr="00475DB8">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9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rPr>
                <w:rFonts w:eastAsia="Times New Roman"/>
                <w:b w:val="0"/>
                <w:sz w:val="22"/>
                <w:szCs w:val="22"/>
              </w:rPr>
            </w:pPr>
            <w:r w:rsidRPr="00E76C48">
              <w:rPr>
                <w:rFonts w:eastAsia="Times New Roman"/>
                <w:b w:val="0"/>
                <w:sz w:val="22"/>
                <w:szCs w:val="22"/>
              </w:rPr>
              <w:t>Estates Strategy</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6205E" w:rsidP="00475DB8">
            <w:pPr>
              <w:jc w:val="right"/>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E76C48">
              <w:rPr>
                <w:rFonts w:eastAsia="Times New Roman"/>
                <w:sz w:val="22"/>
                <w:szCs w:val="22"/>
              </w:rPr>
              <w:t>0.0</w:t>
            </w:r>
            <w:r w:rsidR="00F12045" w:rsidRPr="00E76C48">
              <w:rPr>
                <w:rFonts w:eastAsia="Times New Roman"/>
                <w:sz w:val="22"/>
                <w:szCs w:val="22"/>
              </w:rPr>
              <w:t xml:space="preserve"> </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E76C48">
              <w:rPr>
                <w:rFonts w:eastAsia="Times New Roman"/>
                <w:sz w:val="22"/>
                <w:szCs w:val="22"/>
              </w:rPr>
              <w:t>3</w:t>
            </w:r>
            <w:r w:rsidR="00F6205E" w:rsidRPr="00E76C48">
              <w:rPr>
                <w:rFonts w:eastAsia="Times New Roman"/>
                <w:sz w:val="22"/>
                <w:szCs w:val="22"/>
              </w:rPr>
              <w:t>7.0</w:t>
            </w:r>
            <w:r w:rsidRPr="00E76C48">
              <w:rPr>
                <w:rFonts w:eastAsia="Times New Roman"/>
                <w:sz w:val="22"/>
                <w:szCs w:val="22"/>
              </w:rPr>
              <w:t xml:space="preserve"> </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E76C48">
              <w:rPr>
                <w:rFonts w:eastAsia="Times New Roman"/>
                <w:sz w:val="22"/>
                <w:szCs w:val="22"/>
              </w:rPr>
              <w:t xml:space="preserve">33.0 </w:t>
            </w:r>
          </w:p>
        </w:tc>
        <w:tc>
          <w:tcPr>
            <w:tcW w:w="10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E76C48">
              <w:rPr>
                <w:rFonts w:eastAsia="Times New Roman"/>
                <w:sz w:val="22"/>
                <w:szCs w:val="22"/>
              </w:rPr>
              <w:t xml:space="preserve">25.0 </w:t>
            </w:r>
          </w:p>
        </w:tc>
        <w:tc>
          <w:tcPr>
            <w:tcW w:w="10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E76C48">
              <w:rPr>
                <w:rFonts w:eastAsia="Times New Roman"/>
                <w:sz w:val="22"/>
                <w:szCs w:val="22"/>
              </w:rPr>
              <w:t xml:space="preserve">27.5 </w:t>
            </w:r>
          </w:p>
        </w:tc>
        <w:tc>
          <w:tcPr>
            <w:tcW w:w="8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100000" w:firstRow="0" w:lastRow="0" w:firstColumn="0" w:lastColumn="0" w:oddVBand="0" w:evenVBand="0" w:oddHBand="1" w:evenHBand="0" w:firstRowFirstColumn="0" w:firstRowLastColumn="0" w:lastRowFirstColumn="0" w:lastRowLastColumn="0"/>
              <w:rPr>
                <w:rFonts w:eastAsia="Times New Roman"/>
                <w:bCs/>
                <w:sz w:val="22"/>
                <w:szCs w:val="22"/>
              </w:rPr>
            </w:pPr>
            <w:r w:rsidRPr="00E76C48">
              <w:rPr>
                <w:rFonts w:eastAsia="Times New Roman"/>
                <w:bCs/>
                <w:sz w:val="22"/>
                <w:szCs w:val="22"/>
              </w:rPr>
              <w:t>12</w:t>
            </w:r>
            <w:r w:rsidR="00590CF6" w:rsidRPr="00E76C48">
              <w:rPr>
                <w:rFonts w:eastAsia="Times New Roman"/>
                <w:bCs/>
                <w:sz w:val="22"/>
                <w:szCs w:val="22"/>
              </w:rPr>
              <w:t>2.5</w:t>
            </w:r>
          </w:p>
        </w:tc>
      </w:tr>
      <w:tr w:rsidR="00F12045" w:rsidRPr="00E76C48" w:rsidTr="00475DB8">
        <w:trPr>
          <w:trHeight w:val="290"/>
          <w:jc w:val="center"/>
        </w:trPr>
        <w:tc>
          <w:tcPr>
            <w:cnfStyle w:val="001000000000" w:firstRow="0" w:lastRow="0" w:firstColumn="1" w:lastColumn="0" w:oddVBand="0" w:evenVBand="0" w:oddHBand="0" w:evenHBand="0" w:firstRowFirstColumn="0" w:firstRowLastColumn="0" w:lastRowFirstColumn="0" w:lastRowLastColumn="0"/>
            <w:tcW w:w="29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rPr>
                <w:rFonts w:eastAsia="Times New Roman"/>
                <w:bCs w:val="0"/>
                <w:sz w:val="22"/>
                <w:szCs w:val="22"/>
              </w:rPr>
            </w:pPr>
            <w:r w:rsidRPr="00E76C48">
              <w:rPr>
                <w:rFonts w:eastAsia="Times New Roman"/>
                <w:bCs w:val="0"/>
                <w:sz w:val="22"/>
                <w:szCs w:val="22"/>
              </w:rPr>
              <w:t>Total Capital Programme</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590CF6" w:rsidP="00590CF6">
            <w:pPr>
              <w:jc w:val="right"/>
              <w:cnfStyle w:val="000000000000" w:firstRow="0" w:lastRow="0" w:firstColumn="0" w:lastColumn="0" w:oddVBand="0" w:evenVBand="0" w:oddHBand="0" w:evenHBand="0" w:firstRowFirstColumn="0" w:firstRowLastColumn="0" w:lastRowFirstColumn="0" w:lastRowLastColumn="0"/>
              <w:rPr>
                <w:rFonts w:eastAsia="Times New Roman"/>
                <w:b/>
                <w:bCs/>
                <w:sz w:val="22"/>
                <w:szCs w:val="22"/>
              </w:rPr>
            </w:pPr>
            <w:r w:rsidRPr="00E76C48">
              <w:rPr>
                <w:rFonts w:eastAsia="Times New Roman"/>
                <w:b/>
                <w:bCs/>
                <w:sz w:val="22"/>
                <w:szCs w:val="22"/>
              </w:rPr>
              <w:t>13.8</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6205E" w:rsidP="00475DB8">
            <w:pPr>
              <w:jc w:val="right"/>
              <w:cnfStyle w:val="000000000000" w:firstRow="0" w:lastRow="0" w:firstColumn="0" w:lastColumn="0" w:oddVBand="0" w:evenVBand="0" w:oddHBand="0" w:evenHBand="0" w:firstRowFirstColumn="0" w:firstRowLastColumn="0" w:lastRowFirstColumn="0" w:lastRowLastColumn="0"/>
              <w:rPr>
                <w:rFonts w:eastAsia="Times New Roman"/>
                <w:b/>
                <w:bCs/>
                <w:sz w:val="22"/>
                <w:szCs w:val="22"/>
              </w:rPr>
            </w:pPr>
            <w:r w:rsidRPr="00E76C48">
              <w:rPr>
                <w:rFonts w:eastAsia="Times New Roman"/>
                <w:b/>
                <w:bCs/>
                <w:sz w:val="22"/>
                <w:szCs w:val="22"/>
              </w:rPr>
              <w:t>49.4</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000000" w:firstRow="0" w:lastRow="0" w:firstColumn="0" w:lastColumn="0" w:oddVBand="0" w:evenVBand="0" w:oddHBand="0" w:evenHBand="0" w:firstRowFirstColumn="0" w:firstRowLastColumn="0" w:lastRowFirstColumn="0" w:lastRowLastColumn="0"/>
              <w:rPr>
                <w:rFonts w:eastAsia="Times New Roman"/>
                <w:b/>
                <w:bCs/>
                <w:sz w:val="22"/>
                <w:szCs w:val="22"/>
              </w:rPr>
            </w:pPr>
            <w:r w:rsidRPr="00E76C48">
              <w:rPr>
                <w:rFonts w:eastAsia="Times New Roman"/>
                <w:b/>
                <w:bCs/>
                <w:sz w:val="22"/>
                <w:szCs w:val="22"/>
              </w:rPr>
              <w:t xml:space="preserve">50.2 </w:t>
            </w:r>
          </w:p>
        </w:tc>
        <w:tc>
          <w:tcPr>
            <w:tcW w:w="10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000000" w:firstRow="0" w:lastRow="0" w:firstColumn="0" w:lastColumn="0" w:oddVBand="0" w:evenVBand="0" w:oddHBand="0" w:evenHBand="0" w:firstRowFirstColumn="0" w:firstRowLastColumn="0" w:lastRowFirstColumn="0" w:lastRowLastColumn="0"/>
              <w:rPr>
                <w:rFonts w:eastAsia="Times New Roman"/>
                <w:b/>
                <w:bCs/>
                <w:sz w:val="22"/>
                <w:szCs w:val="22"/>
              </w:rPr>
            </w:pPr>
            <w:r w:rsidRPr="00E76C48">
              <w:rPr>
                <w:rFonts w:eastAsia="Times New Roman"/>
                <w:b/>
                <w:bCs/>
                <w:sz w:val="22"/>
                <w:szCs w:val="22"/>
              </w:rPr>
              <w:t xml:space="preserve">44.7 </w:t>
            </w:r>
          </w:p>
        </w:tc>
        <w:tc>
          <w:tcPr>
            <w:tcW w:w="10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000000" w:firstRow="0" w:lastRow="0" w:firstColumn="0" w:lastColumn="0" w:oddVBand="0" w:evenVBand="0" w:oddHBand="0" w:evenHBand="0" w:firstRowFirstColumn="0" w:firstRowLastColumn="0" w:lastRowFirstColumn="0" w:lastRowLastColumn="0"/>
              <w:rPr>
                <w:rFonts w:eastAsia="Times New Roman"/>
                <w:b/>
                <w:bCs/>
                <w:sz w:val="22"/>
                <w:szCs w:val="22"/>
              </w:rPr>
            </w:pPr>
            <w:r w:rsidRPr="00E76C48">
              <w:rPr>
                <w:rFonts w:eastAsia="Times New Roman"/>
                <w:b/>
                <w:bCs/>
                <w:sz w:val="22"/>
                <w:szCs w:val="22"/>
              </w:rPr>
              <w:t>46.</w:t>
            </w:r>
            <w:r w:rsidR="00590CF6" w:rsidRPr="00E76C48">
              <w:rPr>
                <w:rFonts w:eastAsia="Times New Roman"/>
                <w:b/>
                <w:bCs/>
                <w:sz w:val="22"/>
                <w:szCs w:val="22"/>
              </w:rPr>
              <w:t>6</w:t>
            </w:r>
            <w:r w:rsidRPr="00E76C48">
              <w:rPr>
                <w:rFonts w:eastAsia="Times New Roman"/>
                <w:b/>
                <w:bCs/>
                <w:sz w:val="22"/>
                <w:szCs w:val="22"/>
              </w:rPr>
              <w:t xml:space="preserve"> </w:t>
            </w:r>
          </w:p>
        </w:tc>
        <w:tc>
          <w:tcPr>
            <w:tcW w:w="8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590CF6" w:rsidP="00475DB8">
            <w:pPr>
              <w:jc w:val="right"/>
              <w:cnfStyle w:val="000000000000" w:firstRow="0" w:lastRow="0" w:firstColumn="0" w:lastColumn="0" w:oddVBand="0" w:evenVBand="0" w:oddHBand="0" w:evenHBand="0" w:firstRowFirstColumn="0" w:firstRowLastColumn="0" w:lastRowFirstColumn="0" w:lastRowLastColumn="0"/>
              <w:rPr>
                <w:rFonts w:eastAsia="Times New Roman"/>
                <w:b/>
                <w:bCs/>
                <w:sz w:val="22"/>
                <w:szCs w:val="22"/>
              </w:rPr>
            </w:pPr>
            <w:r w:rsidRPr="00E76C48">
              <w:rPr>
                <w:rFonts w:eastAsia="Times New Roman"/>
                <w:b/>
                <w:bCs/>
                <w:sz w:val="22"/>
                <w:szCs w:val="22"/>
              </w:rPr>
              <w:t>204.7</w:t>
            </w:r>
            <w:r w:rsidR="00F12045" w:rsidRPr="00E76C48">
              <w:rPr>
                <w:rFonts w:eastAsia="Times New Roman"/>
                <w:b/>
                <w:bCs/>
                <w:sz w:val="22"/>
                <w:szCs w:val="22"/>
              </w:rPr>
              <w:t xml:space="preserve"> </w:t>
            </w:r>
          </w:p>
        </w:tc>
      </w:tr>
      <w:tr w:rsidR="00F12045" w:rsidRPr="00E76C48" w:rsidTr="00475DB8">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29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rPr>
                <w:rFonts w:eastAsia="Times New Roman"/>
                <w:bCs w:val="0"/>
                <w:sz w:val="22"/>
                <w:szCs w:val="22"/>
              </w:rPr>
            </w:pPr>
            <w:r w:rsidRPr="00E76C48">
              <w:rPr>
                <w:rFonts w:eastAsia="Times New Roman"/>
                <w:bCs w:val="0"/>
                <w:sz w:val="22"/>
                <w:szCs w:val="22"/>
              </w:rPr>
              <w:t>Business as Usual Funded by:</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cnfStyle w:val="000000100000" w:firstRow="0" w:lastRow="0" w:firstColumn="0" w:lastColumn="0" w:oddVBand="0" w:evenVBand="0" w:oddHBand="1" w:evenHBand="0" w:firstRowFirstColumn="0" w:firstRowLastColumn="0" w:lastRowFirstColumn="0" w:lastRowLastColumn="0"/>
              <w:rPr>
                <w:rFonts w:eastAsia="Times New Roman"/>
                <w:b/>
                <w:bCs/>
                <w:sz w:val="22"/>
                <w:szCs w:val="22"/>
              </w:rPr>
            </w:pPr>
            <w:r w:rsidRPr="00E76C48">
              <w:rPr>
                <w:rFonts w:eastAsia="Times New Roman"/>
                <w:b/>
                <w:bCs/>
                <w:sz w:val="22"/>
                <w:szCs w:val="22"/>
              </w:rPr>
              <w:t> </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cnfStyle w:val="000000100000" w:firstRow="0" w:lastRow="0" w:firstColumn="0" w:lastColumn="0" w:oddVBand="0" w:evenVBand="0" w:oddHBand="1" w:evenHBand="0" w:firstRowFirstColumn="0" w:firstRowLastColumn="0" w:lastRowFirstColumn="0" w:lastRowLastColumn="0"/>
              <w:rPr>
                <w:rFonts w:eastAsia="Times New Roman"/>
                <w:b/>
                <w:bCs/>
                <w:sz w:val="22"/>
                <w:szCs w:val="22"/>
              </w:rPr>
            </w:pPr>
            <w:r w:rsidRPr="00E76C48">
              <w:rPr>
                <w:rFonts w:eastAsia="Times New Roman"/>
                <w:b/>
                <w:bCs/>
                <w:sz w:val="22"/>
                <w:szCs w:val="22"/>
              </w:rPr>
              <w:t> </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cnfStyle w:val="000000100000" w:firstRow="0" w:lastRow="0" w:firstColumn="0" w:lastColumn="0" w:oddVBand="0" w:evenVBand="0" w:oddHBand="1" w:evenHBand="0" w:firstRowFirstColumn="0" w:firstRowLastColumn="0" w:lastRowFirstColumn="0" w:lastRowLastColumn="0"/>
              <w:rPr>
                <w:rFonts w:eastAsia="Times New Roman"/>
                <w:b/>
                <w:bCs/>
                <w:sz w:val="22"/>
                <w:szCs w:val="22"/>
              </w:rPr>
            </w:pPr>
            <w:r w:rsidRPr="00E76C48">
              <w:rPr>
                <w:rFonts w:eastAsia="Times New Roman"/>
                <w:b/>
                <w:bCs/>
                <w:sz w:val="22"/>
                <w:szCs w:val="22"/>
              </w:rPr>
              <w:t> </w:t>
            </w:r>
          </w:p>
        </w:tc>
        <w:tc>
          <w:tcPr>
            <w:tcW w:w="10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cnfStyle w:val="000000100000" w:firstRow="0" w:lastRow="0" w:firstColumn="0" w:lastColumn="0" w:oddVBand="0" w:evenVBand="0" w:oddHBand="1" w:evenHBand="0" w:firstRowFirstColumn="0" w:firstRowLastColumn="0" w:lastRowFirstColumn="0" w:lastRowLastColumn="0"/>
              <w:rPr>
                <w:rFonts w:eastAsia="Times New Roman"/>
                <w:b/>
                <w:bCs/>
                <w:sz w:val="22"/>
                <w:szCs w:val="22"/>
              </w:rPr>
            </w:pPr>
            <w:r w:rsidRPr="00E76C48">
              <w:rPr>
                <w:rFonts w:eastAsia="Times New Roman"/>
                <w:b/>
                <w:bCs/>
                <w:sz w:val="22"/>
                <w:szCs w:val="22"/>
              </w:rPr>
              <w:t> </w:t>
            </w:r>
          </w:p>
        </w:tc>
        <w:tc>
          <w:tcPr>
            <w:tcW w:w="10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cnfStyle w:val="000000100000" w:firstRow="0" w:lastRow="0" w:firstColumn="0" w:lastColumn="0" w:oddVBand="0" w:evenVBand="0" w:oddHBand="1" w:evenHBand="0" w:firstRowFirstColumn="0" w:firstRowLastColumn="0" w:lastRowFirstColumn="0" w:lastRowLastColumn="0"/>
              <w:rPr>
                <w:rFonts w:eastAsia="Times New Roman"/>
                <w:b/>
                <w:bCs/>
                <w:sz w:val="22"/>
                <w:szCs w:val="22"/>
              </w:rPr>
            </w:pPr>
            <w:r w:rsidRPr="00E76C48">
              <w:rPr>
                <w:rFonts w:eastAsia="Times New Roman"/>
                <w:b/>
                <w:bCs/>
                <w:sz w:val="22"/>
                <w:szCs w:val="22"/>
              </w:rPr>
              <w:t> </w:t>
            </w:r>
          </w:p>
        </w:tc>
        <w:tc>
          <w:tcPr>
            <w:tcW w:w="8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cnfStyle w:val="000000100000" w:firstRow="0" w:lastRow="0" w:firstColumn="0" w:lastColumn="0" w:oddVBand="0" w:evenVBand="0" w:oddHBand="1" w:evenHBand="0" w:firstRowFirstColumn="0" w:firstRowLastColumn="0" w:lastRowFirstColumn="0" w:lastRowLastColumn="0"/>
              <w:rPr>
                <w:rFonts w:eastAsia="Times New Roman"/>
                <w:b/>
                <w:bCs/>
                <w:sz w:val="22"/>
                <w:szCs w:val="22"/>
              </w:rPr>
            </w:pPr>
            <w:r w:rsidRPr="00E76C48">
              <w:rPr>
                <w:rFonts w:eastAsia="Times New Roman"/>
                <w:b/>
                <w:bCs/>
                <w:sz w:val="22"/>
                <w:szCs w:val="22"/>
              </w:rPr>
              <w:t> </w:t>
            </w:r>
          </w:p>
        </w:tc>
      </w:tr>
      <w:tr w:rsidR="00F12045" w:rsidRPr="00E76C48" w:rsidTr="00475DB8">
        <w:trPr>
          <w:trHeight w:val="280"/>
          <w:jc w:val="center"/>
        </w:trPr>
        <w:tc>
          <w:tcPr>
            <w:cnfStyle w:val="001000000000" w:firstRow="0" w:lastRow="0" w:firstColumn="1" w:lastColumn="0" w:oddVBand="0" w:evenVBand="0" w:oddHBand="0" w:evenHBand="0" w:firstRowFirstColumn="0" w:firstRowLastColumn="0" w:lastRowFirstColumn="0" w:lastRowLastColumn="0"/>
            <w:tcW w:w="29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rPr>
                <w:rFonts w:eastAsia="Times New Roman"/>
                <w:b w:val="0"/>
                <w:sz w:val="22"/>
                <w:szCs w:val="22"/>
              </w:rPr>
            </w:pPr>
            <w:r w:rsidRPr="00E76C48">
              <w:rPr>
                <w:rFonts w:eastAsia="Times New Roman"/>
                <w:b w:val="0"/>
                <w:sz w:val="22"/>
                <w:szCs w:val="22"/>
              </w:rPr>
              <w:t>Revenue Contributions</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E76C48">
              <w:rPr>
                <w:rFonts w:eastAsia="Times New Roman"/>
                <w:sz w:val="22"/>
                <w:szCs w:val="22"/>
              </w:rPr>
              <w:t>1</w:t>
            </w:r>
            <w:r w:rsidR="00590CF6" w:rsidRPr="00E76C48">
              <w:rPr>
                <w:rFonts w:eastAsia="Times New Roman"/>
                <w:sz w:val="22"/>
                <w:szCs w:val="22"/>
              </w:rPr>
              <w:t>3</w:t>
            </w:r>
            <w:r w:rsidRPr="00E76C48">
              <w:rPr>
                <w:rFonts w:eastAsia="Times New Roman"/>
                <w:sz w:val="22"/>
                <w:szCs w:val="22"/>
              </w:rPr>
              <w:t xml:space="preserve">.8 </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6205E" w:rsidP="00475DB8">
            <w:pPr>
              <w:jc w:val="right"/>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E76C48">
              <w:rPr>
                <w:rFonts w:eastAsia="Times New Roman"/>
                <w:sz w:val="22"/>
                <w:szCs w:val="22"/>
              </w:rPr>
              <w:t>5.4</w:t>
            </w:r>
            <w:r w:rsidR="00F12045" w:rsidRPr="00E76C48">
              <w:rPr>
                <w:rFonts w:eastAsia="Times New Roman"/>
                <w:sz w:val="22"/>
                <w:szCs w:val="22"/>
              </w:rPr>
              <w:t xml:space="preserve"> </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E76C48">
              <w:rPr>
                <w:rFonts w:eastAsia="Times New Roman"/>
                <w:sz w:val="22"/>
                <w:szCs w:val="22"/>
              </w:rPr>
              <w:t xml:space="preserve">17.2 </w:t>
            </w:r>
          </w:p>
        </w:tc>
        <w:tc>
          <w:tcPr>
            <w:tcW w:w="10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E76C48">
              <w:rPr>
                <w:rFonts w:eastAsia="Times New Roman"/>
                <w:sz w:val="22"/>
                <w:szCs w:val="22"/>
              </w:rPr>
              <w:t xml:space="preserve">19.7 </w:t>
            </w:r>
          </w:p>
        </w:tc>
        <w:tc>
          <w:tcPr>
            <w:tcW w:w="10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E76C48">
              <w:rPr>
                <w:rFonts w:eastAsia="Times New Roman"/>
                <w:sz w:val="22"/>
                <w:szCs w:val="22"/>
              </w:rPr>
              <w:t xml:space="preserve">19.1 </w:t>
            </w:r>
          </w:p>
        </w:tc>
        <w:tc>
          <w:tcPr>
            <w:tcW w:w="8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24055" w:rsidP="00475DB8">
            <w:pPr>
              <w:jc w:val="right"/>
              <w:cnfStyle w:val="000000000000" w:firstRow="0" w:lastRow="0" w:firstColumn="0" w:lastColumn="0" w:oddVBand="0" w:evenVBand="0" w:oddHBand="0" w:evenHBand="0" w:firstRowFirstColumn="0" w:firstRowLastColumn="0" w:lastRowFirstColumn="0" w:lastRowLastColumn="0"/>
              <w:rPr>
                <w:rFonts w:eastAsia="Times New Roman"/>
                <w:bCs/>
                <w:sz w:val="22"/>
                <w:szCs w:val="22"/>
              </w:rPr>
            </w:pPr>
            <w:r>
              <w:rPr>
                <w:rFonts w:eastAsia="Times New Roman"/>
                <w:bCs/>
                <w:sz w:val="22"/>
                <w:szCs w:val="22"/>
              </w:rPr>
              <w:t>75.2</w:t>
            </w:r>
            <w:r w:rsidR="00F12045" w:rsidRPr="00E76C48">
              <w:rPr>
                <w:rFonts w:eastAsia="Times New Roman"/>
                <w:bCs/>
                <w:sz w:val="22"/>
                <w:szCs w:val="22"/>
              </w:rPr>
              <w:t xml:space="preserve"> </w:t>
            </w:r>
          </w:p>
        </w:tc>
      </w:tr>
      <w:tr w:rsidR="00F12045" w:rsidRPr="00E76C48" w:rsidTr="00475DB8">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29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rPr>
                <w:rFonts w:eastAsia="Times New Roman"/>
                <w:b w:val="0"/>
                <w:sz w:val="22"/>
                <w:szCs w:val="22"/>
              </w:rPr>
            </w:pPr>
            <w:r w:rsidRPr="00E76C48">
              <w:rPr>
                <w:rFonts w:eastAsia="Times New Roman"/>
                <w:b w:val="0"/>
                <w:sz w:val="22"/>
                <w:szCs w:val="22"/>
              </w:rPr>
              <w:t>Borrowing</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E76C48">
              <w:rPr>
                <w:rFonts w:eastAsia="Times New Roman"/>
                <w:sz w:val="22"/>
                <w:szCs w:val="22"/>
              </w:rPr>
              <w:t xml:space="preserve">0.0 </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E76C48">
              <w:rPr>
                <w:rFonts w:eastAsia="Times New Roman"/>
                <w:sz w:val="22"/>
                <w:szCs w:val="22"/>
              </w:rPr>
              <w:t xml:space="preserve">7.0 </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E76C48">
              <w:rPr>
                <w:rFonts w:eastAsia="Times New Roman"/>
                <w:sz w:val="22"/>
                <w:szCs w:val="22"/>
              </w:rPr>
              <w:t xml:space="preserve">0.0 </w:t>
            </w:r>
          </w:p>
        </w:tc>
        <w:tc>
          <w:tcPr>
            <w:tcW w:w="10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E76C48">
              <w:rPr>
                <w:rFonts w:eastAsia="Times New Roman"/>
                <w:sz w:val="22"/>
                <w:szCs w:val="22"/>
              </w:rPr>
              <w:t xml:space="preserve">0.0 </w:t>
            </w:r>
          </w:p>
        </w:tc>
        <w:tc>
          <w:tcPr>
            <w:tcW w:w="10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E76C48">
              <w:rPr>
                <w:rFonts w:eastAsia="Times New Roman"/>
                <w:sz w:val="22"/>
                <w:szCs w:val="22"/>
              </w:rPr>
              <w:t xml:space="preserve">0.0 </w:t>
            </w:r>
          </w:p>
        </w:tc>
        <w:tc>
          <w:tcPr>
            <w:tcW w:w="8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100000" w:firstRow="0" w:lastRow="0" w:firstColumn="0" w:lastColumn="0" w:oddVBand="0" w:evenVBand="0" w:oddHBand="1" w:evenHBand="0" w:firstRowFirstColumn="0" w:firstRowLastColumn="0" w:lastRowFirstColumn="0" w:lastRowLastColumn="0"/>
              <w:rPr>
                <w:rFonts w:eastAsia="Times New Roman"/>
                <w:bCs/>
                <w:sz w:val="22"/>
                <w:szCs w:val="22"/>
              </w:rPr>
            </w:pPr>
            <w:r w:rsidRPr="00E76C48">
              <w:rPr>
                <w:rFonts w:eastAsia="Times New Roman"/>
                <w:bCs/>
                <w:sz w:val="22"/>
                <w:szCs w:val="22"/>
              </w:rPr>
              <w:t xml:space="preserve">7.0 </w:t>
            </w:r>
          </w:p>
        </w:tc>
      </w:tr>
      <w:tr w:rsidR="00F12045" w:rsidRPr="00E76C48" w:rsidTr="00475DB8">
        <w:trPr>
          <w:trHeight w:val="280"/>
          <w:jc w:val="center"/>
        </w:trPr>
        <w:tc>
          <w:tcPr>
            <w:cnfStyle w:val="001000000000" w:firstRow="0" w:lastRow="0" w:firstColumn="1" w:lastColumn="0" w:oddVBand="0" w:evenVBand="0" w:oddHBand="0" w:evenHBand="0" w:firstRowFirstColumn="0" w:firstRowLastColumn="0" w:lastRowFirstColumn="0" w:lastRowLastColumn="0"/>
            <w:tcW w:w="29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rPr>
                <w:rFonts w:eastAsia="Times New Roman"/>
                <w:bCs w:val="0"/>
                <w:sz w:val="22"/>
                <w:szCs w:val="22"/>
              </w:rPr>
            </w:pPr>
            <w:r w:rsidRPr="00E76C48">
              <w:rPr>
                <w:rFonts w:eastAsia="Times New Roman"/>
                <w:bCs w:val="0"/>
                <w:sz w:val="22"/>
                <w:szCs w:val="22"/>
              </w:rPr>
              <w:t>Estates Strategy Funded by:</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cnfStyle w:val="000000000000" w:firstRow="0" w:lastRow="0" w:firstColumn="0" w:lastColumn="0" w:oddVBand="0" w:evenVBand="0" w:oddHBand="0" w:evenHBand="0" w:firstRowFirstColumn="0" w:firstRowLastColumn="0" w:lastRowFirstColumn="0" w:lastRowLastColumn="0"/>
              <w:rPr>
                <w:rFonts w:eastAsia="Times New Roman"/>
                <w:b/>
                <w:sz w:val="22"/>
                <w:szCs w:val="22"/>
              </w:rPr>
            </w:pPr>
            <w:r w:rsidRPr="00E76C48">
              <w:rPr>
                <w:rFonts w:eastAsia="Times New Roman"/>
                <w:b/>
                <w:sz w:val="22"/>
                <w:szCs w:val="22"/>
              </w:rPr>
              <w:t> </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cnfStyle w:val="000000000000" w:firstRow="0" w:lastRow="0" w:firstColumn="0" w:lastColumn="0" w:oddVBand="0" w:evenVBand="0" w:oddHBand="0" w:evenHBand="0" w:firstRowFirstColumn="0" w:firstRowLastColumn="0" w:lastRowFirstColumn="0" w:lastRowLastColumn="0"/>
              <w:rPr>
                <w:rFonts w:eastAsia="Times New Roman"/>
                <w:b/>
                <w:sz w:val="22"/>
                <w:szCs w:val="22"/>
              </w:rPr>
            </w:pPr>
            <w:r w:rsidRPr="00E76C48">
              <w:rPr>
                <w:rFonts w:eastAsia="Times New Roman"/>
                <w:b/>
                <w:sz w:val="22"/>
                <w:szCs w:val="22"/>
              </w:rPr>
              <w:t> </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cnfStyle w:val="000000000000" w:firstRow="0" w:lastRow="0" w:firstColumn="0" w:lastColumn="0" w:oddVBand="0" w:evenVBand="0" w:oddHBand="0" w:evenHBand="0" w:firstRowFirstColumn="0" w:firstRowLastColumn="0" w:lastRowFirstColumn="0" w:lastRowLastColumn="0"/>
              <w:rPr>
                <w:rFonts w:eastAsia="Times New Roman"/>
                <w:b/>
                <w:sz w:val="22"/>
                <w:szCs w:val="22"/>
              </w:rPr>
            </w:pPr>
            <w:r w:rsidRPr="00E76C48">
              <w:rPr>
                <w:rFonts w:eastAsia="Times New Roman"/>
                <w:b/>
                <w:sz w:val="22"/>
                <w:szCs w:val="22"/>
              </w:rPr>
              <w:t> </w:t>
            </w:r>
          </w:p>
        </w:tc>
        <w:tc>
          <w:tcPr>
            <w:tcW w:w="10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cnfStyle w:val="000000000000" w:firstRow="0" w:lastRow="0" w:firstColumn="0" w:lastColumn="0" w:oddVBand="0" w:evenVBand="0" w:oddHBand="0" w:evenHBand="0" w:firstRowFirstColumn="0" w:firstRowLastColumn="0" w:lastRowFirstColumn="0" w:lastRowLastColumn="0"/>
              <w:rPr>
                <w:rFonts w:eastAsia="Times New Roman"/>
                <w:b/>
                <w:sz w:val="22"/>
                <w:szCs w:val="22"/>
              </w:rPr>
            </w:pPr>
            <w:r w:rsidRPr="00E76C48">
              <w:rPr>
                <w:rFonts w:eastAsia="Times New Roman"/>
                <w:b/>
                <w:sz w:val="22"/>
                <w:szCs w:val="22"/>
              </w:rPr>
              <w:t> </w:t>
            </w:r>
          </w:p>
        </w:tc>
        <w:tc>
          <w:tcPr>
            <w:tcW w:w="10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cnfStyle w:val="000000000000" w:firstRow="0" w:lastRow="0" w:firstColumn="0" w:lastColumn="0" w:oddVBand="0" w:evenVBand="0" w:oddHBand="0" w:evenHBand="0" w:firstRowFirstColumn="0" w:firstRowLastColumn="0" w:lastRowFirstColumn="0" w:lastRowLastColumn="0"/>
              <w:rPr>
                <w:rFonts w:eastAsia="Times New Roman"/>
                <w:b/>
                <w:sz w:val="22"/>
                <w:szCs w:val="22"/>
              </w:rPr>
            </w:pPr>
            <w:r w:rsidRPr="00E76C48">
              <w:rPr>
                <w:rFonts w:eastAsia="Times New Roman"/>
                <w:b/>
                <w:sz w:val="22"/>
                <w:szCs w:val="22"/>
              </w:rPr>
              <w:t> </w:t>
            </w:r>
          </w:p>
        </w:tc>
        <w:tc>
          <w:tcPr>
            <w:tcW w:w="8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cnfStyle w:val="000000000000" w:firstRow="0" w:lastRow="0" w:firstColumn="0" w:lastColumn="0" w:oddVBand="0" w:evenVBand="0" w:oddHBand="0" w:evenHBand="0" w:firstRowFirstColumn="0" w:firstRowLastColumn="0" w:lastRowFirstColumn="0" w:lastRowLastColumn="0"/>
              <w:rPr>
                <w:rFonts w:eastAsia="Times New Roman"/>
                <w:b/>
                <w:bCs/>
                <w:sz w:val="22"/>
                <w:szCs w:val="22"/>
              </w:rPr>
            </w:pPr>
            <w:r w:rsidRPr="00E76C48">
              <w:rPr>
                <w:rFonts w:eastAsia="Times New Roman"/>
                <w:b/>
                <w:bCs/>
                <w:sz w:val="22"/>
                <w:szCs w:val="22"/>
              </w:rPr>
              <w:t> </w:t>
            </w:r>
          </w:p>
        </w:tc>
      </w:tr>
      <w:tr w:rsidR="00F12045" w:rsidRPr="00E76C48" w:rsidTr="00475DB8">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29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rPr>
                <w:rFonts w:eastAsia="Times New Roman"/>
                <w:b w:val="0"/>
                <w:sz w:val="22"/>
                <w:szCs w:val="22"/>
              </w:rPr>
            </w:pPr>
            <w:r w:rsidRPr="00E76C48">
              <w:rPr>
                <w:rFonts w:eastAsia="Times New Roman"/>
                <w:b w:val="0"/>
                <w:sz w:val="22"/>
                <w:szCs w:val="22"/>
              </w:rPr>
              <w:t>Planned Borrowing</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6205E" w:rsidP="00475DB8">
            <w:pPr>
              <w:jc w:val="right"/>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E76C48">
              <w:rPr>
                <w:rFonts w:eastAsia="Times New Roman"/>
                <w:sz w:val="22"/>
                <w:szCs w:val="22"/>
              </w:rPr>
              <w:t>0.</w:t>
            </w:r>
            <w:r w:rsidR="00F12045" w:rsidRPr="00E76C48">
              <w:rPr>
                <w:rFonts w:eastAsia="Times New Roman"/>
                <w:sz w:val="22"/>
                <w:szCs w:val="22"/>
              </w:rPr>
              <w:t xml:space="preserve">0 </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E76C48">
              <w:rPr>
                <w:rFonts w:eastAsia="Times New Roman"/>
                <w:sz w:val="22"/>
                <w:szCs w:val="22"/>
              </w:rPr>
              <w:t>3</w:t>
            </w:r>
            <w:r w:rsidR="00F6205E" w:rsidRPr="00E76C48">
              <w:rPr>
                <w:rFonts w:eastAsia="Times New Roman"/>
                <w:sz w:val="22"/>
                <w:szCs w:val="22"/>
              </w:rPr>
              <w:t>0</w:t>
            </w:r>
            <w:r w:rsidRPr="00E76C48">
              <w:rPr>
                <w:rFonts w:eastAsia="Times New Roman"/>
                <w:sz w:val="22"/>
                <w:szCs w:val="22"/>
              </w:rPr>
              <w:t>.</w:t>
            </w:r>
            <w:r w:rsidR="00F6205E" w:rsidRPr="00E76C48">
              <w:rPr>
                <w:rFonts w:eastAsia="Times New Roman"/>
                <w:sz w:val="22"/>
                <w:szCs w:val="22"/>
              </w:rPr>
              <w:t>0</w:t>
            </w:r>
            <w:r w:rsidRPr="00E76C48">
              <w:rPr>
                <w:rFonts w:eastAsia="Times New Roman"/>
                <w:sz w:val="22"/>
                <w:szCs w:val="22"/>
              </w:rPr>
              <w:t xml:space="preserve"> </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E76C48">
              <w:rPr>
                <w:rFonts w:eastAsia="Times New Roman"/>
                <w:sz w:val="22"/>
                <w:szCs w:val="22"/>
              </w:rPr>
              <w:t xml:space="preserve">30.0 </w:t>
            </w:r>
          </w:p>
        </w:tc>
        <w:tc>
          <w:tcPr>
            <w:tcW w:w="10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E76C48">
              <w:rPr>
                <w:rFonts w:eastAsia="Times New Roman"/>
                <w:sz w:val="22"/>
                <w:szCs w:val="22"/>
              </w:rPr>
              <w:t xml:space="preserve">15.0 </w:t>
            </w:r>
          </w:p>
        </w:tc>
        <w:tc>
          <w:tcPr>
            <w:tcW w:w="10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rsidRPr="00E76C48">
              <w:rPr>
                <w:rFonts w:eastAsia="Times New Roman"/>
                <w:sz w:val="22"/>
                <w:szCs w:val="22"/>
              </w:rPr>
              <w:t>12.</w:t>
            </w:r>
            <w:r w:rsidR="00F6205E" w:rsidRPr="00E76C48">
              <w:rPr>
                <w:rFonts w:eastAsia="Times New Roman"/>
                <w:sz w:val="22"/>
                <w:szCs w:val="22"/>
              </w:rPr>
              <w:t>0</w:t>
            </w:r>
            <w:r w:rsidRPr="00E76C48">
              <w:rPr>
                <w:rFonts w:eastAsia="Times New Roman"/>
                <w:sz w:val="22"/>
                <w:szCs w:val="22"/>
              </w:rPr>
              <w:t xml:space="preserve"> </w:t>
            </w:r>
          </w:p>
        </w:tc>
        <w:tc>
          <w:tcPr>
            <w:tcW w:w="8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6205E" w:rsidP="00475DB8">
            <w:pPr>
              <w:jc w:val="right"/>
              <w:cnfStyle w:val="000000100000" w:firstRow="0" w:lastRow="0" w:firstColumn="0" w:lastColumn="0" w:oddVBand="0" w:evenVBand="0" w:oddHBand="1" w:evenHBand="0" w:firstRowFirstColumn="0" w:firstRowLastColumn="0" w:lastRowFirstColumn="0" w:lastRowLastColumn="0"/>
              <w:rPr>
                <w:rFonts w:eastAsia="Times New Roman"/>
                <w:bCs/>
                <w:sz w:val="22"/>
                <w:szCs w:val="22"/>
              </w:rPr>
            </w:pPr>
            <w:r w:rsidRPr="00E76C48">
              <w:rPr>
                <w:rFonts w:eastAsia="Times New Roman"/>
                <w:bCs/>
                <w:sz w:val="22"/>
                <w:szCs w:val="22"/>
              </w:rPr>
              <w:t>87.0</w:t>
            </w:r>
            <w:r w:rsidR="00F12045" w:rsidRPr="00E76C48">
              <w:rPr>
                <w:rFonts w:eastAsia="Times New Roman"/>
                <w:bCs/>
                <w:sz w:val="22"/>
                <w:szCs w:val="22"/>
              </w:rPr>
              <w:t xml:space="preserve"> </w:t>
            </w:r>
          </w:p>
        </w:tc>
      </w:tr>
      <w:tr w:rsidR="00F12045" w:rsidRPr="00E76C48" w:rsidTr="00475DB8">
        <w:trPr>
          <w:trHeight w:val="290"/>
          <w:jc w:val="center"/>
        </w:trPr>
        <w:tc>
          <w:tcPr>
            <w:cnfStyle w:val="001000000000" w:firstRow="0" w:lastRow="0" w:firstColumn="1" w:lastColumn="0" w:oddVBand="0" w:evenVBand="0" w:oddHBand="0" w:evenHBand="0" w:firstRowFirstColumn="0" w:firstRowLastColumn="0" w:lastRowFirstColumn="0" w:lastRowLastColumn="0"/>
            <w:tcW w:w="29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rPr>
                <w:rFonts w:eastAsia="Times New Roman"/>
                <w:b w:val="0"/>
                <w:sz w:val="22"/>
                <w:szCs w:val="22"/>
              </w:rPr>
            </w:pPr>
            <w:r w:rsidRPr="00E76C48">
              <w:rPr>
                <w:rFonts w:eastAsia="Times New Roman"/>
                <w:b w:val="0"/>
                <w:sz w:val="22"/>
                <w:szCs w:val="22"/>
              </w:rPr>
              <w:t>Capital Receipts</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6205E" w:rsidP="00475DB8">
            <w:pPr>
              <w:jc w:val="right"/>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E76C48">
              <w:rPr>
                <w:rFonts w:eastAsia="Times New Roman"/>
                <w:sz w:val="22"/>
                <w:szCs w:val="22"/>
              </w:rPr>
              <w:t>0.0</w:t>
            </w:r>
            <w:r w:rsidR="00F12045" w:rsidRPr="00E76C48">
              <w:rPr>
                <w:rFonts w:eastAsia="Times New Roman"/>
                <w:sz w:val="22"/>
                <w:szCs w:val="22"/>
              </w:rPr>
              <w:t xml:space="preserve"> </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6205E" w:rsidP="00475DB8">
            <w:pPr>
              <w:jc w:val="right"/>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E76C48">
              <w:rPr>
                <w:rFonts w:eastAsia="Times New Roman"/>
                <w:sz w:val="22"/>
                <w:szCs w:val="22"/>
              </w:rPr>
              <w:t>7.0</w:t>
            </w:r>
            <w:r w:rsidR="00F12045" w:rsidRPr="00E76C48">
              <w:rPr>
                <w:rFonts w:eastAsia="Times New Roman"/>
                <w:sz w:val="22"/>
                <w:szCs w:val="22"/>
              </w:rPr>
              <w:t xml:space="preserve"> </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E76C48">
              <w:rPr>
                <w:rFonts w:eastAsia="Times New Roman"/>
                <w:sz w:val="22"/>
                <w:szCs w:val="22"/>
              </w:rPr>
              <w:t xml:space="preserve">3.0 </w:t>
            </w:r>
          </w:p>
        </w:tc>
        <w:tc>
          <w:tcPr>
            <w:tcW w:w="10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E76C48">
              <w:rPr>
                <w:rFonts w:eastAsia="Times New Roman"/>
                <w:sz w:val="22"/>
                <w:szCs w:val="22"/>
              </w:rPr>
              <w:t xml:space="preserve">10.0 </w:t>
            </w:r>
          </w:p>
        </w:tc>
        <w:tc>
          <w:tcPr>
            <w:tcW w:w="10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sidRPr="00E76C48">
              <w:rPr>
                <w:rFonts w:eastAsia="Times New Roman"/>
                <w:sz w:val="22"/>
                <w:szCs w:val="22"/>
              </w:rPr>
              <w:t>15.</w:t>
            </w:r>
            <w:r w:rsidR="00F6205E" w:rsidRPr="00E76C48">
              <w:rPr>
                <w:rFonts w:eastAsia="Times New Roman"/>
                <w:sz w:val="22"/>
                <w:szCs w:val="22"/>
              </w:rPr>
              <w:t>5</w:t>
            </w:r>
          </w:p>
        </w:tc>
        <w:tc>
          <w:tcPr>
            <w:tcW w:w="8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24055" w:rsidP="00475DB8">
            <w:pPr>
              <w:jc w:val="right"/>
              <w:cnfStyle w:val="000000000000" w:firstRow="0" w:lastRow="0" w:firstColumn="0" w:lastColumn="0" w:oddVBand="0" w:evenVBand="0" w:oddHBand="0" w:evenHBand="0" w:firstRowFirstColumn="0" w:firstRowLastColumn="0" w:lastRowFirstColumn="0" w:lastRowLastColumn="0"/>
              <w:rPr>
                <w:rFonts w:eastAsia="Times New Roman"/>
                <w:bCs/>
                <w:sz w:val="22"/>
                <w:szCs w:val="22"/>
              </w:rPr>
            </w:pPr>
            <w:r>
              <w:rPr>
                <w:rFonts w:eastAsia="Times New Roman"/>
                <w:bCs/>
                <w:sz w:val="22"/>
                <w:szCs w:val="22"/>
              </w:rPr>
              <w:t>35.5</w:t>
            </w:r>
            <w:r w:rsidR="00F12045" w:rsidRPr="00E76C48">
              <w:rPr>
                <w:rFonts w:eastAsia="Times New Roman"/>
                <w:bCs/>
                <w:sz w:val="22"/>
                <w:szCs w:val="22"/>
              </w:rPr>
              <w:t xml:space="preserve"> </w:t>
            </w:r>
          </w:p>
        </w:tc>
      </w:tr>
      <w:tr w:rsidR="00F12045" w:rsidRPr="00C63DBD" w:rsidTr="00475DB8">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9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rPr>
                <w:rFonts w:eastAsia="Times New Roman"/>
                <w:bCs w:val="0"/>
                <w:sz w:val="22"/>
                <w:szCs w:val="22"/>
              </w:rPr>
            </w:pPr>
            <w:r w:rsidRPr="00E76C48">
              <w:rPr>
                <w:rFonts w:eastAsia="Times New Roman"/>
                <w:bCs w:val="0"/>
                <w:sz w:val="22"/>
                <w:szCs w:val="22"/>
              </w:rPr>
              <w:t>Total Funding</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6205E" w:rsidP="00475DB8">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2"/>
                <w:szCs w:val="22"/>
              </w:rPr>
            </w:pPr>
            <w:r w:rsidRPr="00E76C48">
              <w:rPr>
                <w:rFonts w:eastAsia="Times New Roman"/>
                <w:b/>
                <w:bCs/>
                <w:sz w:val="22"/>
                <w:szCs w:val="22"/>
              </w:rPr>
              <w:t>1</w:t>
            </w:r>
            <w:r w:rsidR="00F24055">
              <w:rPr>
                <w:rFonts w:eastAsia="Times New Roman"/>
                <w:b/>
                <w:bCs/>
                <w:sz w:val="22"/>
                <w:szCs w:val="22"/>
              </w:rPr>
              <w:t>3.</w:t>
            </w:r>
            <w:r w:rsidRPr="00E76C48">
              <w:rPr>
                <w:rFonts w:eastAsia="Times New Roman"/>
                <w:b/>
                <w:bCs/>
                <w:sz w:val="22"/>
                <w:szCs w:val="22"/>
              </w:rPr>
              <w:t>8</w:t>
            </w:r>
            <w:r w:rsidR="00F12045" w:rsidRPr="00E76C48">
              <w:rPr>
                <w:rFonts w:eastAsia="Times New Roman"/>
                <w:b/>
                <w:bCs/>
                <w:sz w:val="22"/>
                <w:szCs w:val="22"/>
              </w:rPr>
              <w:t xml:space="preserve"> </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6205E" w:rsidP="00475DB8">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2"/>
                <w:szCs w:val="22"/>
              </w:rPr>
            </w:pPr>
            <w:r w:rsidRPr="00E76C48">
              <w:rPr>
                <w:rFonts w:eastAsia="Times New Roman"/>
                <w:b/>
                <w:bCs/>
                <w:sz w:val="22"/>
                <w:szCs w:val="22"/>
              </w:rPr>
              <w:t>49.4</w:t>
            </w:r>
            <w:r w:rsidR="00F12045" w:rsidRPr="00E76C48">
              <w:rPr>
                <w:rFonts w:eastAsia="Times New Roman"/>
                <w:b/>
                <w:bCs/>
                <w:sz w:val="22"/>
                <w:szCs w:val="22"/>
              </w:rPr>
              <w:t xml:space="preserve"> </w:t>
            </w:r>
          </w:p>
        </w:tc>
        <w:tc>
          <w:tcPr>
            <w:tcW w:w="108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2"/>
                <w:szCs w:val="22"/>
              </w:rPr>
            </w:pPr>
            <w:r w:rsidRPr="00E76C48">
              <w:rPr>
                <w:rFonts w:eastAsia="Times New Roman"/>
                <w:b/>
                <w:bCs/>
                <w:sz w:val="22"/>
                <w:szCs w:val="22"/>
              </w:rPr>
              <w:t xml:space="preserve">50.2 </w:t>
            </w:r>
          </w:p>
        </w:tc>
        <w:tc>
          <w:tcPr>
            <w:tcW w:w="10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2"/>
                <w:szCs w:val="22"/>
              </w:rPr>
            </w:pPr>
            <w:r w:rsidRPr="00E76C48">
              <w:rPr>
                <w:rFonts w:eastAsia="Times New Roman"/>
                <w:b/>
                <w:bCs/>
                <w:sz w:val="22"/>
                <w:szCs w:val="22"/>
              </w:rPr>
              <w:t xml:space="preserve">44.7 </w:t>
            </w:r>
          </w:p>
        </w:tc>
        <w:tc>
          <w:tcPr>
            <w:tcW w:w="101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E76C48" w:rsidRDefault="00F12045" w:rsidP="00475DB8">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2"/>
                <w:szCs w:val="22"/>
              </w:rPr>
            </w:pPr>
            <w:r w:rsidRPr="00E76C48">
              <w:rPr>
                <w:rFonts w:eastAsia="Times New Roman"/>
                <w:b/>
                <w:bCs/>
                <w:sz w:val="22"/>
                <w:szCs w:val="22"/>
              </w:rPr>
              <w:t>46.</w:t>
            </w:r>
            <w:r w:rsidR="00F24055">
              <w:rPr>
                <w:rFonts w:eastAsia="Times New Roman"/>
                <w:b/>
                <w:bCs/>
                <w:sz w:val="22"/>
                <w:szCs w:val="22"/>
              </w:rPr>
              <w:t>6</w:t>
            </w:r>
            <w:r w:rsidRPr="00E76C48">
              <w:rPr>
                <w:rFonts w:eastAsia="Times New Roman"/>
                <w:b/>
                <w:bCs/>
                <w:sz w:val="22"/>
                <w:szCs w:val="22"/>
              </w:rPr>
              <w:t xml:space="preserve"> </w:t>
            </w:r>
          </w:p>
        </w:tc>
        <w:tc>
          <w:tcPr>
            <w:tcW w:w="8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F12045" w:rsidRPr="00C63DBD" w:rsidRDefault="00F24055" w:rsidP="00475DB8">
            <w:pPr>
              <w:jc w:val="right"/>
              <w:cnfStyle w:val="000000100000" w:firstRow="0" w:lastRow="0" w:firstColumn="0" w:lastColumn="0" w:oddVBand="0" w:evenVBand="0" w:oddHBand="1" w:evenHBand="0" w:firstRowFirstColumn="0" w:firstRowLastColumn="0" w:lastRowFirstColumn="0" w:lastRowLastColumn="0"/>
              <w:rPr>
                <w:rFonts w:eastAsia="Times New Roman"/>
                <w:b/>
                <w:bCs/>
                <w:sz w:val="22"/>
                <w:szCs w:val="22"/>
              </w:rPr>
            </w:pPr>
            <w:r>
              <w:rPr>
                <w:rFonts w:eastAsia="Times New Roman"/>
                <w:b/>
                <w:bCs/>
                <w:sz w:val="22"/>
                <w:szCs w:val="22"/>
              </w:rPr>
              <w:t>204.7</w:t>
            </w:r>
            <w:r w:rsidR="00F12045" w:rsidRPr="00C63DBD">
              <w:rPr>
                <w:rFonts w:eastAsia="Times New Roman"/>
                <w:b/>
                <w:bCs/>
                <w:sz w:val="22"/>
                <w:szCs w:val="22"/>
              </w:rPr>
              <w:t xml:space="preserve"> </w:t>
            </w:r>
          </w:p>
        </w:tc>
      </w:tr>
    </w:tbl>
    <w:p w:rsidR="005C25A9" w:rsidRDefault="005C25A9" w:rsidP="005C25A9">
      <w:pPr>
        <w:pStyle w:val="NumHeading1"/>
        <w:numPr>
          <w:ilvl w:val="0"/>
          <w:numId w:val="0"/>
        </w:numPr>
        <w:ind w:left="851" w:hanging="851"/>
      </w:pPr>
    </w:p>
    <w:p w:rsidR="005C25A9" w:rsidRDefault="005C25A9">
      <w:pPr>
        <w:spacing w:after="200"/>
        <w:rPr>
          <w:rFonts w:eastAsia="Times New Roman" w:cs="Times New Roman"/>
          <w:b/>
          <w:spacing w:val="5"/>
          <w:szCs w:val="48"/>
          <w:lang w:eastAsia="en-GB"/>
        </w:rPr>
      </w:pPr>
      <w:r>
        <w:br w:type="page"/>
      </w:r>
    </w:p>
    <w:p w:rsidR="00F12045" w:rsidRDefault="005C25A9" w:rsidP="002638E0">
      <w:pPr>
        <w:pStyle w:val="Heading1"/>
      </w:pPr>
      <w:r>
        <w:lastRenderedPageBreak/>
        <w:t xml:space="preserve">Appendix </w:t>
      </w:r>
      <w:r w:rsidR="00B67875">
        <w:t>5</w:t>
      </w:r>
      <w:r>
        <w:t xml:space="preserve"> – Statutory Council Tax calculations 2023/24</w:t>
      </w:r>
    </w:p>
    <w:p w:rsidR="005C25A9" w:rsidRDefault="005C25A9" w:rsidP="002638E0">
      <w:pPr>
        <w:pStyle w:val="Heading2"/>
      </w:pPr>
      <w:r>
        <w:t>The table below details the statutory Council Tax calculations for 2023/24.</w:t>
      </w:r>
    </w:p>
    <w:tbl>
      <w:tblPr>
        <w:tblStyle w:val="TableGridLight"/>
        <w:tblW w:w="8359" w:type="dxa"/>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677"/>
        <w:gridCol w:w="1239"/>
        <w:gridCol w:w="272"/>
        <w:gridCol w:w="1712"/>
        <w:gridCol w:w="340"/>
        <w:gridCol w:w="1559"/>
        <w:gridCol w:w="1560"/>
      </w:tblGrid>
      <w:tr w:rsidR="008E0B21" w:rsidRPr="005242FE" w:rsidTr="00314352">
        <w:trPr>
          <w:trHeight w:val="260"/>
          <w:jc w:val="center"/>
        </w:trPr>
        <w:tc>
          <w:tcPr>
            <w:tcW w:w="8359" w:type="dxa"/>
            <w:gridSpan w:val="7"/>
            <w:noWrap/>
            <w:hideMark/>
          </w:tcPr>
          <w:p w:rsidR="008E0B21" w:rsidRPr="00D8226A" w:rsidRDefault="00D8226A" w:rsidP="005242FE">
            <w:pPr>
              <w:spacing w:after="0"/>
              <w:rPr>
                <w:rFonts w:eastAsia="Times New Roman" w:cs="Arial"/>
                <w:b/>
                <w:sz w:val="20"/>
                <w:szCs w:val="20"/>
                <w:lang w:eastAsia="en-GB"/>
              </w:rPr>
            </w:pPr>
            <w:r>
              <w:rPr>
                <w:rFonts w:eastAsia="Times New Roman" w:cs="Arial"/>
                <w:b/>
                <w:sz w:val="20"/>
                <w:szCs w:val="20"/>
                <w:lang w:eastAsia="en-GB"/>
              </w:rPr>
              <w:t>West Midlands Police &amp; Crime Commissioner Precept Calculation 2023/24</w:t>
            </w:r>
          </w:p>
        </w:tc>
      </w:tr>
      <w:tr w:rsidR="008E0B21" w:rsidRPr="005242FE" w:rsidTr="00314352">
        <w:trPr>
          <w:trHeight w:val="250"/>
          <w:jc w:val="center"/>
        </w:trPr>
        <w:tc>
          <w:tcPr>
            <w:tcW w:w="1677"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239"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272"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712"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340"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559"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560"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r>
      <w:tr w:rsidR="008E0B21" w:rsidRPr="005242FE" w:rsidTr="00314352">
        <w:trPr>
          <w:trHeight w:val="250"/>
          <w:jc w:val="center"/>
        </w:trPr>
        <w:tc>
          <w:tcPr>
            <w:tcW w:w="1677"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239"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272"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712"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340"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559"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560" w:type="dxa"/>
            <w:noWrap/>
            <w:hideMark/>
          </w:tcPr>
          <w:p w:rsidR="008E0B21" w:rsidRPr="005242FE" w:rsidRDefault="008E0B21" w:rsidP="005242FE">
            <w:pPr>
              <w:spacing w:after="0"/>
              <w:jc w:val="center"/>
              <w:rPr>
                <w:rFonts w:eastAsia="Times New Roman" w:cs="Arial"/>
                <w:color w:val="000000"/>
                <w:sz w:val="20"/>
                <w:szCs w:val="20"/>
                <w:lang w:eastAsia="en-GB"/>
              </w:rPr>
            </w:pPr>
            <w:r w:rsidRPr="005242FE">
              <w:rPr>
                <w:rFonts w:eastAsia="Times New Roman" w:cs="Arial"/>
                <w:color w:val="000000"/>
                <w:sz w:val="20"/>
                <w:szCs w:val="20"/>
                <w:lang w:eastAsia="en-GB"/>
              </w:rPr>
              <w:t xml:space="preserve">£ </w:t>
            </w:r>
          </w:p>
        </w:tc>
      </w:tr>
      <w:tr w:rsidR="008E0B21" w:rsidRPr="005242FE" w:rsidTr="00314352">
        <w:trPr>
          <w:trHeight w:val="250"/>
          <w:jc w:val="center"/>
        </w:trPr>
        <w:tc>
          <w:tcPr>
            <w:tcW w:w="1677"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3223" w:type="dxa"/>
            <w:gridSpan w:val="3"/>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Gross Budget Requirement</w:t>
            </w:r>
          </w:p>
        </w:tc>
        <w:tc>
          <w:tcPr>
            <w:tcW w:w="340"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559"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560" w:type="dxa"/>
            <w:noWrap/>
            <w:hideMark/>
          </w:tcPr>
          <w:p w:rsidR="008E0B21" w:rsidRPr="005242FE" w:rsidRDefault="008E0B21" w:rsidP="005242FE">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709,125,175</w:t>
            </w:r>
          </w:p>
        </w:tc>
      </w:tr>
      <w:tr w:rsidR="008E0B21" w:rsidRPr="005242FE" w:rsidTr="00314352">
        <w:trPr>
          <w:trHeight w:val="250"/>
          <w:jc w:val="center"/>
        </w:trPr>
        <w:tc>
          <w:tcPr>
            <w:tcW w:w="1677"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239"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Less:</w:t>
            </w:r>
          </w:p>
        </w:tc>
        <w:tc>
          <w:tcPr>
            <w:tcW w:w="3883" w:type="dxa"/>
            <w:gridSpan w:val="4"/>
            <w:noWrap/>
            <w:hideMark/>
          </w:tcPr>
          <w:p w:rsidR="008E0B21" w:rsidRPr="005242FE" w:rsidRDefault="008E0B21" w:rsidP="008E0B21">
            <w:pPr>
              <w:spacing w:after="0"/>
              <w:rPr>
                <w:rFonts w:eastAsia="Times New Roman" w:cs="Arial"/>
                <w:color w:val="000000"/>
                <w:sz w:val="20"/>
                <w:szCs w:val="20"/>
                <w:lang w:eastAsia="en-GB"/>
              </w:rPr>
            </w:pPr>
            <w:r w:rsidRPr="005242FE">
              <w:rPr>
                <w:rFonts w:eastAsia="Times New Roman" w:cs="Arial"/>
                <w:color w:val="000000"/>
                <w:sz w:val="20"/>
                <w:szCs w:val="20"/>
                <w:lang w:eastAsia="en-GB"/>
              </w:rPr>
              <w:t>Balances and Reserves</w:t>
            </w:r>
          </w:p>
        </w:tc>
        <w:tc>
          <w:tcPr>
            <w:tcW w:w="1560" w:type="dxa"/>
            <w:noWrap/>
            <w:hideMark/>
          </w:tcPr>
          <w:p w:rsidR="008E0B21" w:rsidRPr="005242FE" w:rsidRDefault="008E0B21" w:rsidP="005242FE">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(10,752,700)</w:t>
            </w:r>
          </w:p>
        </w:tc>
      </w:tr>
      <w:tr w:rsidR="008E0B21" w:rsidRPr="005242FE" w:rsidTr="00314352">
        <w:trPr>
          <w:trHeight w:val="260"/>
          <w:jc w:val="center"/>
        </w:trPr>
        <w:tc>
          <w:tcPr>
            <w:tcW w:w="1677"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3223" w:type="dxa"/>
            <w:gridSpan w:val="3"/>
            <w:noWrap/>
            <w:hideMark/>
          </w:tcPr>
          <w:p w:rsidR="008E0B21" w:rsidRPr="005242FE" w:rsidRDefault="008E0B21" w:rsidP="005242FE">
            <w:pPr>
              <w:spacing w:after="0"/>
              <w:rPr>
                <w:rFonts w:eastAsia="Times New Roman" w:cs="Arial"/>
                <w:b/>
                <w:bCs/>
                <w:color w:val="000000"/>
                <w:sz w:val="20"/>
                <w:szCs w:val="20"/>
                <w:lang w:eastAsia="en-GB"/>
              </w:rPr>
            </w:pPr>
            <w:r w:rsidRPr="005242FE">
              <w:rPr>
                <w:rFonts w:eastAsia="Times New Roman" w:cs="Arial"/>
                <w:b/>
                <w:bCs/>
                <w:color w:val="000000"/>
                <w:sz w:val="20"/>
                <w:szCs w:val="20"/>
                <w:lang w:eastAsia="en-GB"/>
              </w:rPr>
              <w:t>Net Budget Requirement</w:t>
            </w:r>
          </w:p>
        </w:tc>
        <w:tc>
          <w:tcPr>
            <w:tcW w:w="340"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559"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560" w:type="dxa"/>
            <w:noWrap/>
            <w:hideMark/>
          </w:tcPr>
          <w:p w:rsidR="008E0B21" w:rsidRPr="005242FE" w:rsidRDefault="008E0B21" w:rsidP="005242FE">
            <w:pPr>
              <w:spacing w:after="0"/>
              <w:jc w:val="right"/>
              <w:rPr>
                <w:rFonts w:eastAsia="Times New Roman" w:cs="Arial"/>
                <w:b/>
                <w:bCs/>
                <w:color w:val="000000"/>
                <w:sz w:val="20"/>
                <w:szCs w:val="20"/>
                <w:lang w:eastAsia="en-GB"/>
              </w:rPr>
            </w:pPr>
            <w:r w:rsidRPr="005242FE">
              <w:rPr>
                <w:rFonts w:eastAsia="Times New Roman" w:cs="Arial"/>
                <w:b/>
                <w:bCs/>
                <w:color w:val="000000"/>
                <w:sz w:val="20"/>
                <w:szCs w:val="20"/>
                <w:lang w:eastAsia="en-GB"/>
              </w:rPr>
              <w:t>698,372,475</w:t>
            </w:r>
          </w:p>
        </w:tc>
      </w:tr>
      <w:tr w:rsidR="008E0B21" w:rsidRPr="005242FE" w:rsidTr="00314352">
        <w:trPr>
          <w:trHeight w:val="250"/>
          <w:jc w:val="center"/>
        </w:trPr>
        <w:tc>
          <w:tcPr>
            <w:tcW w:w="1677"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239"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272"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712"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340"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559"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560"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r>
      <w:tr w:rsidR="008E0B21" w:rsidRPr="005242FE" w:rsidTr="00314352">
        <w:trPr>
          <w:trHeight w:val="250"/>
          <w:jc w:val="center"/>
        </w:trPr>
        <w:tc>
          <w:tcPr>
            <w:tcW w:w="1677"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239"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Less:</w:t>
            </w:r>
          </w:p>
        </w:tc>
        <w:tc>
          <w:tcPr>
            <w:tcW w:w="1984" w:type="dxa"/>
            <w:gridSpan w:val="2"/>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xml:space="preserve">Police Grant </w:t>
            </w:r>
          </w:p>
        </w:tc>
        <w:tc>
          <w:tcPr>
            <w:tcW w:w="340"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559"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560" w:type="dxa"/>
            <w:noWrap/>
            <w:hideMark/>
          </w:tcPr>
          <w:p w:rsidR="008E0B21" w:rsidRPr="005242FE" w:rsidRDefault="008E0B21" w:rsidP="005242FE">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(526,967,333)</w:t>
            </w:r>
          </w:p>
        </w:tc>
      </w:tr>
      <w:tr w:rsidR="008E0B21" w:rsidRPr="005242FE" w:rsidTr="00314352">
        <w:trPr>
          <w:trHeight w:val="250"/>
          <w:jc w:val="center"/>
        </w:trPr>
        <w:tc>
          <w:tcPr>
            <w:tcW w:w="1677"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239"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3883" w:type="dxa"/>
            <w:gridSpan w:val="4"/>
            <w:noWrap/>
            <w:hideMark/>
          </w:tcPr>
          <w:p w:rsidR="008E0B21" w:rsidRPr="005242FE" w:rsidRDefault="008E0B21" w:rsidP="008E0B21">
            <w:pPr>
              <w:spacing w:after="0"/>
              <w:rPr>
                <w:rFonts w:eastAsia="Times New Roman" w:cs="Arial"/>
                <w:color w:val="000000"/>
                <w:sz w:val="20"/>
                <w:szCs w:val="20"/>
                <w:lang w:eastAsia="en-GB"/>
              </w:rPr>
            </w:pPr>
            <w:r w:rsidRPr="005242FE">
              <w:rPr>
                <w:rFonts w:eastAsia="Times New Roman" w:cs="Arial"/>
                <w:color w:val="000000"/>
                <w:sz w:val="20"/>
                <w:szCs w:val="20"/>
                <w:lang w:eastAsia="en-GB"/>
              </w:rPr>
              <w:t>Legacy Council Tax</w:t>
            </w:r>
            <w:r>
              <w:rPr>
                <w:rFonts w:eastAsia="Times New Roman" w:cs="Arial"/>
                <w:color w:val="000000"/>
                <w:sz w:val="20"/>
                <w:szCs w:val="20"/>
                <w:lang w:eastAsia="en-GB"/>
              </w:rPr>
              <w:t xml:space="preserve"> Grant</w:t>
            </w:r>
          </w:p>
        </w:tc>
        <w:tc>
          <w:tcPr>
            <w:tcW w:w="1560" w:type="dxa"/>
            <w:noWrap/>
            <w:hideMark/>
          </w:tcPr>
          <w:p w:rsidR="008E0B21" w:rsidRPr="005242FE" w:rsidRDefault="008E0B21" w:rsidP="005242FE">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(19,025,734)</w:t>
            </w:r>
          </w:p>
        </w:tc>
      </w:tr>
      <w:tr w:rsidR="008E0B21" w:rsidRPr="005242FE" w:rsidTr="00314352">
        <w:trPr>
          <w:trHeight w:val="260"/>
          <w:jc w:val="center"/>
        </w:trPr>
        <w:tc>
          <w:tcPr>
            <w:tcW w:w="1677"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3563" w:type="dxa"/>
            <w:gridSpan w:val="4"/>
            <w:noWrap/>
            <w:hideMark/>
          </w:tcPr>
          <w:p w:rsidR="008E0B21" w:rsidRPr="008E0B21" w:rsidRDefault="008E0B21" w:rsidP="005242FE">
            <w:pPr>
              <w:spacing w:after="0"/>
              <w:rPr>
                <w:rFonts w:eastAsia="Times New Roman" w:cs="Arial"/>
                <w:b/>
                <w:bCs/>
                <w:color w:val="000000"/>
                <w:sz w:val="20"/>
                <w:szCs w:val="20"/>
                <w:lang w:eastAsia="en-GB"/>
              </w:rPr>
            </w:pPr>
            <w:r w:rsidRPr="005242FE">
              <w:rPr>
                <w:rFonts w:eastAsia="Times New Roman" w:cs="Arial"/>
                <w:b/>
                <w:bCs/>
                <w:color w:val="000000"/>
                <w:sz w:val="20"/>
                <w:szCs w:val="20"/>
                <w:lang w:eastAsia="en-GB"/>
              </w:rPr>
              <w:t>Gross Council Tax Requirement</w:t>
            </w:r>
          </w:p>
        </w:tc>
        <w:tc>
          <w:tcPr>
            <w:tcW w:w="1559"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560" w:type="dxa"/>
            <w:noWrap/>
            <w:hideMark/>
          </w:tcPr>
          <w:p w:rsidR="008E0B21" w:rsidRPr="005242FE" w:rsidRDefault="008E0B21" w:rsidP="005242FE">
            <w:pPr>
              <w:spacing w:after="0"/>
              <w:jc w:val="right"/>
              <w:rPr>
                <w:rFonts w:eastAsia="Times New Roman" w:cs="Arial"/>
                <w:b/>
                <w:bCs/>
                <w:color w:val="000000"/>
                <w:sz w:val="20"/>
                <w:szCs w:val="20"/>
                <w:lang w:eastAsia="en-GB"/>
              </w:rPr>
            </w:pPr>
            <w:r w:rsidRPr="005242FE">
              <w:rPr>
                <w:rFonts w:eastAsia="Times New Roman" w:cs="Arial"/>
                <w:b/>
                <w:bCs/>
                <w:color w:val="000000"/>
                <w:sz w:val="20"/>
                <w:szCs w:val="20"/>
                <w:lang w:eastAsia="en-GB"/>
              </w:rPr>
              <w:t>152,379,408</w:t>
            </w:r>
          </w:p>
        </w:tc>
      </w:tr>
      <w:tr w:rsidR="008E0B21" w:rsidRPr="005242FE" w:rsidTr="00314352">
        <w:trPr>
          <w:trHeight w:val="250"/>
          <w:jc w:val="center"/>
        </w:trPr>
        <w:tc>
          <w:tcPr>
            <w:tcW w:w="1677"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239"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272"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712"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340"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559"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560"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r>
      <w:tr w:rsidR="008E0B21" w:rsidRPr="005242FE" w:rsidTr="00314352">
        <w:trPr>
          <w:trHeight w:val="250"/>
          <w:jc w:val="center"/>
        </w:trPr>
        <w:tc>
          <w:tcPr>
            <w:tcW w:w="1677"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239"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Add/Less:</w:t>
            </w:r>
          </w:p>
        </w:tc>
        <w:tc>
          <w:tcPr>
            <w:tcW w:w="3883" w:type="dxa"/>
            <w:gridSpan w:val="4"/>
            <w:noWrap/>
            <w:hideMark/>
          </w:tcPr>
          <w:p w:rsidR="008E0B21" w:rsidRPr="005242FE" w:rsidRDefault="008E0B21" w:rsidP="008E0B21">
            <w:pPr>
              <w:spacing w:after="0"/>
              <w:rPr>
                <w:rFonts w:eastAsia="Times New Roman" w:cs="Arial"/>
                <w:color w:val="000000"/>
                <w:sz w:val="20"/>
                <w:szCs w:val="20"/>
                <w:lang w:eastAsia="en-GB"/>
              </w:rPr>
            </w:pPr>
            <w:r w:rsidRPr="005242FE">
              <w:rPr>
                <w:rFonts w:eastAsia="Times New Roman" w:cs="Arial"/>
                <w:color w:val="000000"/>
                <w:sz w:val="20"/>
                <w:szCs w:val="20"/>
                <w:lang w:eastAsia="en-GB"/>
              </w:rPr>
              <w:t>Balance on Collection Funds</w:t>
            </w:r>
          </w:p>
        </w:tc>
        <w:tc>
          <w:tcPr>
            <w:tcW w:w="1560" w:type="dxa"/>
            <w:noWrap/>
            <w:hideMark/>
          </w:tcPr>
          <w:p w:rsidR="008E0B21" w:rsidRPr="005242FE" w:rsidRDefault="008E0B21" w:rsidP="005242FE">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(2,956,793)</w:t>
            </w:r>
          </w:p>
        </w:tc>
      </w:tr>
      <w:tr w:rsidR="008E0B21" w:rsidRPr="005242FE" w:rsidTr="00314352">
        <w:trPr>
          <w:trHeight w:val="260"/>
          <w:jc w:val="center"/>
        </w:trPr>
        <w:tc>
          <w:tcPr>
            <w:tcW w:w="1677"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3223" w:type="dxa"/>
            <w:gridSpan w:val="3"/>
            <w:noWrap/>
            <w:hideMark/>
          </w:tcPr>
          <w:p w:rsidR="008E0B21" w:rsidRPr="005242FE" w:rsidRDefault="008E0B21" w:rsidP="005242FE">
            <w:pPr>
              <w:spacing w:after="0"/>
              <w:rPr>
                <w:rFonts w:eastAsia="Times New Roman" w:cs="Arial"/>
                <w:b/>
                <w:bCs/>
                <w:color w:val="000000"/>
                <w:sz w:val="20"/>
                <w:szCs w:val="20"/>
                <w:lang w:eastAsia="en-GB"/>
              </w:rPr>
            </w:pPr>
            <w:r w:rsidRPr="005242FE">
              <w:rPr>
                <w:rFonts w:eastAsia="Times New Roman" w:cs="Arial"/>
                <w:b/>
                <w:bCs/>
                <w:color w:val="000000"/>
                <w:sz w:val="20"/>
                <w:szCs w:val="20"/>
                <w:lang w:eastAsia="en-GB"/>
              </w:rPr>
              <w:t>Net Council Tax Requirement</w:t>
            </w:r>
          </w:p>
        </w:tc>
        <w:tc>
          <w:tcPr>
            <w:tcW w:w="340"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559"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560" w:type="dxa"/>
            <w:noWrap/>
            <w:hideMark/>
          </w:tcPr>
          <w:p w:rsidR="008E0B21" w:rsidRPr="005242FE" w:rsidRDefault="008E0B21" w:rsidP="005242FE">
            <w:pPr>
              <w:spacing w:after="0"/>
              <w:jc w:val="right"/>
              <w:rPr>
                <w:rFonts w:eastAsia="Times New Roman" w:cs="Arial"/>
                <w:b/>
                <w:bCs/>
                <w:color w:val="000000"/>
                <w:sz w:val="20"/>
                <w:szCs w:val="20"/>
                <w:lang w:eastAsia="en-GB"/>
              </w:rPr>
            </w:pPr>
            <w:r w:rsidRPr="005242FE">
              <w:rPr>
                <w:rFonts w:eastAsia="Times New Roman" w:cs="Arial"/>
                <w:b/>
                <w:bCs/>
                <w:color w:val="000000"/>
                <w:sz w:val="20"/>
                <w:szCs w:val="20"/>
                <w:lang w:eastAsia="en-GB"/>
              </w:rPr>
              <w:t>149,422,616</w:t>
            </w:r>
          </w:p>
        </w:tc>
      </w:tr>
      <w:tr w:rsidR="008E0B21" w:rsidRPr="005242FE" w:rsidTr="00314352">
        <w:trPr>
          <w:trHeight w:val="250"/>
          <w:jc w:val="center"/>
        </w:trPr>
        <w:tc>
          <w:tcPr>
            <w:tcW w:w="1677"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239"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272"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712"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340"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559"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560"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r>
      <w:tr w:rsidR="008E0B21" w:rsidRPr="005242FE" w:rsidTr="00314352">
        <w:trPr>
          <w:trHeight w:val="250"/>
          <w:jc w:val="center"/>
        </w:trPr>
        <w:tc>
          <w:tcPr>
            <w:tcW w:w="4900" w:type="dxa"/>
            <w:gridSpan w:val="4"/>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Apportioned on the relevant tax base as follows:</w:t>
            </w:r>
          </w:p>
        </w:tc>
        <w:tc>
          <w:tcPr>
            <w:tcW w:w="340"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559"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560"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r>
      <w:tr w:rsidR="008E0B21" w:rsidRPr="005242FE" w:rsidTr="00314352">
        <w:trPr>
          <w:trHeight w:val="250"/>
          <w:jc w:val="center"/>
        </w:trPr>
        <w:tc>
          <w:tcPr>
            <w:tcW w:w="1677"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239"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272"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712"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340"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559"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560"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r>
      <w:tr w:rsidR="00D8226A" w:rsidRPr="005242FE" w:rsidTr="00314352">
        <w:trPr>
          <w:trHeight w:val="250"/>
          <w:jc w:val="center"/>
        </w:trPr>
        <w:tc>
          <w:tcPr>
            <w:tcW w:w="1677" w:type="dxa"/>
            <w:noWrap/>
            <w:hideMark/>
          </w:tcPr>
          <w:p w:rsidR="00D8226A" w:rsidRPr="005242FE" w:rsidRDefault="00D8226A"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239" w:type="dxa"/>
            <w:noWrap/>
            <w:hideMark/>
          </w:tcPr>
          <w:p w:rsidR="00D8226A" w:rsidRPr="005242FE" w:rsidRDefault="00D8226A" w:rsidP="008E0B21">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Relevant</w:t>
            </w:r>
          </w:p>
        </w:tc>
        <w:tc>
          <w:tcPr>
            <w:tcW w:w="272" w:type="dxa"/>
            <w:noWrap/>
            <w:hideMark/>
          </w:tcPr>
          <w:p w:rsidR="00D8226A" w:rsidRPr="005242FE" w:rsidRDefault="00D8226A" w:rsidP="008E0B21">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712" w:type="dxa"/>
            <w:noWrap/>
            <w:hideMark/>
          </w:tcPr>
          <w:p w:rsidR="00D8226A" w:rsidRPr="005242FE" w:rsidRDefault="00D8226A" w:rsidP="008E0B21">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 xml:space="preserve">Total </w:t>
            </w:r>
          </w:p>
        </w:tc>
        <w:tc>
          <w:tcPr>
            <w:tcW w:w="340" w:type="dxa"/>
            <w:noWrap/>
            <w:hideMark/>
          </w:tcPr>
          <w:p w:rsidR="00D8226A" w:rsidRPr="005242FE" w:rsidRDefault="00D8226A" w:rsidP="008E0B21">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3119" w:type="dxa"/>
            <w:gridSpan w:val="2"/>
          </w:tcPr>
          <w:p w:rsidR="00D8226A" w:rsidRPr="005242FE" w:rsidRDefault="00D8226A" w:rsidP="00D8226A">
            <w:pPr>
              <w:spacing w:after="0"/>
              <w:jc w:val="center"/>
              <w:rPr>
                <w:rFonts w:eastAsia="Times New Roman" w:cs="Arial"/>
                <w:color w:val="000000"/>
                <w:sz w:val="20"/>
                <w:szCs w:val="20"/>
                <w:lang w:eastAsia="en-GB"/>
              </w:rPr>
            </w:pPr>
            <w:r>
              <w:rPr>
                <w:rFonts w:eastAsia="Times New Roman" w:cs="Arial"/>
                <w:color w:val="000000"/>
                <w:sz w:val="20"/>
                <w:szCs w:val="20"/>
                <w:lang w:eastAsia="en-GB"/>
              </w:rPr>
              <w:t>Monthly Instalments</w:t>
            </w:r>
          </w:p>
        </w:tc>
      </w:tr>
      <w:tr w:rsidR="008E0B21" w:rsidRPr="005242FE" w:rsidTr="00314352">
        <w:trPr>
          <w:trHeight w:val="250"/>
          <w:jc w:val="center"/>
        </w:trPr>
        <w:tc>
          <w:tcPr>
            <w:tcW w:w="1677"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239" w:type="dxa"/>
            <w:noWrap/>
            <w:hideMark/>
          </w:tcPr>
          <w:p w:rsidR="008E0B21" w:rsidRPr="005242FE" w:rsidRDefault="008E0B21" w:rsidP="008E0B21">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Tax base</w:t>
            </w:r>
          </w:p>
        </w:tc>
        <w:tc>
          <w:tcPr>
            <w:tcW w:w="272" w:type="dxa"/>
            <w:noWrap/>
            <w:hideMark/>
          </w:tcPr>
          <w:p w:rsidR="008E0B21" w:rsidRPr="005242FE" w:rsidRDefault="008E0B21" w:rsidP="008E0B21">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712" w:type="dxa"/>
            <w:noWrap/>
            <w:hideMark/>
          </w:tcPr>
          <w:p w:rsidR="008E0B21" w:rsidRPr="005242FE" w:rsidRDefault="008E0B21" w:rsidP="008E0B21">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Precept</w:t>
            </w:r>
          </w:p>
        </w:tc>
        <w:tc>
          <w:tcPr>
            <w:tcW w:w="340" w:type="dxa"/>
            <w:noWrap/>
            <w:hideMark/>
          </w:tcPr>
          <w:p w:rsidR="008E0B21" w:rsidRPr="005242FE" w:rsidRDefault="008E0B21" w:rsidP="008E0B21">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559" w:type="dxa"/>
            <w:noWrap/>
            <w:hideMark/>
          </w:tcPr>
          <w:p w:rsidR="008E0B21" w:rsidRPr="005242FE" w:rsidRDefault="008E0B21" w:rsidP="008E0B21">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April-Feb</w:t>
            </w:r>
          </w:p>
        </w:tc>
        <w:tc>
          <w:tcPr>
            <w:tcW w:w="1560" w:type="dxa"/>
            <w:noWrap/>
            <w:hideMark/>
          </w:tcPr>
          <w:p w:rsidR="008E0B21" w:rsidRPr="005242FE" w:rsidRDefault="008E0B21" w:rsidP="008E0B21">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March</w:t>
            </w:r>
          </w:p>
        </w:tc>
      </w:tr>
      <w:tr w:rsidR="008E0B21" w:rsidRPr="005242FE" w:rsidTr="00314352">
        <w:trPr>
          <w:trHeight w:val="290"/>
          <w:jc w:val="center"/>
        </w:trPr>
        <w:tc>
          <w:tcPr>
            <w:tcW w:w="1677"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239" w:type="dxa"/>
            <w:noWrap/>
            <w:hideMark/>
          </w:tcPr>
          <w:p w:rsidR="008E0B21" w:rsidRPr="005242FE" w:rsidRDefault="008E0B21" w:rsidP="008E0B21">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w:t>
            </w:r>
          </w:p>
        </w:tc>
        <w:tc>
          <w:tcPr>
            <w:tcW w:w="272" w:type="dxa"/>
            <w:noWrap/>
            <w:hideMark/>
          </w:tcPr>
          <w:p w:rsidR="008E0B21" w:rsidRPr="005242FE" w:rsidRDefault="008E0B21" w:rsidP="008E0B21">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712" w:type="dxa"/>
            <w:noWrap/>
            <w:hideMark/>
          </w:tcPr>
          <w:p w:rsidR="008E0B21" w:rsidRPr="005242FE" w:rsidRDefault="008E0B21" w:rsidP="008E0B21">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w:t>
            </w:r>
          </w:p>
        </w:tc>
        <w:tc>
          <w:tcPr>
            <w:tcW w:w="340" w:type="dxa"/>
            <w:noWrap/>
            <w:hideMark/>
          </w:tcPr>
          <w:p w:rsidR="008E0B21" w:rsidRPr="005242FE" w:rsidRDefault="008E0B21" w:rsidP="008E0B21">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559" w:type="dxa"/>
            <w:noWrap/>
            <w:hideMark/>
          </w:tcPr>
          <w:p w:rsidR="008E0B21" w:rsidRPr="005242FE" w:rsidRDefault="008E0B21" w:rsidP="008E0B21">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w:t>
            </w:r>
          </w:p>
        </w:tc>
        <w:tc>
          <w:tcPr>
            <w:tcW w:w="1560" w:type="dxa"/>
            <w:noWrap/>
            <w:hideMark/>
          </w:tcPr>
          <w:p w:rsidR="008E0B21" w:rsidRPr="005242FE" w:rsidRDefault="008E0B21" w:rsidP="008E0B21">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w:t>
            </w:r>
          </w:p>
        </w:tc>
      </w:tr>
      <w:tr w:rsidR="008E0B21" w:rsidRPr="005242FE" w:rsidTr="00314352">
        <w:trPr>
          <w:trHeight w:val="290"/>
          <w:jc w:val="center"/>
        </w:trPr>
        <w:tc>
          <w:tcPr>
            <w:tcW w:w="1677"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Birmingham</w:t>
            </w:r>
          </w:p>
        </w:tc>
        <w:tc>
          <w:tcPr>
            <w:tcW w:w="1239" w:type="dxa"/>
            <w:noWrap/>
            <w:hideMark/>
          </w:tcPr>
          <w:p w:rsidR="008E0B21" w:rsidRPr="005242FE" w:rsidRDefault="008E0B21" w:rsidP="005242FE">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263,262.00</w:t>
            </w:r>
          </w:p>
        </w:tc>
        <w:tc>
          <w:tcPr>
            <w:tcW w:w="272"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712" w:type="dxa"/>
            <w:noWrap/>
            <w:hideMark/>
          </w:tcPr>
          <w:p w:rsidR="008E0B21" w:rsidRPr="005242FE" w:rsidRDefault="008E0B21" w:rsidP="005242FE">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53,323,718</w:t>
            </w:r>
          </w:p>
        </w:tc>
        <w:tc>
          <w:tcPr>
            <w:tcW w:w="340"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559" w:type="dxa"/>
            <w:noWrap/>
            <w:hideMark/>
          </w:tcPr>
          <w:p w:rsidR="008E0B21" w:rsidRPr="005242FE" w:rsidRDefault="008E0B21" w:rsidP="005242FE">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4,443,643</w:t>
            </w:r>
          </w:p>
        </w:tc>
        <w:tc>
          <w:tcPr>
            <w:tcW w:w="1560" w:type="dxa"/>
            <w:noWrap/>
            <w:hideMark/>
          </w:tcPr>
          <w:p w:rsidR="008E0B21" w:rsidRPr="005242FE" w:rsidRDefault="008E0B21" w:rsidP="005242FE">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4,443,645</w:t>
            </w:r>
          </w:p>
        </w:tc>
      </w:tr>
      <w:tr w:rsidR="008E0B21" w:rsidRPr="005242FE" w:rsidTr="00314352">
        <w:trPr>
          <w:trHeight w:val="290"/>
          <w:jc w:val="center"/>
        </w:trPr>
        <w:tc>
          <w:tcPr>
            <w:tcW w:w="1677"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Coventry</w:t>
            </w:r>
          </w:p>
        </w:tc>
        <w:tc>
          <w:tcPr>
            <w:tcW w:w="1239" w:type="dxa"/>
            <w:noWrap/>
            <w:hideMark/>
          </w:tcPr>
          <w:p w:rsidR="008E0B21" w:rsidRPr="005242FE" w:rsidRDefault="008E0B21" w:rsidP="005242FE">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86,075.20</w:t>
            </w:r>
          </w:p>
        </w:tc>
        <w:tc>
          <w:tcPr>
            <w:tcW w:w="272"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712" w:type="dxa"/>
            <w:noWrap/>
            <w:hideMark/>
          </w:tcPr>
          <w:p w:rsidR="008E0B21" w:rsidRPr="005242FE" w:rsidRDefault="008E0B21" w:rsidP="005242FE">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17,434,532</w:t>
            </w:r>
          </w:p>
        </w:tc>
        <w:tc>
          <w:tcPr>
            <w:tcW w:w="340"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559" w:type="dxa"/>
            <w:noWrap/>
            <w:hideMark/>
          </w:tcPr>
          <w:p w:rsidR="008E0B21" w:rsidRPr="005242FE" w:rsidRDefault="008E0B21" w:rsidP="005242FE">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1,452,878</w:t>
            </w:r>
          </w:p>
        </w:tc>
        <w:tc>
          <w:tcPr>
            <w:tcW w:w="1560" w:type="dxa"/>
            <w:noWrap/>
            <w:hideMark/>
          </w:tcPr>
          <w:p w:rsidR="008E0B21" w:rsidRPr="005242FE" w:rsidRDefault="008E0B21" w:rsidP="005242FE">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1,452,874</w:t>
            </w:r>
          </w:p>
        </w:tc>
      </w:tr>
      <w:tr w:rsidR="008E0B21" w:rsidRPr="005242FE" w:rsidTr="00314352">
        <w:trPr>
          <w:trHeight w:val="290"/>
          <w:jc w:val="center"/>
        </w:trPr>
        <w:tc>
          <w:tcPr>
            <w:tcW w:w="1677"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Dudley</w:t>
            </w:r>
          </w:p>
        </w:tc>
        <w:tc>
          <w:tcPr>
            <w:tcW w:w="1239" w:type="dxa"/>
            <w:noWrap/>
            <w:hideMark/>
          </w:tcPr>
          <w:p w:rsidR="008E0B21" w:rsidRPr="005242FE" w:rsidRDefault="008E0B21" w:rsidP="005242FE">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93,834.60</w:t>
            </w:r>
          </w:p>
        </w:tc>
        <w:tc>
          <w:tcPr>
            <w:tcW w:w="272"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712" w:type="dxa"/>
            <w:noWrap/>
            <w:hideMark/>
          </w:tcPr>
          <w:p w:rsidR="008E0B21" w:rsidRPr="005242FE" w:rsidRDefault="008E0B21" w:rsidP="005242FE">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19,006,198</w:t>
            </w:r>
          </w:p>
        </w:tc>
        <w:tc>
          <w:tcPr>
            <w:tcW w:w="340"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559" w:type="dxa"/>
            <w:noWrap/>
            <w:hideMark/>
          </w:tcPr>
          <w:p w:rsidR="008E0B21" w:rsidRPr="005242FE" w:rsidRDefault="008E0B21" w:rsidP="005242FE">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1,583,850</w:t>
            </w:r>
          </w:p>
        </w:tc>
        <w:tc>
          <w:tcPr>
            <w:tcW w:w="1560" w:type="dxa"/>
            <w:noWrap/>
            <w:hideMark/>
          </w:tcPr>
          <w:p w:rsidR="008E0B21" w:rsidRPr="005242FE" w:rsidRDefault="008E0B21" w:rsidP="005242FE">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1,583,848</w:t>
            </w:r>
          </w:p>
        </w:tc>
      </w:tr>
      <w:tr w:rsidR="008E0B21" w:rsidRPr="005242FE" w:rsidTr="00314352">
        <w:trPr>
          <w:trHeight w:val="290"/>
          <w:jc w:val="center"/>
        </w:trPr>
        <w:tc>
          <w:tcPr>
            <w:tcW w:w="1677"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Sandwell</w:t>
            </w:r>
          </w:p>
        </w:tc>
        <w:tc>
          <w:tcPr>
            <w:tcW w:w="1239" w:type="dxa"/>
            <w:noWrap/>
            <w:hideMark/>
          </w:tcPr>
          <w:p w:rsidR="008E0B21" w:rsidRPr="005242FE" w:rsidRDefault="008E0B21" w:rsidP="005242FE">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76,764.73</w:t>
            </w:r>
          </w:p>
        </w:tc>
        <w:tc>
          <w:tcPr>
            <w:tcW w:w="272"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712" w:type="dxa"/>
            <w:noWrap/>
            <w:hideMark/>
          </w:tcPr>
          <w:p w:rsidR="008E0B21" w:rsidRPr="005242FE" w:rsidRDefault="008E0B21" w:rsidP="005242FE">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15,548,696</w:t>
            </w:r>
          </w:p>
        </w:tc>
        <w:tc>
          <w:tcPr>
            <w:tcW w:w="340"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559" w:type="dxa"/>
            <w:noWrap/>
            <w:hideMark/>
          </w:tcPr>
          <w:p w:rsidR="008E0B21" w:rsidRPr="005242FE" w:rsidRDefault="008E0B21" w:rsidP="005242FE">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1,295,725</w:t>
            </w:r>
          </w:p>
        </w:tc>
        <w:tc>
          <w:tcPr>
            <w:tcW w:w="1560" w:type="dxa"/>
            <w:noWrap/>
            <w:hideMark/>
          </w:tcPr>
          <w:p w:rsidR="008E0B21" w:rsidRPr="005242FE" w:rsidRDefault="008E0B21" w:rsidP="005242FE">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1,295,721</w:t>
            </w:r>
          </w:p>
        </w:tc>
      </w:tr>
      <w:tr w:rsidR="008E0B21" w:rsidRPr="005242FE" w:rsidTr="00314352">
        <w:trPr>
          <w:trHeight w:val="290"/>
          <w:jc w:val="center"/>
        </w:trPr>
        <w:tc>
          <w:tcPr>
            <w:tcW w:w="1677"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Solihull</w:t>
            </w:r>
          </w:p>
        </w:tc>
        <w:tc>
          <w:tcPr>
            <w:tcW w:w="1239" w:type="dxa"/>
            <w:noWrap/>
            <w:hideMark/>
          </w:tcPr>
          <w:p w:rsidR="008E0B21" w:rsidRPr="005242FE" w:rsidRDefault="008E0B21" w:rsidP="005242FE">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79,168.00</w:t>
            </w:r>
          </w:p>
        </w:tc>
        <w:tc>
          <w:tcPr>
            <w:tcW w:w="272"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712" w:type="dxa"/>
            <w:noWrap/>
            <w:hideMark/>
          </w:tcPr>
          <w:p w:rsidR="008E0B21" w:rsidRPr="005242FE" w:rsidRDefault="008E0B21" w:rsidP="005242FE">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16,035,478</w:t>
            </w:r>
          </w:p>
        </w:tc>
        <w:tc>
          <w:tcPr>
            <w:tcW w:w="340"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559" w:type="dxa"/>
            <w:noWrap/>
            <w:hideMark/>
          </w:tcPr>
          <w:p w:rsidR="008E0B21" w:rsidRPr="005242FE" w:rsidRDefault="008E0B21" w:rsidP="005242FE">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1,336,290</w:t>
            </w:r>
          </w:p>
        </w:tc>
        <w:tc>
          <w:tcPr>
            <w:tcW w:w="1560" w:type="dxa"/>
            <w:noWrap/>
            <w:hideMark/>
          </w:tcPr>
          <w:p w:rsidR="008E0B21" w:rsidRPr="005242FE" w:rsidRDefault="008E0B21" w:rsidP="005242FE">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1,336,288</w:t>
            </w:r>
          </w:p>
        </w:tc>
      </w:tr>
      <w:tr w:rsidR="008E0B21" w:rsidRPr="005242FE" w:rsidTr="00314352">
        <w:trPr>
          <w:trHeight w:val="290"/>
          <w:jc w:val="center"/>
        </w:trPr>
        <w:tc>
          <w:tcPr>
            <w:tcW w:w="1677"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Walsall</w:t>
            </w:r>
          </w:p>
        </w:tc>
        <w:tc>
          <w:tcPr>
            <w:tcW w:w="1239" w:type="dxa"/>
            <w:noWrap/>
            <w:hideMark/>
          </w:tcPr>
          <w:p w:rsidR="008E0B21" w:rsidRPr="005242FE" w:rsidRDefault="008E0B21" w:rsidP="005242FE">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72,608.66</w:t>
            </w:r>
          </w:p>
        </w:tc>
        <w:tc>
          <w:tcPr>
            <w:tcW w:w="272"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712" w:type="dxa"/>
            <w:noWrap/>
            <w:hideMark/>
          </w:tcPr>
          <w:p w:rsidR="008E0B21" w:rsidRPr="005242FE" w:rsidRDefault="008E0B21" w:rsidP="005242FE">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14,706,884</w:t>
            </w:r>
          </w:p>
        </w:tc>
        <w:tc>
          <w:tcPr>
            <w:tcW w:w="340"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559" w:type="dxa"/>
            <w:noWrap/>
            <w:hideMark/>
          </w:tcPr>
          <w:p w:rsidR="008E0B21" w:rsidRPr="005242FE" w:rsidRDefault="008E0B21" w:rsidP="005242FE">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1,225,574</w:t>
            </w:r>
          </w:p>
        </w:tc>
        <w:tc>
          <w:tcPr>
            <w:tcW w:w="1560" w:type="dxa"/>
            <w:noWrap/>
            <w:hideMark/>
          </w:tcPr>
          <w:p w:rsidR="008E0B21" w:rsidRPr="005242FE" w:rsidRDefault="008E0B21" w:rsidP="005242FE">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1,225,570</w:t>
            </w:r>
          </w:p>
        </w:tc>
      </w:tr>
      <w:tr w:rsidR="008E0B21" w:rsidRPr="005242FE" w:rsidTr="00314352">
        <w:trPr>
          <w:trHeight w:val="290"/>
          <w:jc w:val="center"/>
        </w:trPr>
        <w:tc>
          <w:tcPr>
            <w:tcW w:w="1677"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Wolverhampton</w:t>
            </w:r>
          </w:p>
        </w:tc>
        <w:tc>
          <w:tcPr>
            <w:tcW w:w="1239" w:type="dxa"/>
            <w:noWrap/>
            <w:hideMark/>
          </w:tcPr>
          <w:p w:rsidR="008E0B21" w:rsidRPr="005242FE" w:rsidRDefault="008E0B21" w:rsidP="005242FE">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65,994.12</w:t>
            </w:r>
          </w:p>
        </w:tc>
        <w:tc>
          <w:tcPr>
            <w:tcW w:w="272"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712" w:type="dxa"/>
            <w:noWrap/>
            <w:hideMark/>
          </w:tcPr>
          <w:p w:rsidR="008E0B21" w:rsidRPr="005242FE" w:rsidRDefault="008E0B21" w:rsidP="005242FE">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13,367,109</w:t>
            </w:r>
          </w:p>
        </w:tc>
        <w:tc>
          <w:tcPr>
            <w:tcW w:w="340"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559" w:type="dxa"/>
            <w:noWrap/>
            <w:hideMark/>
          </w:tcPr>
          <w:p w:rsidR="008E0B21" w:rsidRPr="005242FE" w:rsidRDefault="008E0B21" w:rsidP="005242FE">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1,113,926</w:t>
            </w:r>
          </w:p>
        </w:tc>
        <w:tc>
          <w:tcPr>
            <w:tcW w:w="1560" w:type="dxa"/>
            <w:noWrap/>
            <w:hideMark/>
          </w:tcPr>
          <w:p w:rsidR="008E0B21" w:rsidRPr="005242FE" w:rsidRDefault="008E0B21" w:rsidP="005242FE">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1,113,923</w:t>
            </w:r>
          </w:p>
        </w:tc>
      </w:tr>
      <w:tr w:rsidR="008E0B21" w:rsidRPr="005242FE" w:rsidTr="00314352">
        <w:trPr>
          <w:trHeight w:val="290"/>
          <w:jc w:val="center"/>
        </w:trPr>
        <w:tc>
          <w:tcPr>
            <w:tcW w:w="1677"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239" w:type="dxa"/>
            <w:noWrap/>
            <w:hideMark/>
          </w:tcPr>
          <w:p w:rsidR="008E0B21" w:rsidRPr="005242FE" w:rsidRDefault="008E0B21" w:rsidP="005242FE">
            <w:pPr>
              <w:spacing w:after="0"/>
              <w:jc w:val="right"/>
              <w:rPr>
                <w:rFonts w:eastAsia="Times New Roman" w:cs="Arial"/>
                <w:b/>
                <w:bCs/>
                <w:color w:val="000000"/>
                <w:sz w:val="20"/>
                <w:szCs w:val="20"/>
                <w:lang w:eastAsia="en-GB"/>
              </w:rPr>
            </w:pPr>
            <w:r w:rsidRPr="005242FE">
              <w:rPr>
                <w:rFonts w:eastAsia="Times New Roman" w:cs="Arial"/>
                <w:b/>
                <w:bCs/>
                <w:color w:val="000000"/>
                <w:sz w:val="20"/>
                <w:szCs w:val="20"/>
                <w:lang w:eastAsia="en-GB"/>
              </w:rPr>
              <w:t>737,707.31</w:t>
            </w:r>
          </w:p>
        </w:tc>
        <w:tc>
          <w:tcPr>
            <w:tcW w:w="272" w:type="dxa"/>
            <w:noWrap/>
            <w:hideMark/>
          </w:tcPr>
          <w:p w:rsidR="008E0B21" w:rsidRPr="005242FE" w:rsidRDefault="008E0B21" w:rsidP="005242FE">
            <w:pPr>
              <w:spacing w:after="0"/>
              <w:rPr>
                <w:rFonts w:eastAsia="Times New Roman" w:cs="Arial"/>
                <w:b/>
                <w:bCs/>
                <w:color w:val="000000"/>
                <w:sz w:val="20"/>
                <w:szCs w:val="20"/>
                <w:lang w:eastAsia="en-GB"/>
              </w:rPr>
            </w:pPr>
            <w:r w:rsidRPr="005242FE">
              <w:rPr>
                <w:rFonts w:eastAsia="Times New Roman" w:cs="Arial"/>
                <w:b/>
                <w:bCs/>
                <w:color w:val="000000"/>
                <w:sz w:val="20"/>
                <w:szCs w:val="20"/>
                <w:lang w:eastAsia="en-GB"/>
              </w:rPr>
              <w:t> </w:t>
            </w:r>
          </w:p>
        </w:tc>
        <w:tc>
          <w:tcPr>
            <w:tcW w:w="1712" w:type="dxa"/>
            <w:noWrap/>
            <w:hideMark/>
          </w:tcPr>
          <w:p w:rsidR="008E0B21" w:rsidRPr="005242FE" w:rsidRDefault="008E0B21" w:rsidP="005242FE">
            <w:pPr>
              <w:spacing w:after="0"/>
              <w:jc w:val="right"/>
              <w:rPr>
                <w:rFonts w:eastAsia="Times New Roman" w:cs="Arial"/>
                <w:b/>
                <w:bCs/>
                <w:color w:val="000000"/>
                <w:sz w:val="20"/>
                <w:szCs w:val="20"/>
                <w:lang w:eastAsia="en-GB"/>
              </w:rPr>
            </w:pPr>
            <w:r w:rsidRPr="005242FE">
              <w:rPr>
                <w:rFonts w:eastAsia="Times New Roman" w:cs="Arial"/>
                <w:b/>
                <w:bCs/>
                <w:color w:val="000000"/>
                <w:sz w:val="20"/>
                <w:szCs w:val="20"/>
                <w:lang w:eastAsia="en-GB"/>
              </w:rPr>
              <w:t>149,422,615</w:t>
            </w:r>
          </w:p>
        </w:tc>
        <w:tc>
          <w:tcPr>
            <w:tcW w:w="340" w:type="dxa"/>
            <w:noWrap/>
            <w:hideMark/>
          </w:tcPr>
          <w:p w:rsidR="008E0B21" w:rsidRPr="005242FE" w:rsidRDefault="008E0B21" w:rsidP="005242FE">
            <w:pPr>
              <w:spacing w:after="0"/>
              <w:rPr>
                <w:rFonts w:eastAsia="Times New Roman" w:cs="Arial"/>
                <w:b/>
                <w:bCs/>
                <w:color w:val="000000"/>
                <w:sz w:val="20"/>
                <w:szCs w:val="20"/>
                <w:lang w:eastAsia="en-GB"/>
              </w:rPr>
            </w:pPr>
            <w:r w:rsidRPr="005242FE">
              <w:rPr>
                <w:rFonts w:eastAsia="Times New Roman" w:cs="Arial"/>
                <w:b/>
                <w:bCs/>
                <w:color w:val="000000"/>
                <w:sz w:val="20"/>
                <w:szCs w:val="20"/>
                <w:lang w:eastAsia="en-GB"/>
              </w:rPr>
              <w:t> </w:t>
            </w:r>
          </w:p>
        </w:tc>
        <w:tc>
          <w:tcPr>
            <w:tcW w:w="1559" w:type="dxa"/>
            <w:noWrap/>
            <w:hideMark/>
          </w:tcPr>
          <w:p w:rsidR="008E0B21" w:rsidRPr="005242FE" w:rsidRDefault="008E0B21" w:rsidP="005242FE">
            <w:pPr>
              <w:spacing w:after="0"/>
              <w:jc w:val="right"/>
              <w:rPr>
                <w:rFonts w:eastAsia="Times New Roman" w:cs="Arial"/>
                <w:b/>
                <w:bCs/>
                <w:color w:val="000000"/>
                <w:sz w:val="20"/>
                <w:szCs w:val="20"/>
                <w:lang w:eastAsia="en-GB"/>
              </w:rPr>
            </w:pPr>
            <w:r w:rsidRPr="005242FE">
              <w:rPr>
                <w:rFonts w:eastAsia="Times New Roman" w:cs="Arial"/>
                <w:b/>
                <w:bCs/>
                <w:color w:val="000000"/>
                <w:sz w:val="20"/>
                <w:szCs w:val="20"/>
                <w:lang w:eastAsia="en-GB"/>
              </w:rPr>
              <w:t>12,451,886</w:t>
            </w:r>
          </w:p>
        </w:tc>
        <w:tc>
          <w:tcPr>
            <w:tcW w:w="1560" w:type="dxa"/>
            <w:noWrap/>
            <w:hideMark/>
          </w:tcPr>
          <w:p w:rsidR="008E0B21" w:rsidRPr="005242FE" w:rsidRDefault="008E0B21" w:rsidP="005242FE">
            <w:pPr>
              <w:spacing w:after="0"/>
              <w:jc w:val="right"/>
              <w:rPr>
                <w:rFonts w:eastAsia="Times New Roman" w:cs="Arial"/>
                <w:b/>
                <w:bCs/>
                <w:color w:val="000000"/>
                <w:sz w:val="20"/>
                <w:szCs w:val="20"/>
                <w:lang w:eastAsia="en-GB"/>
              </w:rPr>
            </w:pPr>
            <w:r w:rsidRPr="005242FE">
              <w:rPr>
                <w:rFonts w:eastAsia="Times New Roman" w:cs="Arial"/>
                <w:b/>
                <w:bCs/>
                <w:color w:val="000000"/>
                <w:sz w:val="20"/>
                <w:szCs w:val="20"/>
                <w:lang w:eastAsia="en-GB"/>
              </w:rPr>
              <w:t>12,451,870</w:t>
            </w:r>
          </w:p>
        </w:tc>
      </w:tr>
      <w:tr w:rsidR="008E0B21" w:rsidRPr="005242FE" w:rsidTr="00314352">
        <w:trPr>
          <w:trHeight w:val="290"/>
          <w:jc w:val="center"/>
        </w:trPr>
        <w:tc>
          <w:tcPr>
            <w:tcW w:w="1677"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239"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272"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712"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340"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559"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560"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r>
      <w:tr w:rsidR="00D8226A" w:rsidRPr="005242FE" w:rsidTr="00314352">
        <w:trPr>
          <w:trHeight w:val="250"/>
          <w:jc w:val="center"/>
        </w:trPr>
        <w:tc>
          <w:tcPr>
            <w:tcW w:w="1677" w:type="dxa"/>
            <w:noWrap/>
            <w:hideMark/>
          </w:tcPr>
          <w:p w:rsidR="00D8226A" w:rsidRPr="005242FE" w:rsidRDefault="00D8226A"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239" w:type="dxa"/>
            <w:noWrap/>
            <w:hideMark/>
          </w:tcPr>
          <w:p w:rsidR="00D8226A" w:rsidRPr="005242FE" w:rsidRDefault="00D8226A"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272" w:type="dxa"/>
            <w:noWrap/>
            <w:hideMark/>
          </w:tcPr>
          <w:p w:rsidR="00D8226A" w:rsidRPr="005242FE" w:rsidRDefault="00D8226A"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3611" w:type="dxa"/>
            <w:gridSpan w:val="3"/>
            <w:noWrap/>
            <w:hideMark/>
          </w:tcPr>
          <w:p w:rsidR="00D8226A" w:rsidRPr="005242FE" w:rsidRDefault="00D8226A" w:rsidP="00D8226A">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  Monthly Instalment x 11</w:t>
            </w:r>
          </w:p>
        </w:tc>
        <w:tc>
          <w:tcPr>
            <w:tcW w:w="1560" w:type="dxa"/>
          </w:tcPr>
          <w:p w:rsidR="00D8226A" w:rsidRPr="005242FE" w:rsidRDefault="00D8226A" w:rsidP="005242FE">
            <w:pPr>
              <w:spacing w:after="0"/>
              <w:jc w:val="right"/>
              <w:rPr>
                <w:rFonts w:eastAsia="Times New Roman" w:cs="Arial"/>
                <w:color w:val="000000"/>
                <w:sz w:val="20"/>
                <w:szCs w:val="20"/>
                <w:lang w:eastAsia="en-GB"/>
              </w:rPr>
            </w:pPr>
            <w:r>
              <w:rPr>
                <w:rFonts w:eastAsia="Times New Roman" w:cs="Arial"/>
                <w:color w:val="000000"/>
                <w:sz w:val="20"/>
                <w:szCs w:val="20"/>
                <w:lang w:eastAsia="en-GB"/>
              </w:rPr>
              <w:t>136,970,746</w:t>
            </w:r>
          </w:p>
        </w:tc>
      </w:tr>
      <w:tr w:rsidR="00D8226A" w:rsidRPr="005242FE" w:rsidTr="00314352">
        <w:trPr>
          <w:trHeight w:val="260"/>
          <w:jc w:val="center"/>
        </w:trPr>
        <w:tc>
          <w:tcPr>
            <w:tcW w:w="1677" w:type="dxa"/>
            <w:noWrap/>
            <w:hideMark/>
          </w:tcPr>
          <w:p w:rsidR="00D8226A" w:rsidRPr="005242FE" w:rsidRDefault="00D8226A"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239" w:type="dxa"/>
            <w:noWrap/>
            <w:hideMark/>
          </w:tcPr>
          <w:p w:rsidR="00D8226A" w:rsidRPr="005242FE" w:rsidRDefault="00D8226A"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272" w:type="dxa"/>
            <w:noWrap/>
            <w:hideMark/>
          </w:tcPr>
          <w:p w:rsidR="00D8226A" w:rsidRPr="005242FE" w:rsidRDefault="00D8226A"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712" w:type="dxa"/>
            <w:noWrap/>
            <w:hideMark/>
          </w:tcPr>
          <w:p w:rsidR="00D8226A" w:rsidRPr="005242FE" w:rsidRDefault="00D8226A"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899" w:type="dxa"/>
            <w:gridSpan w:val="2"/>
            <w:noWrap/>
            <w:hideMark/>
          </w:tcPr>
          <w:p w:rsidR="00D8226A" w:rsidRPr="005242FE" w:rsidRDefault="00D8226A" w:rsidP="00D8226A">
            <w:pPr>
              <w:spacing w:after="0"/>
              <w:jc w:val="right"/>
              <w:rPr>
                <w:rFonts w:eastAsia="Times New Roman" w:cs="Arial"/>
                <w:color w:val="000000"/>
                <w:sz w:val="20"/>
                <w:szCs w:val="20"/>
                <w:lang w:eastAsia="en-GB"/>
              </w:rPr>
            </w:pPr>
            <w:r w:rsidRPr="005242FE">
              <w:rPr>
                <w:rFonts w:eastAsia="Times New Roman" w:cs="Arial"/>
                <w:color w:val="000000"/>
                <w:sz w:val="20"/>
                <w:szCs w:val="20"/>
                <w:lang w:eastAsia="en-GB"/>
              </w:rPr>
              <w:t> </w:t>
            </w:r>
            <w:r w:rsidRPr="005242FE">
              <w:rPr>
                <w:rFonts w:eastAsia="Times New Roman" w:cs="Arial"/>
                <w:b/>
                <w:bCs/>
                <w:color w:val="000000"/>
                <w:sz w:val="20"/>
                <w:szCs w:val="20"/>
                <w:lang w:eastAsia="en-GB"/>
              </w:rPr>
              <w:t>Total Precept</w:t>
            </w:r>
          </w:p>
        </w:tc>
        <w:tc>
          <w:tcPr>
            <w:tcW w:w="1560" w:type="dxa"/>
            <w:noWrap/>
            <w:hideMark/>
          </w:tcPr>
          <w:p w:rsidR="00D8226A" w:rsidRPr="005242FE" w:rsidRDefault="00D8226A" w:rsidP="005242FE">
            <w:pPr>
              <w:spacing w:after="0"/>
              <w:jc w:val="right"/>
              <w:rPr>
                <w:rFonts w:eastAsia="Times New Roman" w:cs="Arial"/>
                <w:b/>
                <w:bCs/>
                <w:color w:val="000000"/>
                <w:sz w:val="20"/>
                <w:szCs w:val="20"/>
                <w:lang w:eastAsia="en-GB"/>
              </w:rPr>
            </w:pPr>
            <w:r w:rsidRPr="005242FE">
              <w:rPr>
                <w:rFonts w:eastAsia="Times New Roman" w:cs="Arial"/>
                <w:b/>
                <w:bCs/>
                <w:color w:val="000000"/>
                <w:sz w:val="20"/>
                <w:szCs w:val="20"/>
                <w:lang w:eastAsia="en-GB"/>
              </w:rPr>
              <w:t>149,422,616</w:t>
            </w:r>
          </w:p>
        </w:tc>
      </w:tr>
      <w:tr w:rsidR="008E0B21" w:rsidRPr="005242FE" w:rsidTr="00314352">
        <w:trPr>
          <w:trHeight w:val="250"/>
          <w:jc w:val="center"/>
        </w:trPr>
        <w:tc>
          <w:tcPr>
            <w:tcW w:w="1677"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239"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272"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712"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340"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559" w:type="dxa"/>
            <w:noWrap/>
          </w:tcPr>
          <w:p w:rsidR="008E0B21" w:rsidRPr="005242FE" w:rsidRDefault="008E0B21" w:rsidP="005242FE">
            <w:pPr>
              <w:spacing w:after="0"/>
              <w:rPr>
                <w:rFonts w:eastAsia="Times New Roman" w:cs="Arial"/>
                <w:color w:val="000000"/>
                <w:sz w:val="20"/>
                <w:szCs w:val="20"/>
                <w:lang w:eastAsia="en-GB"/>
              </w:rPr>
            </w:pPr>
          </w:p>
        </w:tc>
        <w:tc>
          <w:tcPr>
            <w:tcW w:w="1560" w:type="dxa"/>
            <w:noWrap/>
            <w:hideMark/>
          </w:tcPr>
          <w:p w:rsidR="008E0B21" w:rsidRPr="005242FE" w:rsidRDefault="008E0B21" w:rsidP="005242FE">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r>
      <w:tr w:rsidR="00D8226A" w:rsidRPr="005242FE" w:rsidTr="00314352">
        <w:trPr>
          <w:trHeight w:val="260"/>
          <w:jc w:val="center"/>
        </w:trPr>
        <w:tc>
          <w:tcPr>
            <w:tcW w:w="1677" w:type="dxa"/>
            <w:noWrap/>
            <w:hideMark/>
          </w:tcPr>
          <w:p w:rsidR="00D8226A" w:rsidRPr="005242FE" w:rsidRDefault="00D8226A" w:rsidP="008E0B21">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239" w:type="dxa"/>
            <w:noWrap/>
            <w:hideMark/>
          </w:tcPr>
          <w:p w:rsidR="00D8226A" w:rsidRPr="005242FE" w:rsidRDefault="00D8226A" w:rsidP="008E0B21">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272" w:type="dxa"/>
            <w:noWrap/>
            <w:hideMark/>
          </w:tcPr>
          <w:p w:rsidR="00D8226A" w:rsidRPr="005242FE" w:rsidRDefault="00D8226A" w:rsidP="008E0B21">
            <w:pPr>
              <w:spacing w:after="0"/>
              <w:rPr>
                <w:rFonts w:eastAsia="Times New Roman" w:cs="Arial"/>
                <w:b/>
                <w:bCs/>
                <w:color w:val="000000"/>
                <w:sz w:val="20"/>
                <w:szCs w:val="20"/>
                <w:lang w:eastAsia="en-GB"/>
              </w:rPr>
            </w:pPr>
            <w:r w:rsidRPr="005242FE">
              <w:rPr>
                <w:rFonts w:eastAsia="Times New Roman" w:cs="Arial"/>
                <w:b/>
                <w:bCs/>
                <w:color w:val="000000"/>
                <w:sz w:val="20"/>
                <w:szCs w:val="20"/>
                <w:lang w:eastAsia="en-GB"/>
              </w:rPr>
              <w:t> </w:t>
            </w:r>
          </w:p>
        </w:tc>
        <w:tc>
          <w:tcPr>
            <w:tcW w:w="3611" w:type="dxa"/>
            <w:gridSpan w:val="3"/>
            <w:noWrap/>
            <w:hideMark/>
          </w:tcPr>
          <w:p w:rsidR="00D8226A" w:rsidRPr="005242FE" w:rsidRDefault="00D8226A" w:rsidP="00D8226A">
            <w:pPr>
              <w:spacing w:after="0"/>
              <w:jc w:val="right"/>
              <w:rPr>
                <w:rFonts w:eastAsia="Times New Roman" w:cs="Arial"/>
                <w:b/>
                <w:bCs/>
                <w:color w:val="000000"/>
                <w:sz w:val="20"/>
                <w:szCs w:val="20"/>
                <w:lang w:eastAsia="en-GB"/>
              </w:rPr>
            </w:pPr>
            <w:r w:rsidRPr="005242FE">
              <w:rPr>
                <w:rFonts w:eastAsia="Times New Roman" w:cs="Arial"/>
                <w:b/>
                <w:bCs/>
                <w:color w:val="000000"/>
                <w:sz w:val="20"/>
                <w:szCs w:val="20"/>
                <w:lang w:eastAsia="en-GB"/>
              </w:rPr>
              <w:t>  Net Precept for Band D property</w:t>
            </w:r>
          </w:p>
        </w:tc>
        <w:tc>
          <w:tcPr>
            <w:tcW w:w="1560" w:type="dxa"/>
          </w:tcPr>
          <w:p w:rsidR="00D8226A" w:rsidRPr="005242FE" w:rsidRDefault="00D8226A" w:rsidP="008E0B21">
            <w:pPr>
              <w:spacing w:after="0"/>
              <w:jc w:val="right"/>
              <w:rPr>
                <w:rFonts w:eastAsia="Times New Roman" w:cs="Arial"/>
                <w:b/>
                <w:bCs/>
                <w:color w:val="000000"/>
                <w:sz w:val="20"/>
                <w:szCs w:val="20"/>
                <w:lang w:eastAsia="en-GB"/>
              </w:rPr>
            </w:pPr>
            <w:r>
              <w:rPr>
                <w:rFonts w:eastAsia="Times New Roman" w:cs="Arial"/>
                <w:b/>
                <w:bCs/>
                <w:color w:val="000000"/>
                <w:sz w:val="20"/>
                <w:szCs w:val="20"/>
                <w:lang w:eastAsia="en-GB"/>
              </w:rPr>
              <w:t>£202.55</w:t>
            </w:r>
          </w:p>
        </w:tc>
      </w:tr>
      <w:tr w:rsidR="008E0B21" w:rsidRPr="005242FE" w:rsidTr="00314352">
        <w:trPr>
          <w:trHeight w:val="250"/>
          <w:jc w:val="center"/>
        </w:trPr>
        <w:tc>
          <w:tcPr>
            <w:tcW w:w="1677" w:type="dxa"/>
            <w:noWrap/>
            <w:hideMark/>
          </w:tcPr>
          <w:p w:rsidR="008E0B21" w:rsidRPr="005242FE" w:rsidRDefault="008E0B21" w:rsidP="008E0B21">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239" w:type="dxa"/>
            <w:noWrap/>
            <w:hideMark/>
          </w:tcPr>
          <w:p w:rsidR="008E0B21" w:rsidRPr="005242FE" w:rsidRDefault="008E0B21" w:rsidP="008E0B21">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272" w:type="dxa"/>
            <w:noWrap/>
            <w:hideMark/>
          </w:tcPr>
          <w:p w:rsidR="008E0B21" w:rsidRPr="005242FE" w:rsidRDefault="008E0B21" w:rsidP="008E0B21">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712" w:type="dxa"/>
            <w:noWrap/>
            <w:hideMark/>
          </w:tcPr>
          <w:p w:rsidR="008E0B21" w:rsidRPr="005242FE" w:rsidRDefault="008E0B21" w:rsidP="008E0B21">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340" w:type="dxa"/>
            <w:noWrap/>
            <w:hideMark/>
          </w:tcPr>
          <w:p w:rsidR="008E0B21" w:rsidRPr="005242FE" w:rsidRDefault="008E0B21" w:rsidP="008E0B21">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559" w:type="dxa"/>
            <w:noWrap/>
            <w:hideMark/>
          </w:tcPr>
          <w:p w:rsidR="008E0B21" w:rsidRPr="005242FE" w:rsidRDefault="008E0B21" w:rsidP="008E0B21">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560" w:type="dxa"/>
            <w:noWrap/>
            <w:hideMark/>
          </w:tcPr>
          <w:p w:rsidR="008E0B21" w:rsidRPr="005242FE" w:rsidRDefault="008E0B21" w:rsidP="008E0B21">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r>
      <w:tr w:rsidR="008E0B21" w:rsidRPr="005242FE" w:rsidTr="00314352">
        <w:trPr>
          <w:trHeight w:val="260"/>
          <w:jc w:val="center"/>
        </w:trPr>
        <w:tc>
          <w:tcPr>
            <w:tcW w:w="1677" w:type="dxa"/>
            <w:noWrap/>
            <w:hideMark/>
          </w:tcPr>
          <w:p w:rsidR="008E0B21" w:rsidRPr="005242FE" w:rsidRDefault="008E0B21" w:rsidP="008E0B21">
            <w:pPr>
              <w:spacing w:after="0"/>
              <w:rPr>
                <w:rFonts w:eastAsia="Times New Roman" w:cs="Arial"/>
                <w:b/>
                <w:bCs/>
                <w:color w:val="000000"/>
                <w:sz w:val="20"/>
                <w:szCs w:val="20"/>
                <w:lang w:eastAsia="en-GB"/>
              </w:rPr>
            </w:pPr>
            <w:r w:rsidRPr="005242FE">
              <w:rPr>
                <w:rFonts w:eastAsia="Times New Roman" w:cs="Arial"/>
                <w:b/>
                <w:bCs/>
                <w:color w:val="000000"/>
                <w:sz w:val="20"/>
                <w:szCs w:val="20"/>
                <w:lang w:eastAsia="en-GB"/>
              </w:rPr>
              <w:t> </w:t>
            </w:r>
          </w:p>
        </w:tc>
        <w:tc>
          <w:tcPr>
            <w:tcW w:w="1239" w:type="dxa"/>
            <w:noWrap/>
            <w:hideMark/>
          </w:tcPr>
          <w:p w:rsidR="008E0B21" w:rsidRPr="005242FE" w:rsidRDefault="008E0B21" w:rsidP="008E0B21">
            <w:pPr>
              <w:spacing w:after="0"/>
              <w:jc w:val="center"/>
              <w:rPr>
                <w:rFonts w:eastAsia="Times New Roman" w:cs="Arial"/>
                <w:b/>
                <w:bCs/>
                <w:color w:val="000000"/>
                <w:sz w:val="20"/>
                <w:szCs w:val="20"/>
                <w:lang w:eastAsia="en-GB"/>
              </w:rPr>
            </w:pPr>
            <w:r w:rsidRPr="005242FE">
              <w:rPr>
                <w:rFonts w:eastAsia="Times New Roman" w:cs="Arial"/>
                <w:b/>
                <w:bCs/>
                <w:color w:val="000000"/>
                <w:sz w:val="20"/>
                <w:szCs w:val="20"/>
                <w:lang w:eastAsia="en-GB"/>
              </w:rPr>
              <w:t>Proportion</w:t>
            </w:r>
          </w:p>
        </w:tc>
        <w:tc>
          <w:tcPr>
            <w:tcW w:w="272" w:type="dxa"/>
            <w:noWrap/>
            <w:hideMark/>
          </w:tcPr>
          <w:p w:rsidR="008E0B21" w:rsidRPr="005242FE" w:rsidRDefault="008E0B21" w:rsidP="008E0B21">
            <w:pPr>
              <w:spacing w:after="0"/>
              <w:jc w:val="center"/>
              <w:rPr>
                <w:rFonts w:eastAsia="Times New Roman" w:cs="Arial"/>
                <w:b/>
                <w:bCs/>
                <w:color w:val="000000"/>
                <w:sz w:val="20"/>
                <w:szCs w:val="20"/>
                <w:lang w:eastAsia="en-GB"/>
              </w:rPr>
            </w:pPr>
            <w:r w:rsidRPr="005242FE">
              <w:rPr>
                <w:rFonts w:eastAsia="Times New Roman" w:cs="Arial"/>
                <w:b/>
                <w:bCs/>
                <w:color w:val="000000"/>
                <w:sz w:val="20"/>
                <w:szCs w:val="20"/>
                <w:lang w:eastAsia="en-GB"/>
              </w:rPr>
              <w:t> </w:t>
            </w:r>
          </w:p>
        </w:tc>
        <w:tc>
          <w:tcPr>
            <w:tcW w:w="1712" w:type="dxa"/>
            <w:noWrap/>
            <w:hideMark/>
          </w:tcPr>
          <w:p w:rsidR="008E0B21" w:rsidRPr="005242FE" w:rsidRDefault="008E0B21" w:rsidP="008E0B21">
            <w:pPr>
              <w:spacing w:after="0"/>
              <w:jc w:val="center"/>
              <w:rPr>
                <w:rFonts w:eastAsia="Times New Roman" w:cs="Arial"/>
                <w:b/>
                <w:bCs/>
                <w:color w:val="000000"/>
                <w:sz w:val="20"/>
                <w:szCs w:val="20"/>
                <w:lang w:eastAsia="en-GB"/>
              </w:rPr>
            </w:pPr>
            <w:r w:rsidRPr="005242FE">
              <w:rPr>
                <w:rFonts w:eastAsia="Times New Roman" w:cs="Arial"/>
                <w:b/>
                <w:bCs/>
                <w:color w:val="000000"/>
                <w:sz w:val="20"/>
                <w:szCs w:val="20"/>
                <w:lang w:eastAsia="en-GB"/>
              </w:rPr>
              <w:t xml:space="preserve">Calculated </w:t>
            </w:r>
          </w:p>
        </w:tc>
        <w:tc>
          <w:tcPr>
            <w:tcW w:w="340" w:type="dxa"/>
            <w:noWrap/>
            <w:hideMark/>
          </w:tcPr>
          <w:p w:rsidR="008E0B21" w:rsidRPr="005242FE" w:rsidRDefault="008E0B21" w:rsidP="008E0B21">
            <w:pPr>
              <w:spacing w:after="0"/>
              <w:jc w:val="center"/>
              <w:rPr>
                <w:rFonts w:eastAsia="Times New Roman" w:cs="Arial"/>
                <w:b/>
                <w:bCs/>
                <w:color w:val="000000"/>
                <w:sz w:val="20"/>
                <w:szCs w:val="20"/>
                <w:lang w:eastAsia="en-GB"/>
              </w:rPr>
            </w:pPr>
            <w:r w:rsidRPr="005242FE">
              <w:rPr>
                <w:rFonts w:eastAsia="Times New Roman" w:cs="Arial"/>
                <w:b/>
                <w:bCs/>
                <w:color w:val="000000"/>
                <w:sz w:val="20"/>
                <w:szCs w:val="20"/>
                <w:lang w:eastAsia="en-GB"/>
              </w:rPr>
              <w:t> </w:t>
            </w:r>
          </w:p>
        </w:tc>
        <w:tc>
          <w:tcPr>
            <w:tcW w:w="1559" w:type="dxa"/>
            <w:noWrap/>
            <w:hideMark/>
          </w:tcPr>
          <w:p w:rsidR="008E0B21" w:rsidRPr="005242FE" w:rsidRDefault="008E0B21" w:rsidP="008E0B21">
            <w:pPr>
              <w:spacing w:after="0"/>
              <w:jc w:val="center"/>
              <w:rPr>
                <w:rFonts w:eastAsia="Times New Roman" w:cs="Arial"/>
                <w:b/>
                <w:bCs/>
                <w:color w:val="000000"/>
                <w:sz w:val="20"/>
                <w:szCs w:val="20"/>
                <w:lang w:eastAsia="en-GB"/>
              </w:rPr>
            </w:pPr>
            <w:r w:rsidRPr="005242FE">
              <w:rPr>
                <w:rFonts w:eastAsia="Times New Roman" w:cs="Arial"/>
                <w:b/>
                <w:bCs/>
                <w:color w:val="000000"/>
                <w:sz w:val="20"/>
                <w:szCs w:val="20"/>
                <w:lang w:eastAsia="en-GB"/>
              </w:rPr>
              <w:t xml:space="preserve">Rounded </w:t>
            </w:r>
          </w:p>
        </w:tc>
        <w:tc>
          <w:tcPr>
            <w:tcW w:w="1560" w:type="dxa"/>
            <w:noWrap/>
            <w:hideMark/>
          </w:tcPr>
          <w:p w:rsidR="008E0B21" w:rsidRPr="005242FE" w:rsidRDefault="008E0B21" w:rsidP="008E0B21">
            <w:pPr>
              <w:spacing w:after="0"/>
              <w:rPr>
                <w:rFonts w:eastAsia="Times New Roman" w:cs="Arial"/>
                <w:b/>
                <w:bCs/>
                <w:color w:val="000000"/>
                <w:sz w:val="20"/>
                <w:szCs w:val="20"/>
                <w:lang w:eastAsia="en-GB"/>
              </w:rPr>
            </w:pPr>
            <w:r w:rsidRPr="005242FE">
              <w:rPr>
                <w:rFonts w:eastAsia="Times New Roman" w:cs="Arial"/>
                <w:b/>
                <w:bCs/>
                <w:color w:val="000000"/>
                <w:sz w:val="20"/>
                <w:szCs w:val="20"/>
                <w:lang w:eastAsia="en-GB"/>
              </w:rPr>
              <w:t> </w:t>
            </w:r>
          </w:p>
        </w:tc>
      </w:tr>
      <w:tr w:rsidR="008E0B21" w:rsidRPr="005242FE" w:rsidTr="00314352">
        <w:trPr>
          <w:trHeight w:val="260"/>
          <w:jc w:val="center"/>
        </w:trPr>
        <w:tc>
          <w:tcPr>
            <w:tcW w:w="1677" w:type="dxa"/>
            <w:noWrap/>
            <w:hideMark/>
          </w:tcPr>
          <w:p w:rsidR="008E0B21" w:rsidRPr="005242FE" w:rsidRDefault="008E0B21" w:rsidP="008E0B21">
            <w:pPr>
              <w:spacing w:after="0"/>
              <w:rPr>
                <w:rFonts w:eastAsia="Times New Roman" w:cs="Arial"/>
                <w:b/>
                <w:bCs/>
                <w:color w:val="000000"/>
                <w:sz w:val="20"/>
                <w:szCs w:val="20"/>
                <w:lang w:eastAsia="en-GB"/>
              </w:rPr>
            </w:pPr>
            <w:r w:rsidRPr="005242FE">
              <w:rPr>
                <w:rFonts w:eastAsia="Times New Roman" w:cs="Arial"/>
                <w:b/>
                <w:bCs/>
                <w:color w:val="000000"/>
                <w:sz w:val="20"/>
                <w:szCs w:val="20"/>
                <w:lang w:eastAsia="en-GB"/>
              </w:rPr>
              <w:t> </w:t>
            </w:r>
          </w:p>
        </w:tc>
        <w:tc>
          <w:tcPr>
            <w:tcW w:w="1239" w:type="dxa"/>
            <w:noWrap/>
            <w:hideMark/>
          </w:tcPr>
          <w:p w:rsidR="008E0B21" w:rsidRPr="005242FE" w:rsidRDefault="008E0B21" w:rsidP="008E0B21">
            <w:pPr>
              <w:spacing w:after="0"/>
              <w:jc w:val="center"/>
              <w:rPr>
                <w:rFonts w:eastAsia="Times New Roman" w:cs="Arial"/>
                <w:b/>
                <w:bCs/>
                <w:color w:val="000000"/>
                <w:sz w:val="20"/>
                <w:szCs w:val="20"/>
                <w:lang w:eastAsia="en-GB"/>
              </w:rPr>
            </w:pPr>
            <w:r w:rsidRPr="005242FE">
              <w:rPr>
                <w:rFonts w:eastAsia="Times New Roman" w:cs="Arial"/>
                <w:b/>
                <w:bCs/>
                <w:color w:val="000000"/>
                <w:sz w:val="20"/>
                <w:szCs w:val="20"/>
                <w:lang w:eastAsia="en-GB"/>
              </w:rPr>
              <w:t>of Band D</w:t>
            </w:r>
          </w:p>
        </w:tc>
        <w:tc>
          <w:tcPr>
            <w:tcW w:w="272" w:type="dxa"/>
            <w:noWrap/>
            <w:hideMark/>
          </w:tcPr>
          <w:p w:rsidR="008E0B21" w:rsidRPr="005242FE" w:rsidRDefault="008E0B21" w:rsidP="008E0B21">
            <w:pPr>
              <w:spacing w:after="0"/>
              <w:jc w:val="center"/>
              <w:rPr>
                <w:rFonts w:eastAsia="Times New Roman" w:cs="Arial"/>
                <w:b/>
                <w:bCs/>
                <w:color w:val="000000"/>
                <w:sz w:val="20"/>
                <w:szCs w:val="20"/>
                <w:lang w:eastAsia="en-GB"/>
              </w:rPr>
            </w:pPr>
            <w:r w:rsidRPr="005242FE">
              <w:rPr>
                <w:rFonts w:eastAsia="Times New Roman" w:cs="Arial"/>
                <w:b/>
                <w:bCs/>
                <w:color w:val="000000"/>
                <w:sz w:val="20"/>
                <w:szCs w:val="20"/>
                <w:lang w:eastAsia="en-GB"/>
              </w:rPr>
              <w:t> </w:t>
            </w:r>
          </w:p>
        </w:tc>
        <w:tc>
          <w:tcPr>
            <w:tcW w:w="1712" w:type="dxa"/>
            <w:noWrap/>
            <w:hideMark/>
          </w:tcPr>
          <w:p w:rsidR="008E0B21" w:rsidRPr="005242FE" w:rsidRDefault="008E0B21" w:rsidP="008E0B21">
            <w:pPr>
              <w:spacing w:after="0"/>
              <w:jc w:val="center"/>
              <w:rPr>
                <w:rFonts w:eastAsia="Times New Roman" w:cs="Arial"/>
                <w:b/>
                <w:bCs/>
                <w:color w:val="000000"/>
                <w:sz w:val="20"/>
                <w:szCs w:val="20"/>
                <w:lang w:eastAsia="en-GB"/>
              </w:rPr>
            </w:pPr>
            <w:r w:rsidRPr="005242FE">
              <w:rPr>
                <w:rFonts w:eastAsia="Times New Roman" w:cs="Arial"/>
                <w:b/>
                <w:bCs/>
                <w:color w:val="000000"/>
                <w:sz w:val="20"/>
                <w:szCs w:val="20"/>
                <w:lang w:eastAsia="en-GB"/>
              </w:rPr>
              <w:t>Value</w:t>
            </w:r>
          </w:p>
        </w:tc>
        <w:tc>
          <w:tcPr>
            <w:tcW w:w="340" w:type="dxa"/>
            <w:noWrap/>
            <w:hideMark/>
          </w:tcPr>
          <w:p w:rsidR="008E0B21" w:rsidRPr="005242FE" w:rsidRDefault="008E0B21" w:rsidP="008E0B21">
            <w:pPr>
              <w:spacing w:after="0"/>
              <w:jc w:val="center"/>
              <w:rPr>
                <w:rFonts w:eastAsia="Times New Roman" w:cs="Arial"/>
                <w:b/>
                <w:bCs/>
                <w:color w:val="000000"/>
                <w:sz w:val="20"/>
                <w:szCs w:val="20"/>
                <w:lang w:eastAsia="en-GB"/>
              </w:rPr>
            </w:pPr>
            <w:r w:rsidRPr="005242FE">
              <w:rPr>
                <w:rFonts w:eastAsia="Times New Roman" w:cs="Arial"/>
                <w:b/>
                <w:bCs/>
                <w:color w:val="000000"/>
                <w:sz w:val="20"/>
                <w:szCs w:val="20"/>
                <w:lang w:eastAsia="en-GB"/>
              </w:rPr>
              <w:t> </w:t>
            </w:r>
          </w:p>
        </w:tc>
        <w:tc>
          <w:tcPr>
            <w:tcW w:w="1559" w:type="dxa"/>
            <w:noWrap/>
            <w:hideMark/>
          </w:tcPr>
          <w:p w:rsidR="008E0B21" w:rsidRPr="005242FE" w:rsidRDefault="008E0B21" w:rsidP="008E0B21">
            <w:pPr>
              <w:spacing w:after="0"/>
              <w:jc w:val="center"/>
              <w:rPr>
                <w:rFonts w:eastAsia="Times New Roman" w:cs="Arial"/>
                <w:b/>
                <w:bCs/>
                <w:color w:val="000000"/>
                <w:sz w:val="20"/>
                <w:szCs w:val="20"/>
                <w:lang w:eastAsia="en-GB"/>
              </w:rPr>
            </w:pPr>
            <w:r w:rsidRPr="005242FE">
              <w:rPr>
                <w:rFonts w:eastAsia="Times New Roman" w:cs="Arial"/>
                <w:b/>
                <w:bCs/>
                <w:color w:val="000000"/>
                <w:sz w:val="20"/>
                <w:szCs w:val="20"/>
                <w:lang w:eastAsia="en-GB"/>
              </w:rPr>
              <w:t>Value</w:t>
            </w:r>
          </w:p>
        </w:tc>
        <w:tc>
          <w:tcPr>
            <w:tcW w:w="1560" w:type="dxa"/>
            <w:noWrap/>
            <w:hideMark/>
          </w:tcPr>
          <w:p w:rsidR="008E0B21" w:rsidRPr="005242FE" w:rsidRDefault="008E0B21" w:rsidP="008E0B21">
            <w:pPr>
              <w:spacing w:after="0"/>
              <w:rPr>
                <w:rFonts w:eastAsia="Times New Roman" w:cs="Arial"/>
                <w:b/>
                <w:bCs/>
                <w:color w:val="000000"/>
                <w:sz w:val="20"/>
                <w:szCs w:val="20"/>
                <w:lang w:eastAsia="en-GB"/>
              </w:rPr>
            </w:pPr>
            <w:r w:rsidRPr="005242FE">
              <w:rPr>
                <w:rFonts w:eastAsia="Times New Roman" w:cs="Arial"/>
                <w:b/>
                <w:bCs/>
                <w:color w:val="000000"/>
                <w:sz w:val="20"/>
                <w:szCs w:val="20"/>
                <w:lang w:eastAsia="en-GB"/>
              </w:rPr>
              <w:t> </w:t>
            </w:r>
          </w:p>
        </w:tc>
      </w:tr>
      <w:tr w:rsidR="008E0B21" w:rsidRPr="005242FE" w:rsidTr="00314352">
        <w:trPr>
          <w:trHeight w:val="260"/>
          <w:jc w:val="center"/>
        </w:trPr>
        <w:tc>
          <w:tcPr>
            <w:tcW w:w="1677" w:type="dxa"/>
            <w:noWrap/>
            <w:hideMark/>
          </w:tcPr>
          <w:p w:rsidR="008E0B21" w:rsidRPr="005242FE" w:rsidRDefault="008E0B21" w:rsidP="008E0B21">
            <w:pPr>
              <w:spacing w:after="0"/>
              <w:rPr>
                <w:rFonts w:eastAsia="Times New Roman" w:cs="Arial"/>
                <w:b/>
                <w:bCs/>
                <w:color w:val="000000"/>
                <w:sz w:val="20"/>
                <w:szCs w:val="20"/>
                <w:lang w:eastAsia="en-GB"/>
              </w:rPr>
            </w:pPr>
            <w:r w:rsidRPr="005242FE">
              <w:rPr>
                <w:rFonts w:eastAsia="Times New Roman" w:cs="Arial"/>
                <w:b/>
                <w:bCs/>
                <w:color w:val="000000"/>
                <w:sz w:val="20"/>
                <w:szCs w:val="20"/>
                <w:lang w:eastAsia="en-GB"/>
              </w:rPr>
              <w:t> </w:t>
            </w:r>
          </w:p>
        </w:tc>
        <w:tc>
          <w:tcPr>
            <w:tcW w:w="1239" w:type="dxa"/>
            <w:noWrap/>
            <w:hideMark/>
          </w:tcPr>
          <w:p w:rsidR="008E0B21" w:rsidRPr="005242FE" w:rsidRDefault="008E0B21" w:rsidP="008E0B21">
            <w:pPr>
              <w:spacing w:after="0"/>
              <w:jc w:val="center"/>
              <w:rPr>
                <w:rFonts w:eastAsia="Times New Roman" w:cs="Arial"/>
                <w:b/>
                <w:bCs/>
                <w:color w:val="000000"/>
                <w:sz w:val="20"/>
                <w:szCs w:val="20"/>
                <w:lang w:eastAsia="en-GB"/>
              </w:rPr>
            </w:pPr>
            <w:r w:rsidRPr="005242FE">
              <w:rPr>
                <w:rFonts w:eastAsia="Times New Roman" w:cs="Arial"/>
                <w:b/>
                <w:bCs/>
                <w:color w:val="000000"/>
                <w:sz w:val="20"/>
                <w:szCs w:val="20"/>
                <w:lang w:eastAsia="en-GB"/>
              </w:rPr>
              <w:t>£</w:t>
            </w:r>
          </w:p>
        </w:tc>
        <w:tc>
          <w:tcPr>
            <w:tcW w:w="272" w:type="dxa"/>
            <w:noWrap/>
            <w:hideMark/>
          </w:tcPr>
          <w:p w:rsidR="008E0B21" w:rsidRPr="005242FE" w:rsidRDefault="008E0B21" w:rsidP="008E0B21">
            <w:pPr>
              <w:spacing w:after="0"/>
              <w:jc w:val="center"/>
              <w:rPr>
                <w:rFonts w:eastAsia="Times New Roman" w:cs="Arial"/>
                <w:b/>
                <w:bCs/>
                <w:color w:val="000000"/>
                <w:sz w:val="20"/>
                <w:szCs w:val="20"/>
                <w:lang w:eastAsia="en-GB"/>
              </w:rPr>
            </w:pPr>
            <w:r w:rsidRPr="005242FE">
              <w:rPr>
                <w:rFonts w:eastAsia="Times New Roman" w:cs="Arial"/>
                <w:b/>
                <w:bCs/>
                <w:color w:val="000000"/>
                <w:sz w:val="20"/>
                <w:szCs w:val="20"/>
                <w:lang w:eastAsia="en-GB"/>
              </w:rPr>
              <w:t> </w:t>
            </w:r>
          </w:p>
        </w:tc>
        <w:tc>
          <w:tcPr>
            <w:tcW w:w="1712" w:type="dxa"/>
            <w:noWrap/>
            <w:hideMark/>
          </w:tcPr>
          <w:p w:rsidR="008E0B21" w:rsidRPr="005242FE" w:rsidRDefault="008E0B21" w:rsidP="008E0B21">
            <w:pPr>
              <w:spacing w:after="0"/>
              <w:jc w:val="center"/>
              <w:rPr>
                <w:rFonts w:eastAsia="Times New Roman" w:cs="Arial"/>
                <w:b/>
                <w:bCs/>
                <w:color w:val="000000"/>
                <w:sz w:val="20"/>
                <w:szCs w:val="20"/>
                <w:lang w:eastAsia="en-GB"/>
              </w:rPr>
            </w:pPr>
            <w:r w:rsidRPr="005242FE">
              <w:rPr>
                <w:rFonts w:eastAsia="Times New Roman" w:cs="Arial"/>
                <w:b/>
                <w:bCs/>
                <w:color w:val="000000"/>
                <w:sz w:val="20"/>
                <w:szCs w:val="20"/>
                <w:lang w:eastAsia="en-GB"/>
              </w:rPr>
              <w:t>£</w:t>
            </w:r>
          </w:p>
        </w:tc>
        <w:tc>
          <w:tcPr>
            <w:tcW w:w="340" w:type="dxa"/>
            <w:noWrap/>
            <w:hideMark/>
          </w:tcPr>
          <w:p w:rsidR="008E0B21" w:rsidRPr="005242FE" w:rsidRDefault="008E0B21" w:rsidP="008E0B21">
            <w:pPr>
              <w:spacing w:after="0"/>
              <w:jc w:val="center"/>
              <w:rPr>
                <w:rFonts w:eastAsia="Times New Roman" w:cs="Arial"/>
                <w:b/>
                <w:bCs/>
                <w:color w:val="000000"/>
                <w:sz w:val="20"/>
                <w:szCs w:val="20"/>
                <w:lang w:eastAsia="en-GB"/>
              </w:rPr>
            </w:pPr>
            <w:r w:rsidRPr="005242FE">
              <w:rPr>
                <w:rFonts w:eastAsia="Times New Roman" w:cs="Arial"/>
                <w:b/>
                <w:bCs/>
                <w:color w:val="000000"/>
                <w:sz w:val="20"/>
                <w:szCs w:val="20"/>
                <w:lang w:eastAsia="en-GB"/>
              </w:rPr>
              <w:t> </w:t>
            </w:r>
          </w:p>
        </w:tc>
        <w:tc>
          <w:tcPr>
            <w:tcW w:w="1559" w:type="dxa"/>
            <w:noWrap/>
            <w:hideMark/>
          </w:tcPr>
          <w:p w:rsidR="008E0B21" w:rsidRPr="005242FE" w:rsidRDefault="008E0B21" w:rsidP="008E0B21">
            <w:pPr>
              <w:spacing w:after="0"/>
              <w:jc w:val="center"/>
              <w:rPr>
                <w:rFonts w:eastAsia="Times New Roman" w:cs="Arial"/>
                <w:b/>
                <w:bCs/>
                <w:color w:val="000000"/>
                <w:sz w:val="20"/>
                <w:szCs w:val="20"/>
                <w:lang w:eastAsia="en-GB"/>
              </w:rPr>
            </w:pPr>
            <w:r w:rsidRPr="005242FE">
              <w:rPr>
                <w:rFonts w:eastAsia="Times New Roman" w:cs="Arial"/>
                <w:b/>
                <w:bCs/>
                <w:color w:val="000000"/>
                <w:sz w:val="20"/>
                <w:szCs w:val="20"/>
                <w:lang w:eastAsia="en-GB"/>
              </w:rPr>
              <w:t>£</w:t>
            </w:r>
          </w:p>
        </w:tc>
        <w:tc>
          <w:tcPr>
            <w:tcW w:w="1560" w:type="dxa"/>
            <w:noWrap/>
            <w:hideMark/>
          </w:tcPr>
          <w:p w:rsidR="008E0B21" w:rsidRPr="005242FE" w:rsidRDefault="008E0B21" w:rsidP="008E0B21">
            <w:pPr>
              <w:spacing w:after="0"/>
              <w:rPr>
                <w:rFonts w:eastAsia="Times New Roman" w:cs="Arial"/>
                <w:b/>
                <w:bCs/>
                <w:color w:val="000000"/>
                <w:sz w:val="20"/>
                <w:szCs w:val="20"/>
                <w:lang w:eastAsia="en-GB"/>
              </w:rPr>
            </w:pPr>
            <w:r w:rsidRPr="005242FE">
              <w:rPr>
                <w:rFonts w:eastAsia="Times New Roman" w:cs="Arial"/>
                <w:b/>
                <w:bCs/>
                <w:color w:val="000000"/>
                <w:sz w:val="20"/>
                <w:szCs w:val="20"/>
                <w:lang w:eastAsia="en-GB"/>
              </w:rPr>
              <w:t> </w:t>
            </w:r>
          </w:p>
        </w:tc>
      </w:tr>
      <w:tr w:rsidR="008E0B21" w:rsidRPr="005242FE" w:rsidTr="00314352">
        <w:trPr>
          <w:trHeight w:val="250"/>
          <w:jc w:val="center"/>
        </w:trPr>
        <w:tc>
          <w:tcPr>
            <w:tcW w:w="1677" w:type="dxa"/>
            <w:noWrap/>
            <w:hideMark/>
          </w:tcPr>
          <w:p w:rsidR="008E0B21" w:rsidRPr="005242FE" w:rsidRDefault="008E0B21" w:rsidP="008E0B21">
            <w:pPr>
              <w:spacing w:after="0"/>
              <w:rPr>
                <w:rFonts w:eastAsia="Times New Roman" w:cs="Arial"/>
                <w:color w:val="000000"/>
                <w:sz w:val="20"/>
                <w:szCs w:val="20"/>
                <w:lang w:eastAsia="en-GB"/>
              </w:rPr>
            </w:pPr>
            <w:r w:rsidRPr="005242FE">
              <w:rPr>
                <w:rFonts w:eastAsia="Times New Roman" w:cs="Arial"/>
                <w:color w:val="000000"/>
                <w:sz w:val="20"/>
                <w:szCs w:val="20"/>
                <w:lang w:eastAsia="en-GB"/>
              </w:rPr>
              <w:t>Band A</w:t>
            </w:r>
          </w:p>
        </w:tc>
        <w:tc>
          <w:tcPr>
            <w:tcW w:w="1239" w:type="dxa"/>
            <w:noWrap/>
            <w:hideMark/>
          </w:tcPr>
          <w:p w:rsidR="008E0B21" w:rsidRPr="005242FE" w:rsidRDefault="008E0B21" w:rsidP="008E0B21">
            <w:pPr>
              <w:spacing w:after="0"/>
              <w:jc w:val="center"/>
              <w:rPr>
                <w:rFonts w:eastAsia="Times New Roman" w:cs="Arial"/>
                <w:color w:val="000000"/>
                <w:sz w:val="20"/>
                <w:szCs w:val="20"/>
                <w:lang w:eastAsia="en-GB"/>
              </w:rPr>
            </w:pPr>
            <w:r w:rsidRPr="005242FE">
              <w:rPr>
                <w:rFonts w:eastAsia="Times New Roman" w:cs="Arial"/>
                <w:color w:val="000000"/>
                <w:sz w:val="20"/>
                <w:szCs w:val="20"/>
                <w:lang w:eastAsia="en-GB"/>
              </w:rPr>
              <w:t>6/9</w:t>
            </w:r>
          </w:p>
        </w:tc>
        <w:tc>
          <w:tcPr>
            <w:tcW w:w="272" w:type="dxa"/>
            <w:noWrap/>
            <w:hideMark/>
          </w:tcPr>
          <w:p w:rsidR="008E0B21" w:rsidRPr="005242FE" w:rsidRDefault="008E0B21" w:rsidP="008E0B21">
            <w:pPr>
              <w:spacing w:after="0"/>
              <w:jc w:val="center"/>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712" w:type="dxa"/>
            <w:noWrap/>
            <w:hideMark/>
          </w:tcPr>
          <w:p w:rsidR="008E0B21" w:rsidRPr="005242FE" w:rsidRDefault="008E0B21" w:rsidP="008E0B21">
            <w:pPr>
              <w:spacing w:after="0"/>
              <w:jc w:val="center"/>
              <w:rPr>
                <w:rFonts w:eastAsia="Times New Roman" w:cs="Arial"/>
                <w:color w:val="000000"/>
                <w:sz w:val="20"/>
                <w:szCs w:val="20"/>
                <w:lang w:eastAsia="en-GB"/>
              </w:rPr>
            </w:pPr>
            <w:r w:rsidRPr="005242FE">
              <w:rPr>
                <w:rFonts w:eastAsia="Times New Roman" w:cs="Arial"/>
                <w:color w:val="000000"/>
                <w:sz w:val="20"/>
                <w:szCs w:val="20"/>
                <w:lang w:eastAsia="en-GB"/>
              </w:rPr>
              <w:t>135.0333</w:t>
            </w:r>
          </w:p>
        </w:tc>
        <w:tc>
          <w:tcPr>
            <w:tcW w:w="340" w:type="dxa"/>
            <w:noWrap/>
            <w:hideMark/>
          </w:tcPr>
          <w:p w:rsidR="008E0B21" w:rsidRPr="005242FE" w:rsidRDefault="008E0B21" w:rsidP="008E0B21">
            <w:pPr>
              <w:spacing w:after="0"/>
              <w:jc w:val="center"/>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559" w:type="dxa"/>
            <w:noWrap/>
            <w:hideMark/>
          </w:tcPr>
          <w:p w:rsidR="008E0B21" w:rsidRPr="005242FE" w:rsidRDefault="008E0B21" w:rsidP="008E0B21">
            <w:pPr>
              <w:spacing w:after="0"/>
              <w:jc w:val="center"/>
              <w:rPr>
                <w:rFonts w:eastAsia="Times New Roman" w:cs="Arial"/>
                <w:color w:val="000000"/>
                <w:sz w:val="20"/>
                <w:szCs w:val="20"/>
                <w:lang w:eastAsia="en-GB"/>
              </w:rPr>
            </w:pPr>
            <w:r w:rsidRPr="005242FE">
              <w:rPr>
                <w:rFonts w:eastAsia="Times New Roman" w:cs="Arial"/>
                <w:color w:val="000000"/>
                <w:sz w:val="20"/>
                <w:szCs w:val="20"/>
                <w:lang w:eastAsia="en-GB"/>
              </w:rPr>
              <w:t>135.03</w:t>
            </w:r>
          </w:p>
        </w:tc>
        <w:tc>
          <w:tcPr>
            <w:tcW w:w="1560" w:type="dxa"/>
            <w:noWrap/>
            <w:hideMark/>
          </w:tcPr>
          <w:p w:rsidR="008E0B21" w:rsidRPr="005242FE" w:rsidRDefault="008E0B21" w:rsidP="008E0B21">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r>
      <w:tr w:rsidR="008E0B21" w:rsidRPr="005242FE" w:rsidTr="00314352">
        <w:trPr>
          <w:trHeight w:val="250"/>
          <w:jc w:val="center"/>
        </w:trPr>
        <w:tc>
          <w:tcPr>
            <w:tcW w:w="1677" w:type="dxa"/>
            <w:noWrap/>
            <w:hideMark/>
          </w:tcPr>
          <w:p w:rsidR="008E0B21" w:rsidRPr="005242FE" w:rsidRDefault="008E0B21" w:rsidP="008E0B21">
            <w:pPr>
              <w:spacing w:after="0"/>
              <w:rPr>
                <w:rFonts w:eastAsia="Times New Roman" w:cs="Arial"/>
                <w:color w:val="000000"/>
                <w:sz w:val="20"/>
                <w:szCs w:val="20"/>
                <w:lang w:eastAsia="en-GB"/>
              </w:rPr>
            </w:pPr>
            <w:r w:rsidRPr="005242FE">
              <w:rPr>
                <w:rFonts w:eastAsia="Times New Roman" w:cs="Arial"/>
                <w:color w:val="000000"/>
                <w:sz w:val="20"/>
                <w:szCs w:val="20"/>
                <w:lang w:eastAsia="en-GB"/>
              </w:rPr>
              <w:t>Band B</w:t>
            </w:r>
          </w:p>
        </w:tc>
        <w:tc>
          <w:tcPr>
            <w:tcW w:w="1239" w:type="dxa"/>
            <w:noWrap/>
            <w:hideMark/>
          </w:tcPr>
          <w:p w:rsidR="008E0B21" w:rsidRPr="005242FE" w:rsidRDefault="008E0B21" w:rsidP="008E0B21">
            <w:pPr>
              <w:spacing w:after="0"/>
              <w:jc w:val="center"/>
              <w:rPr>
                <w:rFonts w:eastAsia="Times New Roman" w:cs="Arial"/>
                <w:color w:val="000000"/>
                <w:sz w:val="20"/>
                <w:szCs w:val="20"/>
                <w:lang w:eastAsia="en-GB"/>
              </w:rPr>
            </w:pPr>
            <w:r w:rsidRPr="005242FE">
              <w:rPr>
                <w:rFonts w:eastAsia="Times New Roman" w:cs="Arial"/>
                <w:color w:val="000000"/>
                <w:sz w:val="20"/>
                <w:szCs w:val="20"/>
                <w:lang w:eastAsia="en-GB"/>
              </w:rPr>
              <w:t>7/9</w:t>
            </w:r>
          </w:p>
        </w:tc>
        <w:tc>
          <w:tcPr>
            <w:tcW w:w="272" w:type="dxa"/>
            <w:noWrap/>
            <w:hideMark/>
          </w:tcPr>
          <w:p w:rsidR="008E0B21" w:rsidRPr="005242FE" w:rsidRDefault="008E0B21" w:rsidP="008E0B21">
            <w:pPr>
              <w:spacing w:after="0"/>
              <w:jc w:val="center"/>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712" w:type="dxa"/>
            <w:noWrap/>
            <w:hideMark/>
          </w:tcPr>
          <w:p w:rsidR="008E0B21" w:rsidRPr="005242FE" w:rsidRDefault="008E0B21" w:rsidP="008E0B21">
            <w:pPr>
              <w:spacing w:after="0"/>
              <w:jc w:val="center"/>
              <w:rPr>
                <w:rFonts w:eastAsia="Times New Roman" w:cs="Arial"/>
                <w:color w:val="000000"/>
                <w:sz w:val="20"/>
                <w:szCs w:val="20"/>
                <w:lang w:eastAsia="en-GB"/>
              </w:rPr>
            </w:pPr>
            <w:r w:rsidRPr="005242FE">
              <w:rPr>
                <w:rFonts w:eastAsia="Times New Roman" w:cs="Arial"/>
                <w:color w:val="000000"/>
                <w:sz w:val="20"/>
                <w:szCs w:val="20"/>
                <w:lang w:eastAsia="en-GB"/>
              </w:rPr>
              <w:t>157.5389</w:t>
            </w:r>
          </w:p>
        </w:tc>
        <w:tc>
          <w:tcPr>
            <w:tcW w:w="340" w:type="dxa"/>
            <w:noWrap/>
            <w:hideMark/>
          </w:tcPr>
          <w:p w:rsidR="008E0B21" w:rsidRPr="005242FE" w:rsidRDefault="008E0B21" w:rsidP="008E0B21">
            <w:pPr>
              <w:spacing w:after="0"/>
              <w:jc w:val="center"/>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559" w:type="dxa"/>
            <w:noWrap/>
            <w:hideMark/>
          </w:tcPr>
          <w:p w:rsidR="008E0B21" w:rsidRPr="005242FE" w:rsidRDefault="008E0B21" w:rsidP="008E0B21">
            <w:pPr>
              <w:spacing w:after="0"/>
              <w:jc w:val="center"/>
              <w:rPr>
                <w:rFonts w:eastAsia="Times New Roman" w:cs="Arial"/>
                <w:color w:val="000000"/>
                <w:sz w:val="20"/>
                <w:szCs w:val="20"/>
                <w:lang w:eastAsia="en-GB"/>
              </w:rPr>
            </w:pPr>
            <w:r w:rsidRPr="005242FE">
              <w:rPr>
                <w:rFonts w:eastAsia="Times New Roman" w:cs="Arial"/>
                <w:color w:val="000000"/>
                <w:sz w:val="20"/>
                <w:szCs w:val="20"/>
                <w:lang w:eastAsia="en-GB"/>
              </w:rPr>
              <w:t>157.54</w:t>
            </w:r>
          </w:p>
        </w:tc>
        <w:tc>
          <w:tcPr>
            <w:tcW w:w="1560" w:type="dxa"/>
            <w:noWrap/>
            <w:hideMark/>
          </w:tcPr>
          <w:p w:rsidR="008E0B21" w:rsidRPr="005242FE" w:rsidRDefault="008E0B21" w:rsidP="008E0B21">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r>
      <w:tr w:rsidR="008E0B21" w:rsidRPr="005242FE" w:rsidTr="00314352">
        <w:trPr>
          <w:trHeight w:val="250"/>
          <w:jc w:val="center"/>
        </w:trPr>
        <w:tc>
          <w:tcPr>
            <w:tcW w:w="1677" w:type="dxa"/>
            <w:noWrap/>
            <w:hideMark/>
          </w:tcPr>
          <w:p w:rsidR="008E0B21" w:rsidRPr="005242FE" w:rsidRDefault="008E0B21" w:rsidP="008E0B21">
            <w:pPr>
              <w:spacing w:after="0"/>
              <w:rPr>
                <w:rFonts w:eastAsia="Times New Roman" w:cs="Arial"/>
                <w:color w:val="000000"/>
                <w:sz w:val="20"/>
                <w:szCs w:val="20"/>
                <w:lang w:eastAsia="en-GB"/>
              </w:rPr>
            </w:pPr>
            <w:r w:rsidRPr="005242FE">
              <w:rPr>
                <w:rFonts w:eastAsia="Times New Roman" w:cs="Arial"/>
                <w:color w:val="000000"/>
                <w:sz w:val="20"/>
                <w:szCs w:val="20"/>
                <w:lang w:eastAsia="en-GB"/>
              </w:rPr>
              <w:t>Band C</w:t>
            </w:r>
          </w:p>
        </w:tc>
        <w:tc>
          <w:tcPr>
            <w:tcW w:w="1239" w:type="dxa"/>
            <w:noWrap/>
            <w:hideMark/>
          </w:tcPr>
          <w:p w:rsidR="008E0B21" w:rsidRPr="005242FE" w:rsidRDefault="008E0B21" w:rsidP="008E0B21">
            <w:pPr>
              <w:spacing w:after="0"/>
              <w:jc w:val="center"/>
              <w:rPr>
                <w:rFonts w:eastAsia="Times New Roman" w:cs="Arial"/>
                <w:color w:val="000000"/>
                <w:sz w:val="20"/>
                <w:szCs w:val="20"/>
                <w:lang w:eastAsia="en-GB"/>
              </w:rPr>
            </w:pPr>
            <w:r w:rsidRPr="005242FE">
              <w:rPr>
                <w:rFonts w:eastAsia="Times New Roman" w:cs="Arial"/>
                <w:color w:val="000000"/>
                <w:sz w:val="20"/>
                <w:szCs w:val="20"/>
                <w:lang w:eastAsia="en-GB"/>
              </w:rPr>
              <w:t>8/9</w:t>
            </w:r>
          </w:p>
        </w:tc>
        <w:tc>
          <w:tcPr>
            <w:tcW w:w="272" w:type="dxa"/>
            <w:noWrap/>
            <w:hideMark/>
          </w:tcPr>
          <w:p w:rsidR="008E0B21" w:rsidRPr="005242FE" w:rsidRDefault="008E0B21" w:rsidP="008E0B21">
            <w:pPr>
              <w:spacing w:after="0"/>
              <w:jc w:val="center"/>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712" w:type="dxa"/>
            <w:noWrap/>
            <w:hideMark/>
          </w:tcPr>
          <w:p w:rsidR="008E0B21" w:rsidRPr="005242FE" w:rsidRDefault="008E0B21" w:rsidP="008E0B21">
            <w:pPr>
              <w:spacing w:after="0"/>
              <w:jc w:val="center"/>
              <w:rPr>
                <w:rFonts w:eastAsia="Times New Roman" w:cs="Arial"/>
                <w:color w:val="000000"/>
                <w:sz w:val="20"/>
                <w:szCs w:val="20"/>
                <w:lang w:eastAsia="en-GB"/>
              </w:rPr>
            </w:pPr>
            <w:r w:rsidRPr="005242FE">
              <w:rPr>
                <w:rFonts w:eastAsia="Times New Roman" w:cs="Arial"/>
                <w:color w:val="000000"/>
                <w:sz w:val="20"/>
                <w:szCs w:val="20"/>
                <w:lang w:eastAsia="en-GB"/>
              </w:rPr>
              <w:t>180.0444</w:t>
            </w:r>
          </w:p>
        </w:tc>
        <w:tc>
          <w:tcPr>
            <w:tcW w:w="340" w:type="dxa"/>
            <w:noWrap/>
            <w:hideMark/>
          </w:tcPr>
          <w:p w:rsidR="008E0B21" w:rsidRPr="005242FE" w:rsidRDefault="008E0B21" w:rsidP="008E0B21">
            <w:pPr>
              <w:spacing w:after="0"/>
              <w:jc w:val="center"/>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559" w:type="dxa"/>
            <w:noWrap/>
            <w:hideMark/>
          </w:tcPr>
          <w:p w:rsidR="008E0B21" w:rsidRPr="005242FE" w:rsidRDefault="008E0B21" w:rsidP="008E0B21">
            <w:pPr>
              <w:spacing w:after="0"/>
              <w:jc w:val="center"/>
              <w:rPr>
                <w:rFonts w:eastAsia="Times New Roman" w:cs="Arial"/>
                <w:color w:val="000000"/>
                <w:sz w:val="20"/>
                <w:szCs w:val="20"/>
                <w:lang w:eastAsia="en-GB"/>
              </w:rPr>
            </w:pPr>
            <w:r w:rsidRPr="005242FE">
              <w:rPr>
                <w:rFonts w:eastAsia="Times New Roman" w:cs="Arial"/>
                <w:color w:val="000000"/>
                <w:sz w:val="20"/>
                <w:szCs w:val="20"/>
                <w:lang w:eastAsia="en-GB"/>
              </w:rPr>
              <w:t>180.04</w:t>
            </w:r>
          </w:p>
        </w:tc>
        <w:tc>
          <w:tcPr>
            <w:tcW w:w="1560" w:type="dxa"/>
            <w:noWrap/>
            <w:hideMark/>
          </w:tcPr>
          <w:p w:rsidR="008E0B21" w:rsidRPr="005242FE" w:rsidRDefault="008E0B21" w:rsidP="008E0B21">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r>
      <w:tr w:rsidR="008E0B21" w:rsidRPr="005242FE" w:rsidTr="00314352">
        <w:trPr>
          <w:trHeight w:val="260"/>
          <w:jc w:val="center"/>
        </w:trPr>
        <w:tc>
          <w:tcPr>
            <w:tcW w:w="1677" w:type="dxa"/>
            <w:noWrap/>
            <w:hideMark/>
          </w:tcPr>
          <w:p w:rsidR="008E0B21" w:rsidRPr="005242FE" w:rsidRDefault="008E0B21" w:rsidP="008E0B21">
            <w:pPr>
              <w:spacing w:after="0"/>
              <w:rPr>
                <w:rFonts w:eastAsia="Times New Roman" w:cs="Arial"/>
                <w:b/>
                <w:bCs/>
                <w:color w:val="000000"/>
                <w:sz w:val="20"/>
                <w:szCs w:val="20"/>
                <w:lang w:eastAsia="en-GB"/>
              </w:rPr>
            </w:pPr>
            <w:r w:rsidRPr="005242FE">
              <w:rPr>
                <w:rFonts w:eastAsia="Times New Roman" w:cs="Arial"/>
                <w:b/>
                <w:bCs/>
                <w:color w:val="000000"/>
                <w:sz w:val="20"/>
                <w:szCs w:val="20"/>
                <w:lang w:eastAsia="en-GB"/>
              </w:rPr>
              <w:t>Band D</w:t>
            </w:r>
          </w:p>
        </w:tc>
        <w:tc>
          <w:tcPr>
            <w:tcW w:w="1239" w:type="dxa"/>
            <w:noWrap/>
            <w:hideMark/>
          </w:tcPr>
          <w:p w:rsidR="008E0B21" w:rsidRPr="005242FE" w:rsidRDefault="008E0B21" w:rsidP="008E0B21">
            <w:pPr>
              <w:spacing w:after="0"/>
              <w:jc w:val="center"/>
              <w:rPr>
                <w:rFonts w:eastAsia="Times New Roman" w:cs="Arial"/>
                <w:b/>
                <w:bCs/>
                <w:color w:val="000000"/>
                <w:sz w:val="20"/>
                <w:szCs w:val="20"/>
                <w:lang w:eastAsia="en-GB"/>
              </w:rPr>
            </w:pPr>
            <w:r w:rsidRPr="005242FE">
              <w:rPr>
                <w:rFonts w:eastAsia="Times New Roman" w:cs="Arial"/>
                <w:b/>
                <w:bCs/>
                <w:color w:val="000000"/>
                <w:sz w:val="20"/>
                <w:szCs w:val="20"/>
                <w:lang w:eastAsia="en-GB"/>
              </w:rPr>
              <w:t>9/9</w:t>
            </w:r>
          </w:p>
        </w:tc>
        <w:tc>
          <w:tcPr>
            <w:tcW w:w="272" w:type="dxa"/>
            <w:noWrap/>
            <w:hideMark/>
          </w:tcPr>
          <w:p w:rsidR="008E0B21" w:rsidRPr="005242FE" w:rsidRDefault="008E0B21" w:rsidP="008E0B21">
            <w:pPr>
              <w:spacing w:after="0"/>
              <w:jc w:val="center"/>
              <w:rPr>
                <w:rFonts w:eastAsia="Times New Roman" w:cs="Arial"/>
                <w:b/>
                <w:bCs/>
                <w:color w:val="000000"/>
                <w:sz w:val="20"/>
                <w:szCs w:val="20"/>
                <w:lang w:eastAsia="en-GB"/>
              </w:rPr>
            </w:pPr>
            <w:r w:rsidRPr="005242FE">
              <w:rPr>
                <w:rFonts w:eastAsia="Times New Roman" w:cs="Arial"/>
                <w:b/>
                <w:bCs/>
                <w:color w:val="000000"/>
                <w:sz w:val="20"/>
                <w:szCs w:val="20"/>
                <w:lang w:eastAsia="en-GB"/>
              </w:rPr>
              <w:t> </w:t>
            </w:r>
          </w:p>
        </w:tc>
        <w:tc>
          <w:tcPr>
            <w:tcW w:w="1712" w:type="dxa"/>
            <w:noWrap/>
            <w:hideMark/>
          </w:tcPr>
          <w:p w:rsidR="008E0B21" w:rsidRPr="005242FE" w:rsidRDefault="008E0B21" w:rsidP="008E0B21">
            <w:pPr>
              <w:spacing w:after="0"/>
              <w:jc w:val="center"/>
              <w:rPr>
                <w:rFonts w:eastAsia="Times New Roman" w:cs="Arial"/>
                <w:b/>
                <w:bCs/>
                <w:color w:val="000000"/>
                <w:sz w:val="20"/>
                <w:szCs w:val="20"/>
                <w:lang w:eastAsia="en-GB"/>
              </w:rPr>
            </w:pPr>
            <w:r w:rsidRPr="005242FE">
              <w:rPr>
                <w:rFonts w:eastAsia="Times New Roman" w:cs="Arial"/>
                <w:b/>
                <w:bCs/>
                <w:color w:val="000000"/>
                <w:sz w:val="20"/>
                <w:szCs w:val="20"/>
                <w:lang w:eastAsia="en-GB"/>
              </w:rPr>
              <w:t>202.5500</w:t>
            </w:r>
          </w:p>
        </w:tc>
        <w:tc>
          <w:tcPr>
            <w:tcW w:w="340" w:type="dxa"/>
            <w:noWrap/>
            <w:hideMark/>
          </w:tcPr>
          <w:p w:rsidR="008E0B21" w:rsidRPr="005242FE" w:rsidRDefault="008E0B21" w:rsidP="008E0B21">
            <w:pPr>
              <w:spacing w:after="0"/>
              <w:jc w:val="center"/>
              <w:rPr>
                <w:rFonts w:eastAsia="Times New Roman" w:cs="Arial"/>
                <w:b/>
                <w:bCs/>
                <w:color w:val="000000"/>
                <w:sz w:val="20"/>
                <w:szCs w:val="20"/>
                <w:lang w:eastAsia="en-GB"/>
              </w:rPr>
            </w:pPr>
            <w:r w:rsidRPr="005242FE">
              <w:rPr>
                <w:rFonts w:eastAsia="Times New Roman" w:cs="Arial"/>
                <w:b/>
                <w:bCs/>
                <w:color w:val="000000"/>
                <w:sz w:val="20"/>
                <w:szCs w:val="20"/>
                <w:lang w:eastAsia="en-GB"/>
              </w:rPr>
              <w:t> </w:t>
            </w:r>
          </w:p>
        </w:tc>
        <w:tc>
          <w:tcPr>
            <w:tcW w:w="1559" w:type="dxa"/>
            <w:noWrap/>
            <w:hideMark/>
          </w:tcPr>
          <w:p w:rsidR="008E0B21" w:rsidRPr="005242FE" w:rsidRDefault="008E0B21" w:rsidP="008E0B21">
            <w:pPr>
              <w:spacing w:after="0"/>
              <w:jc w:val="center"/>
              <w:rPr>
                <w:rFonts w:eastAsia="Times New Roman" w:cs="Arial"/>
                <w:b/>
                <w:bCs/>
                <w:color w:val="000000"/>
                <w:sz w:val="20"/>
                <w:szCs w:val="20"/>
                <w:lang w:eastAsia="en-GB"/>
              </w:rPr>
            </w:pPr>
            <w:r w:rsidRPr="005242FE">
              <w:rPr>
                <w:rFonts w:eastAsia="Times New Roman" w:cs="Arial"/>
                <w:b/>
                <w:bCs/>
                <w:color w:val="000000"/>
                <w:sz w:val="20"/>
                <w:szCs w:val="20"/>
                <w:lang w:eastAsia="en-GB"/>
              </w:rPr>
              <w:t>202.55</w:t>
            </w:r>
          </w:p>
        </w:tc>
        <w:tc>
          <w:tcPr>
            <w:tcW w:w="1560" w:type="dxa"/>
            <w:noWrap/>
            <w:hideMark/>
          </w:tcPr>
          <w:p w:rsidR="008E0B21" w:rsidRPr="005242FE" w:rsidRDefault="008E0B21" w:rsidP="008E0B21">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r>
      <w:tr w:rsidR="008E0B21" w:rsidRPr="005242FE" w:rsidTr="00314352">
        <w:trPr>
          <w:trHeight w:val="250"/>
          <w:jc w:val="center"/>
        </w:trPr>
        <w:tc>
          <w:tcPr>
            <w:tcW w:w="1677" w:type="dxa"/>
            <w:noWrap/>
            <w:hideMark/>
          </w:tcPr>
          <w:p w:rsidR="008E0B21" w:rsidRPr="005242FE" w:rsidRDefault="008E0B21" w:rsidP="008E0B21">
            <w:pPr>
              <w:spacing w:after="0"/>
              <w:rPr>
                <w:rFonts w:eastAsia="Times New Roman" w:cs="Arial"/>
                <w:color w:val="000000"/>
                <w:sz w:val="20"/>
                <w:szCs w:val="20"/>
                <w:lang w:eastAsia="en-GB"/>
              </w:rPr>
            </w:pPr>
            <w:r w:rsidRPr="005242FE">
              <w:rPr>
                <w:rFonts w:eastAsia="Times New Roman" w:cs="Arial"/>
                <w:color w:val="000000"/>
                <w:sz w:val="20"/>
                <w:szCs w:val="20"/>
                <w:lang w:eastAsia="en-GB"/>
              </w:rPr>
              <w:t>Band E</w:t>
            </w:r>
          </w:p>
        </w:tc>
        <w:tc>
          <w:tcPr>
            <w:tcW w:w="1239" w:type="dxa"/>
            <w:noWrap/>
            <w:hideMark/>
          </w:tcPr>
          <w:p w:rsidR="008E0B21" w:rsidRPr="005242FE" w:rsidRDefault="008E0B21" w:rsidP="008E0B21">
            <w:pPr>
              <w:spacing w:after="0"/>
              <w:jc w:val="center"/>
              <w:rPr>
                <w:rFonts w:eastAsia="Times New Roman" w:cs="Arial"/>
                <w:color w:val="000000"/>
                <w:sz w:val="20"/>
                <w:szCs w:val="20"/>
                <w:lang w:eastAsia="en-GB"/>
              </w:rPr>
            </w:pPr>
            <w:r w:rsidRPr="005242FE">
              <w:rPr>
                <w:rFonts w:eastAsia="Times New Roman" w:cs="Arial"/>
                <w:color w:val="000000"/>
                <w:sz w:val="20"/>
                <w:szCs w:val="20"/>
                <w:lang w:eastAsia="en-GB"/>
              </w:rPr>
              <w:t>11/9</w:t>
            </w:r>
          </w:p>
        </w:tc>
        <w:tc>
          <w:tcPr>
            <w:tcW w:w="272" w:type="dxa"/>
            <w:noWrap/>
            <w:hideMark/>
          </w:tcPr>
          <w:p w:rsidR="008E0B21" w:rsidRPr="005242FE" w:rsidRDefault="008E0B21" w:rsidP="008E0B21">
            <w:pPr>
              <w:spacing w:after="0"/>
              <w:jc w:val="center"/>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712" w:type="dxa"/>
            <w:noWrap/>
            <w:hideMark/>
          </w:tcPr>
          <w:p w:rsidR="008E0B21" w:rsidRPr="005242FE" w:rsidRDefault="008E0B21" w:rsidP="008E0B21">
            <w:pPr>
              <w:spacing w:after="0"/>
              <w:jc w:val="center"/>
              <w:rPr>
                <w:rFonts w:eastAsia="Times New Roman" w:cs="Arial"/>
                <w:color w:val="000000"/>
                <w:sz w:val="20"/>
                <w:szCs w:val="20"/>
                <w:lang w:eastAsia="en-GB"/>
              </w:rPr>
            </w:pPr>
            <w:r w:rsidRPr="005242FE">
              <w:rPr>
                <w:rFonts w:eastAsia="Times New Roman" w:cs="Arial"/>
                <w:color w:val="000000"/>
                <w:sz w:val="20"/>
                <w:szCs w:val="20"/>
                <w:lang w:eastAsia="en-GB"/>
              </w:rPr>
              <w:t>247.5611</w:t>
            </w:r>
          </w:p>
        </w:tc>
        <w:tc>
          <w:tcPr>
            <w:tcW w:w="340" w:type="dxa"/>
            <w:noWrap/>
            <w:hideMark/>
          </w:tcPr>
          <w:p w:rsidR="008E0B21" w:rsidRPr="005242FE" w:rsidRDefault="008E0B21" w:rsidP="008E0B21">
            <w:pPr>
              <w:spacing w:after="0"/>
              <w:jc w:val="center"/>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559" w:type="dxa"/>
            <w:noWrap/>
            <w:hideMark/>
          </w:tcPr>
          <w:p w:rsidR="008E0B21" w:rsidRPr="005242FE" w:rsidRDefault="008E0B21" w:rsidP="008E0B21">
            <w:pPr>
              <w:spacing w:after="0"/>
              <w:jc w:val="center"/>
              <w:rPr>
                <w:rFonts w:eastAsia="Times New Roman" w:cs="Arial"/>
                <w:color w:val="000000"/>
                <w:sz w:val="20"/>
                <w:szCs w:val="20"/>
                <w:lang w:eastAsia="en-GB"/>
              </w:rPr>
            </w:pPr>
            <w:r w:rsidRPr="005242FE">
              <w:rPr>
                <w:rFonts w:eastAsia="Times New Roman" w:cs="Arial"/>
                <w:color w:val="000000"/>
                <w:sz w:val="20"/>
                <w:szCs w:val="20"/>
                <w:lang w:eastAsia="en-GB"/>
              </w:rPr>
              <w:t>247.56</w:t>
            </w:r>
          </w:p>
        </w:tc>
        <w:tc>
          <w:tcPr>
            <w:tcW w:w="1560" w:type="dxa"/>
            <w:noWrap/>
            <w:hideMark/>
          </w:tcPr>
          <w:p w:rsidR="008E0B21" w:rsidRPr="005242FE" w:rsidRDefault="008E0B21" w:rsidP="008E0B21">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r>
      <w:tr w:rsidR="008E0B21" w:rsidRPr="005242FE" w:rsidTr="00314352">
        <w:trPr>
          <w:trHeight w:val="250"/>
          <w:jc w:val="center"/>
        </w:trPr>
        <w:tc>
          <w:tcPr>
            <w:tcW w:w="1677" w:type="dxa"/>
            <w:noWrap/>
            <w:hideMark/>
          </w:tcPr>
          <w:p w:rsidR="008E0B21" w:rsidRPr="005242FE" w:rsidRDefault="008E0B21" w:rsidP="008E0B21">
            <w:pPr>
              <w:spacing w:after="0"/>
              <w:rPr>
                <w:rFonts w:eastAsia="Times New Roman" w:cs="Arial"/>
                <w:color w:val="000000"/>
                <w:sz w:val="20"/>
                <w:szCs w:val="20"/>
                <w:lang w:eastAsia="en-GB"/>
              </w:rPr>
            </w:pPr>
            <w:r w:rsidRPr="005242FE">
              <w:rPr>
                <w:rFonts w:eastAsia="Times New Roman" w:cs="Arial"/>
                <w:color w:val="000000"/>
                <w:sz w:val="20"/>
                <w:szCs w:val="20"/>
                <w:lang w:eastAsia="en-GB"/>
              </w:rPr>
              <w:t>Band F</w:t>
            </w:r>
          </w:p>
        </w:tc>
        <w:tc>
          <w:tcPr>
            <w:tcW w:w="1239" w:type="dxa"/>
            <w:noWrap/>
            <w:hideMark/>
          </w:tcPr>
          <w:p w:rsidR="008E0B21" w:rsidRPr="005242FE" w:rsidRDefault="008E0B21" w:rsidP="008E0B21">
            <w:pPr>
              <w:spacing w:after="0"/>
              <w:jc w:val="center"/>
              <w:rPr>
                <w:rFonts w:eastAsia="Times New Roman" w:cs="Arial"/>
                <w:color w:val="000000"/>
                <w:sz w:val="20"/>
                <w:szCs w:val="20"/>
                <w:lang w:eastAsia="en-GB"/>
              </w:rPr>
            </w:pPr>
            <w:r w:rsidRPr="005242FE">
              <w:rPr>
                <w:rFonts w:eastAsia="Times New Roman" w:cs="Arial"/>
                <w:color w:val="000000"/>
                <w:sz w:val="20"/>
                <w:szCs w:val="20"/>
                <w:lang w:eastAsia="en-GB"/>
              </w:rPr>
              <w:t>13/9</w:t>
            </w:r>
          </w:p>
        </w:tc>
        <w:tc>
          <w:tcPr>
            <w:tcW w:w="272" w:type="dxa"/>
            <w:noWrap/>
            <w:hideMark/>
          </w:tcPr>
          <w:p w:rsidR="008E0B21" w:rsidRPr="005242FE" w:rsidRDefault="008E0B21" w:rsidP="008E0B21">
            <w:pPr>
              <w:spacing w:after="0"/>
              <w:jc w:val="center"/>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712" w:type="dxa"/>
            <w:noWrap/>
            <w:hideMark/>
          </w:tcPr>
          <w:p w:rsidR="008E0B21" w:rsidRPr="005242FE" w:rsidRDefault="008E0B21" w:rsidP="008E0B21">
            <w:pPr>
              <w:spacing w:after="0"/>
              <w:jc w:val="center"/>
              <w:rPr>
                <w:rFonts w:eastAsia="Times New Roman" w:cs="Arial"/>
                <w:color w:val="000000"/>
                <w:sz w:val="20"/>
                <w:szCs w:val="20"/>
                <w:lang w:eastAsia="en-GB"/>
              </w:rPr>
            </w:pPr>
            <w:r w:rsidRPr="005242FE">
              <w:rPr>
                <w:rFonts w:eastAsia="Times New Roman" w:cs="Arial"/>
                <w:color w:val="000000"/>
                <w:sz w:val="20"/>
                <w:szCs w:val="20"/>
                <w:lang w:eastAsia="en-GB"/>
              </w:rPr>
              <w:t>292.5722</w:t>
            </w:r>
          </w:p>
        </w:tc>
        <w:tc>
          <w:tcPr>
            <w:tcW w:w="340" w:type="dxa"/>
            <w:noWrap/>
            <w:hideMark/>
          </w:tcPr>
          <w:p w:rsidR="008E0B21" w:rsidRPr="005242FE" w:rsidRDefault="008E0B21" w:rsidP="008E0B21">
            <w:pPr>
              <w:spacing w:after="0"/>
              <w:jc w:val="center"/>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559" w:type="dxa"/>
            <w:noWrap/>
            <w:hideMark/>
          </w:tcPr>
          <w:p w:rsidR="008E0B21" w:rsidRPr="005242FE" w:rsidRDefault="008E0B21" w:rsidP="008E0B21">
            <w:pPr>
              <w:spacing w:after="0"/>
              <w:jc w:val="center"/>
              <w:rPr>
                <w:rFonts w:eastAsia="Times New Roman" w:cs="Arial"/>
                <w:color w:val="000000"/>
                <w:sz w:val="20"/>
                <w:szCs w:val="20"/>
                <w:lang w:eastAsia="en-GB"/>
              </w:rPr>
            </w:pPr>
            <w:r w:rsidRPr="005242FE">
              <w:rPr>
                <w:rFonts w:eastAsia="Times New Roman" w:cs="Arial"/>
                <w:color w:val="000000"/>
                <w:sz w:val="20"/>
                <w:szCs w:val="20"/>
                <w:lang w:eastAsia="en-GB"/>
              </w:rPr>
              <w:t>292.57</w:t>
            </w:r>
          </w:p>
        </w:tc>
        <w:tc>
          <w:tcPr>
            <w:tcW w:w="1560" w:type="dxa"/>
            <w:noWrap/>
            <w:hideMark/>
          </w:tcPr>
          <w:p w:rsidR="008E0B21" w:rsidRPr="005242FE" w:rsidRDefault="008E0B21" w:rsidP="008E0B21">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r>
      <w:tr w:rsidR="008E0B21" w:rsidRPr="005242FE" w:rsidTr="00314352">
        <w:trPr>
          <w:trHeight w:val="250"/>
          <w:jc w:val="center"/>
        </w:trPr>
        <w:tc>
          <w:tcPr>
            <w:tcW w:w="1677" w:type="dxa"/>
            <w:noWrap/>
            <w:hideMark/>
          </w:tcPr>
          <w:p w:rsidR="008E0B21" w:rsidRPr="005242FE" w:rsidRDefault="008E0B21" w:rsidP="008E0B21">
            <w:pPr>
              <w:spacing w:after="0"/>
              <w:rPr>
                <w:rFonts w:eastAsia="Times New Roman" w:cs="Arial"/>
                <w:color w:val="000000"/>
                <w:sz w:val="20"/>
                <w:szCs w:val="20"/>
                <w:lang w:eastAsia="en-GB"/>
              </w:rPr>
            </w:pPr>
            <w:r w:rsidRPr="005242FE">
              <w:rPr>
                <w:rFonts w:eastAsia="Times New Roman" w:cs="Arial"/>
                <w:color w:val="000000"/>
                <w:sz w:val="20"/>
                <w:szCs w:val="20"/>
                <w:lang w:eastAsia="en-GB"/>
              </w:rPr>
              <w:t>Band G</w:t>
            </w:r>
          </w:p>
        </w:tc>
        <w:tc>
          <w:tcPr>
            <w:tcW w:w="1239" w:type="dxa"/>
            <w:noWrap/>
            <w:hideMark/>
          </w:tcPr>
          <w:p w:rsidR="008E0B21" w:rsidRPr="005242FE" w:rsidRDefault="008E0B21" w:rsidP="008E0B21">
            <w:pPr>
              <w:spacing w:after="0"/>
              <w:jc w:val="center"/>
              <w:rPr>
                <w:rFonts w:eastAsia="Times New Roman" w:cs="Arial"/>
                <w:color w:val="000000"/>
                <w:sz w:val="20"/>
                <w:szCs w:val="20"/>
                <w:lang w:eastAsia="en-GB"/>
              </w:rPr>
            </w:pPr>
            <w:r w:rsidRPr="005242FE">
              <w:rPr>
                <w:rFonts w:eastAsia="Times New Roman" w:cs="Arial"/>
                <w:color w:val="000000"/>
                <w:sz w:val="20"/>
                <w:szCs w:val="20"/>
                <w:lang w:eastAsia="en-GB"/>
              </w:rPr>
              <w:t>15/9</w:t>
            </w:r>
          </w:p>
        </w:tc>
        <w:tc>
          <w:tcPr>
            <w:tcW w:w="272" w:type="dxa"/>
            <w:noWrap/>
            <w:hideMark/>
          </w:tcPr>
          <w:p w:rsidR="008E0B21" w:rsidRPr="005242FE" w:rsidRDefault="008E0B21" w:rsidP="008E0B21">
            <w:pPr>
              <w:spacing w:after="0"/>
              <w:jc w:val="center"/>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712" w:type="dxa"/>
            <w:noWrap/>
            <w:hideMark/>
          </w:tcPr>
          <w:p w:rsidR="008E0B21" w:rsidRPr="005242FE" w:rsidRDefault="008E0B21" w:rsidP="008E0B21">
            <w:pPr>
              <w:spacing w:after="0"/>
              <w:jc w:val="center"/>
              <w:rPr>
                <w:rFonts w:eastAsia="Times New Roman" w:cs="Arial"/>
                <w:color w:val="000000"/>
                <w:sz w:val="20"/>
                <w:szCs w:val="20"/>
                <w:lang w:eastAsia="en-GB"/>
              </w:rPr>
            </w:pPr>
            <w:r w:rsidRPr="005242FE">
              <w:rPr>
                <w:rFonts w:eastAsia="Times New Roman" w:cs="Arial"/>
                <w:color w:val="000000"/>
                <w:sz w:val="20"/>
                <w:szCs w:val="20"/>
                <w:lang w:eastAsia="en-GB"/>
              </w:rPr>
              <w:t>337.5833</w:t>
            </w:r>
          </w:p>
        </w:tc>
        <w:tc>
          <w:tcPr>
            <w:tcW w:w="340" w:type="dxa"/>
            <w:noWrap/>
            <w:hideMark/>
          </w:tcPr>
          <w:p w:rsidR="008E0B21" w:rsidRPr="005242FE" w:rsidRDefault="008E0B21" w:rsidP="008E0B21">
            <w:pPr>
              <w:spacing w:after="0"/>
              <w:jc w:val="center"/>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559" w:type="dxa"/>
            <w:noWrap/>
            <w:hideMark/>
          </w:tcPr>
          <w:p w:rsidR="008E0B21" w:rsidRPr="005242FE" w:rsidRDefault="008E0B21" w:rsidP="008E0B21">
            <w:pPr>
              <w:spacing w:after="0"/>
              <w:jc w:val="center"/>
              <w:rPr>
                <w:rFonts w:eastAsia="Times New Roman" w:cs="Arial"/>
                <w:color w:val="000000"/>
                <w:sz w:val="20"/>
                <w:szCs w:val="20"/>
                <w:lang w:eastAsia="en-GB"/>
              </w:rPr>
            </w:pPr>
            <w:r w:rsidRPr="005242FE">
              <w:rPr>
                <w:rFonts w:eastAsia="Times New Roman" w:cs="Arial"/>
                <w:color w:val="000000"/>
                <w:sz w:val="20"/>
                <w:szCs w:val="20"/>
                <w:lang w:eastAsia="en-GB"/>
              </w:rPr>
              <w:t>337.58</w:t>
            </w:r>
          </w:p>
        </w:tc>
        <w:tc>
          <w:tcPr>
            <w:tcW w:w="1560" w:type="dxa"/>
            <w:noWrap/>
            <w:hideMark/>
          </w:tcPr>
          <w:p w:rsidR="008E0B21" w:rsidRPr="005242FE" w:rsidRDefault="008E0B21" w:rsidP="008E0B21">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r>
      <w:tr w:rsidR="008E0B21" w:rsidRPr="005242FE" w:rsidTr="00314352">
        <w:trPr>
          <w:trHeight w:val="250"/>
          <w:jc w:val="center"/>
        </w:trPr>
        <w:tc>
          <w:tcPr>
            <w:tcW w:w="1677" w:type="dxa"/>
            <w:noWrap/>
            <w:hideMark/>
          </w:tcPr>
          <w:p w:rsidR="008E0B21" w:rsidRPr="005242FE" w:rsidRDefault="008E0B21" w:rsidP="008E0B21">
            <w:pPr>
              <w:spacing w:after="0"/>
              <w:rPr>
                <w:rFonts w:eastAsia="Times New Roman" w:cs="Arial"/>
                <w:color w:val="000000"/>
                <w:sz w:val="20"/>
                <w:szCs w:val="20"/>
                <w:lang w:eastAsia="en-GB"/>
              </w:rPr>
            </w:pPr>
            <w:r w:rsidRPr="005242FE">
              <w:rPr>
                <w:rFonts w:eastAsia="Times New Roman" w:cs="Arial"/>
                <w:color w:val="000000"/>
                <w:sz w:val="20"/>
                <w:szCs w:val="20"/>
                <w:lang w:eastAsia="en-GB"/>
              </w:rPr>
              <w:t>Band H</w:t>
            </w:r>
          </w:p>
        </w:tc>
        <w:tc>
          <w:tcPr>
            <w:tcW w:w="1239" w:type="dxa"/>
            <w:noWrap/>
            <w:hideMark/>
          </w:tcPr>
          <w:p w:rsidR="008E0B21" w:rsidRPr="005242FE" w:rsidRDefault="008E0B21" w:rsidP="008E0B21">
            <w:pPr>
              <w:spacing w:after="0"/>
              <w:jc w:val="center"/>
              <w:rPr>
                <w:rFonts w:eastAsia="Times New Roman" w:cs="Arial"/>
                <w:color w:val="000000"/>
                <w:sz w:val="20"/>
                <w:szCs w:val="20"/>
                <w:lang w:eastAsia="en-GB"/>
              </w:rPr>
            </w:pPr>
            <w:r w:rsidRPr="005242FE">
              <w:rPr>
                <w:rFonts w:eastAsia="Times New Roman" w:cs="Arial"/>
                <w:color w:val="000000"/>
                <w:sz w:val="20"/>
                <w:szCs w:val="20"/>
                <w:lang w:eastAsia="en-GB"/>
              </w:rPr>
              <w:t>18/9</w:t>
            </w:r>
          </w:p>
        </w:tc>
        <w:tc>
          <w:tcPr>
            <w:tcW w:w="272" w:type="dxa"/>
            <w:noWrap/>
            <w:hideMark/>
          </w:tcPr>
          <w:p w:rsidR="008E0B21" w:rsidRPr="005242FE" w:rsidRDefault="008E0B21" w:rsidP="008E0B21">
            <w:pPr>
              <w:spacing w:after="0"/>
              <w:jc w:val="center"/>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712" w:type="dxa"/>
            <w:noWrap/>
            <w:hideMark/>
          </w:tcPr>
          <w:p w:rsidR="008E0B21" w:rsidRPr="005242FE" w:rsidRDefault="008E0B21" w:rsidP="008E0B21">
            <w:pPr>
              <w:spacing w:after="0"/>
              <w:jc w:val="center"/>
              <w:rPr>
                <w:rFonts w:eastAsia="Times New Roman" w:cs="Arial"/>
                <w:color w:val="000000"/>
                <w:sz w:val="20"/>
                <w:szCs w:val="20"/>
                <w:lang w:eastAsia="en-GB"/>
              </w:rPr>
            </w:pPr>
            <w:r w:rsidRPr="005242FE">
              <w:rPr>
                <w:rFonts w:eastAsia="Times New Roman" w:cs="Arial"/>
                <w:color w:val="000000"/>
                <w:sz w:val="20"/>
                <w:szCs w:val="20"/>
                <w:lang w:eastAsia="en-GB"/>
              </w:rPr>
              <w:t>405.1000</w:t>
            </w:r>
          </w:p>
        </w:tc>
        <w:tc>
          <w:tcPr>
            <w:tcW w:w="340" w:type="dxa"/>
            <w:noWrap/>
            <w:hideMark/>
          </w:tcPr>
          <w:p w:rsidR="008E0B21" w:rsidRPr="005242FE" w:rsidRDefault="008E0B21" w:rsidP="008E0B21">
            <w:pPr>
              <w:spacing w:after="0"/>
              <w:jc w:val="center"/>
              <w:rPr>
                <w:rFonts w:eastAsia="Times New Roman" w:cs="Arial"/>
                <w:color w:val="000000"/>
                <w:sz w:val="20"/>
                <w:szCs w:val="20"/>
                <w:lang w:eastAsia="en-GB"/>
              </w:rPr>
            </w:pPr>
            <w:r w:rsidRPr="005242FE">
              <w:rPr>
                <w:rFonts w:eastAsia="Times New Roman" w:cs="Arial"/>
                <w:color w:val="000000"/>
                <w:sz w:val="20"/>
                <w:szCs w:val="20"/>
                <w:lang w:eastAsia="en-GB"/>
              </w:rPr>
              <w:t> </w:t>
            </w:r>
          </w:p>
        </w:tc>
        <w:tc>
          <w:tcPr>
            <w:tcW w:w="1559" w:type="dxa"/>
            <w:noWrap/>
            <w:hideMark/>
          </w:tcPr>
          <w:p w:rsidR="008E0B21" w:rsidRPr="005242FE" w:rsidRDefault="008E0B21" w:rsidP="008E0B21">
            <w:pPr>
              <w:spacing w:after="0"/>
              <w:jc w:val="center"/>
              <w:rPr>
                <w:rFonts w:eastAsia="Times New Roman" w:cs="Arial"/>
                <w:color w:val="000000"/>
                <w:sz w:val="20"/>
                <w:szCs w:val="20"/>
                <w:lang w:eastAsia="en-GB"/>
              </w:rPr>
            </w:pPr>
            <w:r w:rsidRPr="005242FE">
              <w:rPr>
                <w:rFonts w:eastAsia="Times New Roman" w:cs="Arial"/>
                <w:color w:val="000000"/>
                <w:sz w:val="20"/>
                <w:szCs w:val="20"/>
                <w:lang w:eastAsia="en-GB"/>
              </w:rPr>
              <w:t>405.10</w:t>
            </w:r>
          </w:p>
        </w:tc>
        <w:tc>
          <w:tcPr>
            <w:tcW w:w="1560" w:type="dxa"/>
            <w:noWrap/>
            <w:hideMark/>
          </w:tcPr>
          <w:p w:rsidR="008E0B21" w:rsidRPr="005242FE" w:rsidRDefault="008E0B21" w:rsidP="008E0B21">
            <w:pPr>
              <w:spacing w:after="0"/>
              <w:rPr>
                <w:rFonts w:eastAsia="Times New Roman" w:cs="Arial"/>
                <w:color w:val="000000"/>
                <w:sz w:val="20"/>
                <w:szCs w:val="20"/>
                <w:lang w:eastAsia="en-GB"/>
              </w:rPr>
            </w:pPr>
            <w:r w:rsidRPr="005242FE">
              <w:rPr>
                <w:rFonts w:eastAsia="Times New Roman" w:cs="Arial"/>
                <w:color w:val="000000"/>
                <w:sz w:val="20"/>
                <w:szCs w:val="20"/>
                <w:lang w:eastAsia="en-GB"/>
              </w:rPr>
              <w:t> </w:t>
            </w:r>
          </w:p>
        </w:tc>
      </w:tr>
    </w:tbl>
    <w:p w:rsidR="00904787" w:rsidRDefault="00904787" w:rsidP="00904787">
      <w:pPr>
        <w:pStyle w:val="NumHeading1"/>
        <w:numPr>
          <w:ilvl w:val="0"/>
          <w:numId w:val="0"/>
        </w:numPr>
      </w:pPr>
    </w:p>
    <w:p w:rsidR="00904787" w:rsidRDefault="00904787">
      <w:pPr>
        <w:spacing w:after="200"/>
        <w:rPr>
          <w:rFonts w:eastAsia="Times New Roman" w:cs="Times New Roman"/>
          <w:b/>
          <w:spacing w:val="5"/>
          <w:szCs w:val="48"/>
          <w:lang w:eastAsia="en-GB"/>
        </w:rPr>
      </w:pPr>
      <w:r>
        <w:br w:type="page"/>
      </w:r>
    </w:p>
    <w:p w:rsidR="005C25A9" w:rsidRDefault="005C25A9" w:rsidP="002638E0">
      <w:pPr>
        <w:pStyle w:val="Heading1"/>
      </w:pPr>
      <w:r>
        <w:lastRenderedPageBreak/>
        <w:t xml:space="preserve">Appendix </w:t>
      </w:r>
      <w:r w:rsidR="00B67875">
        <w:t>6</w:t>
      </w:r>
      <w:r>
        <w:t xml:space="preserve"> – Report of the Chief Finance Officer as required by section 25 of the Local Government Act 2003</w:t>
      </w:r>
    </w:p>
    <w:p w:rsidR="005C25A9" w:rsidRDefault="005C25A9" w:rsidP="002638E0">
      <w:pPr>
        <w:pStyle w:val="Heading2"/>
      </w:pPr>
      <w:r>
        <w:t xml:space="preserve">Section 25 of the Local Government Action 2003 requires the designated Chief </w:t>
      </w:r>
      <w:r w:rsidR="00904787">
        <w:t>Finance</w:t>
      </w:r>
      <w:r>
        <w:t xml:space="preserve"> Officer of the Commissioner to report to it on the following matters:</w:t>
      </w:r>
    </w:p>
    <w:p w:rsidR="005C25A9" w:rsidRDefault="005C25A9" w:rsidP="002638E0">
      <w:pPr>
        <w:pStyle w:val="Heading2"/>
      </w:pPr>
      <w:r>
        <w:t>The robustness of the estimates made for the purposes of the statutory budget calculations;</w:t>
      </w:r>
    </w:p>
    <w:p w:rsidR="005C25A9" w:rsidRDefault="005C25A9" w:rsidP="002638E0">
      <w:pPr>
        <w:pStyle w:val="Heading2"/>
      </w:pPr>
      <w:r>
        <w:t>The adequacy of the proposed financial reserves.</w:t>
      </w:r>
    </w:p>
    <w:p w:rsidR="005C25A9" w:rsidRDefault="005C25A9" w:rsidP="002638E0">
      <w:pPr>
        <w:pStyle w:val="Heading2"/>
      </w:pPr>
      <w:r>
        <w:t>The Commissioner must then have regard to that report when making decisions about the statutory budget calculations.</w:t>
      </w:r>
    </w:p>
    <w:p w:rsidR="005C25A9" w:rsidRDefault="005C25A9" w:rsidP="002638E0">
      <w:pPr>
        <w:pStyle w:val="Heading2"/>
      </w:pPr>
      <w:r w:rsidRPr="003E2364">
        <w:rPr>
          <w:b/>
        </w:rPr>
        <w:t xml:space="preserve">Appendix </w:t>
      </w:r>
      <w:r w:rsidR="00B67875">
        <w:rPr>
          <w:b/>
        </w:rPr>
        <w:t>8</w:t>
      </w:r>
      <w:r>
        <w:t xml:space="preserve"> analyses the risks and implications if key budget assumptions vary during the year.  Any overspendings which cannot be contained within approved budget levels will have to be financed from the Budget Reserve.</w:t>
      </w:r>
    </w:p>
    <w:p w:rsidR="005C25A9" w:rsidRDefault="00904787" w:rsidP="002638E0">
      <w:pPr>
        <w:pStyle w:val="Heading2"/>
      </w:pPr>
      <w:r>
        <w:t>Details</w:t>
      </w:r>
      <w:r w:rsidR="005C25A9">
        <w:t xml:space="preserve"> of the Commissioners general balances and reserves are set out in </w:t>
      </w:r>
      <w:r w:rsidR="005C25A9" w:rsidRPr="005C25A9">
        <w:rPr>
          <w:b/>
        </w:rPr>
        <w:t>Section 4</w:t>
      </w:r>
      <w:r w:rsidR="005C25A9">
        <w:t xml:space="preserve"> of the report.  I am recommending that the level of General Balances remains at £12m.</w:t>
      </w:r>
    </w:p>
    <w:p w:rsidR="005C25A9" w:rsidRPr="00904787" w:rsidRDefault="005C25A9" w:rsidP="002638E0">
      <w:pPr>
        <w:pStyle w:val="Heading2"/>
      </w:pPr>
      <w:r>
        <w:t xml:space="preserve">The 2023/24 Revenue Budget and Medium-Term Financial Plan requires a use of </w:t>
      </w:r>
      <w:r w:rsidR="00904787">
        <w:t>reserves</w:t>
      </w:r>
      <w:r>
        <w:t xml:space="preserve">.  I have </w:t>
      </w:r>
      <w:r w:rsidR="00904787">
        <w:t>advised</w:t>
      </w:r>
      <w:r>
        <w:t xml:space="preserve"> the Commissioner that I believe this represents an entirely reasonable</w:t>
      </w:r>
      <w:r w:rsidR="00904787" w:rsidRPr="00474A8A">
        <w:rPr>
          <w:rFonts w:cs="Arial"/>
        </w:rPr>
        <w:t>, balanced and prudent approach, given current levels of crime and anti-social behaviour, the priorities set out in the Police and Crime Plan and the levels of Government resources likely to be available in the medium term</w:t>
      </w:r>
      <w:r w:rsidR="00904787">
        <w:rPr>
          <w:rFonts w:cs="Arial"/>
        </w:rPr>
        <w:t>.</w:t>
      </w:r>
    </w:p>
    <w:p w:rsidR="00904787" w:rsidRPr="00904787" w:rsidRDefault="00904787" w:rsidP="002638E0">
      <w:pPr>
        <w:pStyle w:val="Heading2"/>
      </w:pPr>
      <w:r>
        <w:t xml:space="preserve">The Insurance fund </w:t>
      </w:r>
      <w:r w:rsidRPr="00474A8A">
        <w:rPr>
          <w:rFonts w:cs="Arial"/>
        </w:rPr>
        <w:t>will continue to be maintained at a level consistent with the insurance cost borne by the Commissioner’s reserve and the level of outstanding self-funding insurance claims at any time. Financing for the Capital Programme includes the use of borrowing, capital receipts, capital grant and revenue contributions. Other earmarked reserves will be applied as expenditure levels and service requirements dictate</w:t>
      </w:r>
      <w:r>
        <w:rPr>
          <w:rFonts w:cs="Arial"/>
        </w:rPr>
        <w:t>.</w:t>
      </w:r>
    </w:p>
    <w:p w:rsidR="00904787" w:rsidRDefault="00904787" w:rsidP="002638E0">
      <w:pPr>
        <w:pStyle w:val="Heading2"/>
      </w:pPr>
      <w:r>
        <w:t>It will be necessary to retain as much flexibility as possible over the levels of reserves.</w:t>
      </w:r>
    </w:p>
    <w:p w:rsidR="00904787" w:rsidRDefault="00904787" w:rsidP="00314352">
      <w:pPr>
        <w:pStyle w:val="Heading2"/>
        <w:ind w:hanging="718"/>
      </w:pPr>
      <w:r>
        <w:t>The total level of revenue reserves is estimated to be around £43.3m by 31</w:t>
      </w:r>
      <w:r w:rsidRPr="00904787">
        <w:rPr>
          <w:vertAlign w:val="superscript"/>
        </w:rPr>
        <w:t>st</w:t>
      </w:r>
      <w:r>
        <w:t xml:space="preserve"> March 2024, depending on the use of earmarked reserves and the other factors influencing the use for serves in 2023/24.</w:t>
      </w:r>
    </w:p>
    <w:p w:rsidR="00904787" w:rsidRDefault="00904787" w:rsidP="00314352">
      <w:pPr>
        <w:pStyle w:val="Heading2"/>
        <w:ind w:hanging="718"/>
      </w:pPr>
      <w:r>
        <w:t>I am therefore able to confirm that, in my professional opinion:</w:t>
      </w:r>
    </w:p>
    <w:p w:rsidR="00904787" w:rsidRDefault="00904787" w:rsidP="002638E0">
      <w:pPr>
        <w:pStyle w:val="ListBullet"/>
        <w:jc w:val="both"/>
      </w:pPr>
      <w:r>
        <w:t>The estimates made for the purposes of the calculations of the commissioner’s budget requirement for 2023/24, under Section 32 of the Local Government Finance Act 1992 contained in the report are robust.</w:t>
      </w:r>
    </w:p>
    <w:p w:rsidR="00904787" w:rsidRDefault="00904787" w:rsidP="002638E0">
      <w:pPr>
        <w:pStyle w:val="ListBullet"/>
        <w:jc w:val="both"/>
      </w:pPr>
      <w:r>
        <w:t>The Financial reserves that will remain available to the Commissioner, as a result of agreeing the proposals contained in this report are adequate.</w:t>
      </w:r>
    </w:p>
    <w:p w:rsidR="00904787" w:rsidRDefault="00904787" w:rsidP="00904787">
      <w:pPr>
        <w:pStyle w:val="ListBullet"/>
        <w:numPr>
          <w:ilvl w:val="0"/>
          <w:numId w:val="0"/>
        </w:numPr>
        <w:ind w:left="1077"/>
        <w:rPr>
          <w:b/>
        </w:rPr>
      </w:pPr>
    </w:p>
    <w:p w:rsidR="00904787" w:rsidRPr="00904787" w:rsidRDefault="00904787" w:rsidP="00314352">
      <w:pPr>
        <w:pStyle w:val="ListBullet"/>
        <w:numPr>
          <w:ilvl w:val="0"/>
          <w:numId w:val="0"/>
        </w:numPr>
        <w:ind w:left="1077" w:hanging="1219"/>
        <w:rPr>
          <w:b/>
        </w:rPr>
      </w:pPr>
      <w:r w:rsidRPr="00904787">
        <w:rPr>
          <w:b/>
        </w:rPr>
        <w:t>Mark Kenyon</w:t>
      </w:r>
    </w:p>
    <w:p w:rsidR="00904787" w:rsidRDefault="00904787" w:rsidP="00314352">
      <w:pPr>
        <w:pStyle w:val="ListBullet"/>
        <w:numPr>
          <w:ilvl w:val="0"/>
          <w:numId w:val="0"/>
        </w:numPr>
        <w:ind w:left="1077" w:hanging="1219"/>
        <w:rPr>
          <w:b/>
        </w:rPr>
      </w:pPr>
      <w:r w:rsidRPr="00904787">
        <w:rPr>
          <w:b/>
        </w:rPr>
        <w:t>Chief Finance Officer</w:t>
      </w:r>
    </w:p>
    <w:p w:rsidR="002638E0" w:rsidRDefault="002638E0">
      <w:pPr>
        <w:spacing w:after="200"/>
        <w:rPr>
          <w:rFonts w:eastAsia="Times New Roman" w:cs="Times New Roman"/>
          <w:b/>
          <w:spacing w:val="5"/>
          <w:szCs w:val="48"/>
          <w:lang w:eastAsia="en-GB"/>
        </w:rPr>
      </w:pPr>
      <w:r>
        <w:br w:type="page"/>
      </w:r>
    </w:p>
    <w:p w:rsidR="00904787" w:rsidRDefault="00904787" w:rsidP="002638E0">
      <w:pPr>
        <w:pStyle w:val="Heading1"/>
      </w:pPr>
      <w:r>
        <w:lastRenderedPageBreak/>
        <w:t xml:space="preserve">Appendix </w:t>
      </w:r>
      <w:r w:rsidR="00B67875">
        <w:t>7</w:t>
      </w:r>
      <w:r>
        <w:t xml:space="preserve"> – Statement of Prudential Indicators</w:t>
      </w:r>
    </w:p>
    <w:p w:rsidR="00904787" w:rsidRPr="00906192" w:rsidRDefault="00906192" w:rsidP="002638E0">
      <w:pPr>
        <w:pStyle w:val="Heading2"/>
      </w:pPr>
      <w:r>
        <w:t xml:space="preserve">The Prudential Code for Capital Financing in Local Authorities (Prudential Code) is applicable to </w:t>
      </w:r>
      <w:r w:rsidRPr="00186B91">
        <w:t>the Police and Crime Commissioner and has been developed by the Chartered Institute of Public Finance and Accountancy (CIPFA) to provide a code of practice to underpin the system of capital finance embodied in Part 1 of the Local Government Act 2003. PCCs, like Local Authorities, are free to determine their own level of capital investment controlled by self-regulation</w:t>
      </w:r>
      <w:r>
        <w:t>.</w:t>
      </w:r>
    </w:p>
    <w:p w:rsidR="00906192" w:rsidRPr="00BE2288" w:rsidRDefault="00906192" w:rsidP="002638E0">
      <w:pPr>
        <w:pStyle w:val="Heading2"/>
      </w:pPr>
      <w:r>
        <w:t>The key</w:t>
      </w:r>
      <w:r w:rsidRPr="00906192">
        <w:t xml:space="preserve"> </w:t>
      </w:r>
      <w:r w:rsidRPr="00BE2288">
        <w:t>objectives of the Prudential Code are to ensure that capital investment plans are affordable, prudent and sustainable.</w:t>
      </w:r>
    </w:p>
    <w:p w:rsidR="00906192" w:rsidRDefault="00906192" w:rsidP="002638E0">
      <w:pPr>
        <w:pStyle w:val="Heading2"/>
      </w:pPr>
      <w:r w:rsidRPr="00BE2288">
        <w:t>The Prudential Code supports a system of self-regulation that is achieved by the setting and monitoring of a suite of Prudential Indicators that directly relate to each other.  The indicators establish parameters within which the PCC should operate to ensure the objectives of the Prudential Code are met.</w:t>
      </w:r>
    </w:p>
    <w:p w:rsidR="00906192" w:rsidRPr="006E622A" w:rsidRDefault="00906192" w:rsidP="002638E0">
      <w:pPr>
        <w:pStyle w:val="Heading2"/>
      </w:pPr>
      <w:r>
        <w:t xml:space="preserve">In setting the prudential indicators, the PCC must give due regard to the following </w:t>
      </w:r>
      <w:r w:rsidRPr="006E622A">
        <w:t>matters</w:t>
      </w:r>
      <w:r>
        <w:t>:</w:t>
      </w:r>
    </w:p>
    <w:p w:rsidR="00906192" w:rsidRPr="006E622A" w:rsidRDefault="00906192" w:rsidP="00906192">
      <w:pPr>
        <w:pStyle w:val="ListBullet"/>
      </w:pPr>
      <w:r w:rsidRPr="006E622A">
        <w:t>Service objectives, e.g. strategic planning for the authority</w:t>
      </w:r>
    </w:p>
    <w:p w:rsidR="00906192" w:rsidRPr="006E622A" w:rsidRDefault="00906192" w:rsidP="00906192">
      <w:pPr>
        <w:pStyle w:val="ListBullet"/>
      </w:pPr>
      <w:r w:rsidRPr="006E622A">
        <w:t xml:space="preserve">Stewardship of assets, </w:t>
      </w:r>
    </w:p>
    <w:p w:rsidR="00906192" w:rsidRPr="006E622A" w:rsidRDefault="00906192" w:rsidP="00906192">
      <w:pPr>
        <w:pStyle w:val="ListBullet"/>
      </w:pPr>
      <w:r w:rsidRPr="006E622A">
        <w:t xml:space="preserve">Value for money, e.g. option appraisal </w:t>
      </w:r>
    </w:p>
    <w:p w:rsidR="00906192" w:rsidRPr="006E622A" w:rsidRDefault="00906192" w:rsidP="00906192">
      <w:pPr>
        <w:pStyle w:val="ListBullet"/>
      </w:pPr>
      <w:r w:rsidRPr="006E622A">
        <w:t>Prudence and sustainability</w:t>
      </w:r>
    </w:p>
    <w:p w:rsidR="00906192" w:rsidRPr="006E622A" w:rsidRDefault="00906192" w:rsidP="00906192">
      <w:pPr>
        <w:pStyle w:val="ListBullet"/>
      </w:pPr>
      <w:r w:rsidRPr="006E622A">
        <w:t>Affordability</w:t>
      </w:r>
    </w:p>
    <w:p w:rsidR="00906192" w:rsidRPr="006E622A" w:rsidRDefault="00906192" w:rsidP="00906192">
      <w:pPr>
        <w:pStyle w:val="ListBullet"/>
      </w:pPr>
      <w:r w:rsidRPr="006E622A">
        <w:t xml:space="preserve">Practicality, e.g. achievability </w:t>
      </w:r>
    </w:p>
    <w:p w:rsidR="00906192" w:rsidRDefault="00906192" w:rsidP="002638E0">
      <w:pPr>
        <w:pStyle w:val="Heading2"/>
      </w:pPr>
      <w:r w:rsidRPr="006E622A">
        <w:t>The Prudential Indicators below will also be reported in the PCC’s 2022/23 Treasury management policy which will be reported to Joint Audit Committee in March 2022. The PCC has adopted the Chartered Institute of Public Finance and Accountancy (CIPFA): Code of Practice for Treasury Ma</w:t>
      </w:r>
      <w:r>
        <w:t xml:space="preserve">nagement in the Public Services. </w:t>
      </w:r>
      <w:r w:rsidRPr="006E622A">
        <w:t>The Prudential Indicators for which the PCC is required to set limits are as follows</w:t>
      </w:r>
      <w:r>
        <w:t>.</w:t>
      </w:r>
    </w:p>
    <w:p w:rsidR="00906192" w:rsidRDefault="00475DB8" w:rsidP="002638E0">
      <w:pPr>
        <w:pStyle w:val="Heading2"/>
      </w:pPr>
      <w:r w:rsidRPr="00475DB8">
        <w:t>The first prudential indicator is</w:t>
      </w:r>
      <w:r>
        <w:rPr>
          <w:b/>
        </w:rPr>
        <w:t xml:space="preserve"> </w:t>
      </w:r>
      <w:r w:rsidR="00906192" w:rsidRPr="00980B08">
        <w:rPr>
          <w:b/>
        </w:rPr>
        <w:t>Capital Expenditure</w:t>
      </w:r>
      <w:r w:rsidR="00906192">
        <w:t xml:space="preserve"> – this prudential indicator is a summary of the PCC’s capital expenditure plans, both those agreed</w:t>
      </w:r>
      <w:r w:rsidR="00980B08">
        <w:t xml:space="preserve"> previously, and those forming part of this budget cycle.  It also forms the background to all other indicators, given that the overall rationale of the prudential system is to provide flexibility for borrowing to fund capital investment.</w:t>
      </w:r>
    </w:p>
    <w:p w:rsidR="00980B08" w:rsidRDefault="00980B08" w:rsidP="002638E0">
      <w:pPr>
        <w:pStyle w:val="Heading2"/>
      </w:pPr>
      <w:r>
        <w:t>The actual amount of capital expenditure that was incur</w:t>
      </w:r>
      <w:r w:rsidR="00475DB8">
        <w:t>red</w:t>
      </w:r>
      <w:r>
        <w:t xml:space="preserve"> during 2021/22, and the estimates of capital expenditure to be incurred for the current and future years that are proposed in the 2023/24 Budget are as fol</w:t>
      </w:r>
      <w:r w:rsidR="00475DB8">
        <w:t>lows.</w:t>
      </w:r>
    </w:p>
    <w:tbl>
      <w:tblPr>
        <w:tblStyle w:val="GridTable4-Accent1"/>
        <w:tblW w:w="0" w:type="auto"/>
        <w:jc w:val="center"/>
        <w:tblInd w:w="0" w:type="dxa"/>
        <w:tblLook w:val="04A0" w:firstRow="1" w:lastRow="0" w:firstColumn="1" w:lastColumn="0" w:noHBand="0" w:noVBand="1"/>
      </w:tblPr>
      <w:tblGrid>
        <w:gridCol w:w="2175"/>
        <w:gridCol w:w="1084"/>
        <w:gridCol w:w="1217"/>
        <w:gridCol w:w="1217"/>
        <w:gridCol w:w="1217"/>
        <w:gridCol w:w="1217"/>
        <w:gridCol w:w="1217"/>
      </w:tblGrid>
      <w:tr w:rsidR="00D77C6B" w:rsidTr="0031435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47" w:type="dxa"/>
          </w:tcPr>
          <w:p w:rsidR="00475DB8" w:rsidRDefault="00475DB8" w:rsidP="00475DB8">
            <w:pPr>
              <w:pStyle w:val="NumPara"/>
              <w:numPr>
                <w:ilvl w:val="0"/>
                <w:numId w:val="0"/>
              </w:numPr>
            </w:pPr>
          </w:p>
        </w:tc>
        <w:tc>
          <w:tcPr>
            <w:tcW w:w="1084" w:type="dxa"/>
          </w:tcPr>
          <w:p w:rsidR="00475DB8" w:rsidRPr="00D77C6B" w:rsidRDefault="00D77C6B" w:rsidP="00D77C6B">
            <w:pPr>
              <w:pStyle w:val="NumPara"/>
              <w:numPr>
                <w:ilvl w:val="0"/>
                <w:numId w:val="0"/>
              </w:numPr>
              <w:jc w:val="right"/>
              <w:cnfStyle w:val="100000000000" w:firstRow="1" w:lastRow="0" w:firstColumn="0" w:lastColumn="0" w:oddVBand="0" w:evenVBand="0" w:oddHBand="0" w:evenHBand="0" w:firstRowFirstColumn="0" w:firstRowLastColumn="0" w:lastRowFirstColumn="0" w:lastRowLastColumn="0"/>
              <w:rPr>
                <w:color w:val="auto"/>
              </w:rPr>
            </w:pPr>
            <w:r w:rsidRPr="00D77C6B">
              <w:rPr>
                <w:color w:val="auto"/>
              </w:rPr>
              <w:t>2021/22 Actual £m</w:t>
            </w:r>
          </w:p>
        </w:tc>
        <w:tc>
          <w:tcPr>
            <w:tcW w:w="1217" w:type="dxa"/>
          </w:tcPr>
          <w:p w:rsidR="00475DB8" w:rsidRPr="00D77C6B" w:rsidRDefault="00D77C6B" w:rsidP="00D77C6B">
            <w:pPr>
              <w:pStyle w:val="NumPara"/>
              <w:numPr>
                <w:ilvl w:val="0"/>
                <w:numId w:val="0"/>
              </w:numPr>
              <w:jc w:val="right"/>
              <w:cnfStyle w:val="100000000000" w:firstRow="1" w:lastRow="0" w:firstColumn="0" w:lastColumn="0" w:oddVBand="0" w:evenVBand="0" w:oddHBand="0" w:evenHBand="0" w:firstRowFirstColumn="0" w:firstRowLastColumn="0" w:lastRowFirstColumn="0" w:lastRowLastColumn="0"/>
              <w:rPr>
                <w:color w:val="auto"/>
              </w:rPr>
            </w:pPr>
            <w:r w:rsidRPr="00D77C6B">
              <w:rPr>
                <w:color w:val="auto"/>
              </w:rPr>
              <w:t>2022/23 Estimate £m</w:t>
            </w:r>
          </w:p>
        </w:tc>
        <w:tc>
          <w:tcPr>
            <w:tcW w:w="1217" w:type="dxa"/>
          </w:tcPr>
          <w:p w:rsidR="00475DB8" w:rsidRPr="00D77C6B" w:rsidRDefault="00D77C6B" w:rsidP="00D77C6B">
            <w:pPr>
              <w:pStyle w:val="NumPara"/>
              <w:numPr>
                <w:ilvl w:val="0"/>
                <w:numId w:val="0"/>
              </w:numPr>
              <w:jc w:val="right"/>
              <w:cnfStyle w:val="100000000000" w:firstRow="1" w:lastRow="0" w:firstColumn="0" w:lastColumn="0" w:oddVBand="0" w:evenVBand="0" w:oddHBand="0" w:evenHBand="0" w:firstRowFirstColumn="0" w:firstRowLastColumn="0" w:lastRowFirstColumn="0" w:lastRowLastColumn="0"/>
              <w:rPr>
                <w:color w:val="auto"/>
              </w:rPr>
            </w:pPr>
            <w:r w:rsidRPr="00D77C6B">
              <w:rPr>
                <w:color w:val="auto"/>
              </w:rPr>
              <w:t>2023/24 Estimate £m</w:t>
            </w:r>
          </w:p>
        </w:tc>
        <w:tc>
          <w:tcPr>
            <w:tcW w:w="1217" w:type="dxa"/>
          </w:tcPr>
          <w:p w:rsidR="00475DB8" w:rsidRPr="00D77C6B" w:rsidRDefault="00D77C6B" w:rsidP="00D77C6B">
            <w:pPr>
              <w:pStyle w:val="NumPara"/>
              <w:numPr>
                <w:ilvl w:val="0"/>
                <w:numId w:val="0"/>
              </w:numPr>
              <w:jc w:val="right"/>
              <w:cnfStyle w:val="100000000000" w:firstRow="1" w:lastRow="0" w:firstColumn="0" w:lastColumn="0" w:oddVBand="0" w:evenVBand="0" w:oddHBand="0" w:evenHBand="0" w:firstRowFirstColumn="0" w:firstRowLastColumn="0" w:lastRowFirstColumn="0" w:lastRowLastColumn="0"/>
              <w:rPr>
                <w:color w:val="auto"/>
              </w:rPr>
            </w:pPr>
            <w:r w:rsidRPr="00D77C6B">
              <w:rPr>
                <w:color w:val="auto"/>
              </w:rPr>
              <w:t>2024/25 Estimate £m</w:t>
            </w:r>
          </w:p>
        </w:tc>
        <w:tc>
          <w:tcPr>
            <w:tcW w:w="1217" w:type="dxa"/>
          </w:tcPr>
          <w:p w:rsidR="00475DB8" w:rsidRPr="00D77C6B" w:rsidRDefault="00D77C6B" w:rsidP="00D77C6B">
            <w:pPr>
              <w:pStyle w:val="NumPara"/>
              <w:numPr>
                <w:ilvl w:val="0"/>
                <w:numId w:val="0"/>
              </w:numPr>
              <w:jc w:val="right"/>
              <w:cnfStyle w:val="100000000000" w:firstRow="1" w:lastRow="0" w:firstColumn="0" w:lastColumn="0" w:oddVBand="0" w:evenVBand="0" w:oddHBand="0" w:evenHBand="0" w:firstRowFirstColumn="0" w:firstRowLastColumn="0" w:lastRowFirstColumn="0" w:lastRowLastColumn="0"/>
              <w:rPr>
                <w:color w:val="auto"/>
              </w:rPr>
            </w:pPr>
            <w:r w:rsidRPr="00D77C6B">
              <w:rPr>
                <w:color w:val="auto"/>
              </w:rPr>
              <w:t>2025/26 Estimate £m</w:t>
            </w:r>
          </w:p>
        </w:tc>
        <w:tc>
          <w:tcPr>
            <w:tcW w:w="1217" w:type="dxa"/>
          </w:tcPr>
          <w:p w:rsidR="00475DB8" w:rsidRPr="00D77C6B" w:rsidRDefault="00D77C6B" w:rsidP="00D77C6B">
            <w:pPr>
              <w:pStyle w:val="NumPara"/>
              <w:numPr>
                <w:ilvl w:val="0"/>
                <w:numId w:val="0"/>
              </w:numPr>
              <w:jc w:val="right"/>
              <w:cnfStyle w:val="100000000000" w:firstRow="1" w:lastRow="0" w:firstColumn="0" w:lastColumn="0" w:oddVBand="0" w:evenVBand="0" w:oddHBand="0" w:evenHBand="0" w:firstRowFirstColumn="0" w:firstRowLastColumn="0" w:lastRowFirstColumn="0" w:lastRowLastColumn="0"/>
              <w:rPr>
                <w:color w:val="auto"/>
              </w:rPr>
            </w:pPr>
            <w:r w:rsidRPr="00D77C6B">
              <w:rPr>
                <w:color w:val="auto"/>
              </w:rPr>
              <w:t>2026/27 Estimate £m</w:t>
            </w:r>
          </w:p>
        </w:tc>
      </w:tr>
      <w:tr w:rsidR="004B1AB0" w:rsidTr="003143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47" w:type="dxa"/>
          </w:tcPr>
          <w:p w:rsidR="004B1AB0" w:rsidRPr="00D77C6B" w:rsidRDefault="004B1AB0" w:rsidP="004B1AB0">
            <w:pPr>
              <w:pStyle w:val="NumPara"/>
              <w:numPr>
                <w:ilvl w:val="0"/>
                <w:numId w:val="0"/>
              </w:numPr>
              <w:rPr>
                <w:b w:val="0"/>
              </w:rPr>
            </w:pPr>
            <w:r w:rsidRPr="00D77C6B">
              <w:rPr>
                <w:b w:val="0"/>
              </w:rPr>
              <w:t>Capital Expenditure</w:t>
            </w:r>
          </w:p>
        </w:tc>
        <w:tc>
          <w:tcPr>
            <w:tcW w:w="1084" w:type="dxa"/>
          </w:tcPr>
          <w:p w:rsidR="004B1AB0" w:rsidRPr="00D77C6B" w:rsidRDefault="004B1AB0" w:rsidP="004B1AB0">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26.0</w:t>
            </w:r>
          </w:p>
        </w:tc>
        <w:tc>
          <w:tcPr>
            <w:tcW w:w="1217" w:type="dxa"/>
          </w:tcPr>
          <w:p w:rsidR="004B1AB0" w:rsidRPr="00590CF6" w:rsidRDefault="004B1AB0" w:rsidP="004B1AB0">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rPr>
                <w:szCs w:val="24"/>
                <w:highlight w:val="yellow"/>
              </w:rPr>
            </w:pPr>
            <w:r w:rsidRPr="00FC194A">
              <w:t>13.8</w:t>
            </w:r>
          </w:p>
        </w:tc>
        <w:tc>
          <w:tcPr>
            <w:tcW w:w="1217" w:type="dxa"/>
          </w:tcPr>
          <w:p w:rsidR="004B1AB0" w:rsidRPr="00590CF6" w:rsidRDefault="004B1AB0" w:rsidP="004B1AB0">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rPr>
                <w:szCs w:val="24"/>
                <w:highlight w:val="yellow"/>
              </w:rPr>
            </w:pPr>
            <w:r w:rsidRPr="00FC194A">
              <w:t>49.4</w:t>
            </w:r>
          </w:p>
        </w:tc>
        <w:tc>
          <w:tcPr>
            <w:tcW w:w="1217" w:type="dxa"/>
          </w:tcPr>
          <w:p w:rsidR="004B1AB0" w:rsidRPr="00590CF6" w:rsidRDefault="004B1AB0" w:rsidP="004B1AB0">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rPr>
                <w:szCs w:val="24"/>
                <w:highlight w:val="yellow"/>
              </w:rPr>
            </w:pPr>
            <w:r w:rsidRPr="00FC194A">
              <w:t xml:space="preserve">50.2 </w:t>
            </w:r>
          </w:p>
        </w:tc>
        <w:tc>
          <w:tcPr>
            <w:tcW w:w="1217" w:type="dxa"/>
          </w:tcPr>
          <w:p w:rsidR="004B1AB0" w:rsidRPr="00590CF6" w:rsidRDefault="004B1AB0" w:rsidP="004B1AB0">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rPr>
                <w:szCs w:val="24"/>
                <w:highlight w:val="yellow"/>
              </w:rPr>
            </w:pPr>
            <w:r w:rsidRPr="00FC194A">
              <w:t xml:space="preserve">44.7 </w:t>
            </w:r>
          </w:p>
        </w:tc>
        <w:tc>
          <w:tcPr>
            <w:tcW w:w="1217" w:type="dxa"/>
          </w:tcPr>
          <w:p w:rsidR="004B1AB0" w:rsidRPr="00590CF6" w:rsidRDefault="004B1AB0" w:rsidP="004B1AB0">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rPr>
                <w:szCs w:val="24"/>
                <w:highlight w:val="yellow"/>
              </w:rPr>
            </w:pPr>
            <w:r w:rsidRPr="00FC194A">
              <w:t xml:space="preserve">46.6 </w:t>
            </w:r>
          </w:p>
        </w:tc>
      </w:tr>
    </w:tbl>
    <w:p w:rsidR="00475DB8" w:rsidRDefault="00475DB8" w:rsidP="00475DB8">
      <w:pPr>
        <w:pStyle w:val="NumPara"/>
        <w:numPr>
          <w:ilvl w:val="0"/>
          <w:numId w:val="0"/>
        </w:numPr>
        <w:ind w:left="851"/>
      </w:pPr>
    </w:p>
    <w:p w:rsidR="00475DB8" w:rsidRPr="00475DB8" w:rsidRDefault="00475DB8" w:rsidP="002638E0">
      <w:pPr>
        <w:pStyle w:val="Heading2"/>
      </w:pPr>
      <w:r>
        <w:t xml:space="preserve">The second </w:t>
      </w:r>
      <w:r w:rsidRPr="00883AAE">
        <w:t xml:space="preserve">prudential indicator is the PCC’s </w:t>
      </w:r>
      <w:r w:rsidRPr="00475DB8">
        <w:rPr>
          <w:b/>
        </w:rPr>
        <w:t>Capital Financing requirement</w:t>
      </w:r>
      <w:r w:rsidRPr="00883AAE">
        <w:t xml:space="preserve"> (CFR). The CFR is simply the total historic outstanding capital expenditure which has not yet been paid for from either revenue or capital resources. It is essentially a measure of indebtedness and so is the underlying borrowing need. </w:t>
      </w:r>
      <w:r w:rsidRPr="00883AAE">
        <w:lastRenderedPageBreak/>
        <w:t>Any capital expenditure above which has not been paid for through a revenue or capital resource, will increase the CFR</w:t>
      </w:r>
      <w:r>
        <w:t xml:space="preserve">.  The </w:t>
      </w:r>
      <w:r w:rsidRPr="00883AAE">
        <w:t>does not increase indefinitely, as the minimum revenue provision (MRP) is a statutory annual revenue charge which broadly reduces the indebtedness in line with each asset’s life, and so charges the economic consumption of capital assets as they are used</w:t>
      </w:r>
      <w:r>
        <w:t>.</w:t>
      </w:r>
    </w:p>
    <w:p w:rsidR="00475DB8" w:rsidRPr="00475DB8" w:rsidRDefault="00475DB8" w:rsidP="002638E0">
      <w:pPr>
        <w:pStyle w:val="Heading2"/>
        <w:rPr>
          <w:b/>
        </w:rPr>
      </w:pPr>
      <w:r>
        <w:t xml:space="preserve">This </w:t>
      </w:r>
      <w:r w:rsidRPr="00475DB8">
        <w:t>Prudential</w:t>
      </w:r>
      <w:r w:rsidRPr="00883AAE">
        <w:t xml:space="preserve"> Indicator also provides an overarching requirement that all the indicators operate within and is described in the Prudential Code as follows</w:t>
      </w:r>
      <w:r>
        <w:t xml:space="preserve"> - </w:t>
      </w:r>
      <w:r w:rsidRPr="00475DB8">
        <w:rPr>
          <w:b/>
        </w:rPr>
        <w:t>“In order to ensure that over the medium term net borrowing will only be for a capital purpose, the PCC should ensure that net external borrowing does not, except in the short term, exceed the total of capital financing requirement in the preceding year plus the estimates of any additional capital financing requirement for the current and next two financial years”.</w:t>
      </w:r>
    </w:p>
    <w:p w:rsidR="00475DB8" w:rsidRPr="00475DB8" w:rsidRDefault="00475DB8" w:rsidP="002638E0">
      <w:pPr>
        <w:pStyle w:val="Heading2"/>
      </w:pPr>
      <w:r>
        <w:t xml:space="preserve">In </w:t>
      </w:r>
      <w:r w:rsidRPr="00A07561">
        <w:t>considering the proposed capital programme for 2022-23, the anticipated future borrowing requirements are considered in the context of overall capital resources and the impact on the revenue budget</w:t>
      </w:r>
      <w:r>
        <w:t>.</w:t>
      </w:r>
    </w:p>
    <w:tbl>
      <w:tblPr>
        <w:tblStyle w:val="GridTable4-Accent1"/>
        <w:tblW w:w="0" w:type="auto"/>
        <w:jc w:val="center"/>
        <w:tblInd w:w="0" w:type="dxa"/>
        <w:tblLook w:val="04A0" w:firstRow="1" w:lastRow="0" w:firstColumn="1" w:lastColumn="0" w:noHBand="0" w:noVBand="1"/>
      </w:tblPr>
      <w:tblGrid>
        <w:gridCol w:w="4451"/>
        <w:gridCol w:w="928"/>
        <w:gridCol w:w="928"/>
        <w:gridCol w:w="928"/>
        <w:gridCol w:w="928"/>
        <w:gridCol w:w="928"/>
      </w:tblGrid>
      <w:tr w:rsidR="008E4806" w:rsidTr="008E480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51" w:type="dxa"/>
          </w:tcPr>
          <w:p w:rsidR="008E4806" w:rsidRDefault="008E4806" w:rsidP="00475DB8">
            <w:pPr>
              <w:pStyle w:val="NumPara"/>
              <w:numPr>
                <w:ilvl w:val="0"/>
                <w:numId w:val="0"/>
              </w:numPr>
            </w:pPr>
          </w:p>
        </w:tc>
        <w:tc>
          <w:tcPr>
            <w:tcW w:w="928" w:type="dxa"/>
          </w:tcPr>
          <w:p w:rsidR="008E4806" w:rsidRPr="008E4806" w:rsidRDefault="008E4806" w:rsidP="00475DB8">
            <w:pPr>
              <w:pStyle w:val="NumPara"/>
              <w:numPr>
                <w:ilvl w:val="0"/>
                <w:numId w:val="0"/>
              </w:numPr>
              <w:cnfStyle w:val="100000000000" w:firstRow="1" w:lastRow="0" w:firstColumn="0" w:lastColumn="0" w:oddVBand="0" w:evenVBand="0" w:oddHBand="0" w:evenHBand="0" w:firstRowFirstColumn="0" w:firstRowLastColumn="0" w:lastRowFirstColumn="0" w:lastRowLastColumn="0"/>
              <w:rPr>
                <w:color w:val="auto"/>
              </w:rPr>
            </w:pPr>
            <w:r w:rsidRPr="008E4806">
              <w:rPr>
                <w:color w:val="auto"/>
              </w:rPr>
              <w:t>31</w:t>
            </w:r>
            <w:r w:rsidRPr="008E4806">
              <w:rPr>
                <w:color w:val="auto"/>
                <w:vertAlign w:val="superscript"/>
              </w:rPr>
              <w:t>st</w:t>
            </w:r>
            <w:r w:rsidRPr="008E4806">
              <w:rPr>
                <w:color w:val="auto"/>
              </w:rPr>
              <w:t xml:space="preserve"> March 2022 £m</w:t>
            </w:r>
          </w:p>
        </w:tc>
        <w:tc>
          <w:tcPr>
            <w:tcW w:w="928" w:type="dxa"/>
          </w:tcPr>
          <w:p w:rsidR="008E4806" w:rsidRPr="008E4806" w:rsidRDefault="008E4806" w:rsidP="00475DB8">
            <w:pPr>
              <w:pStyle w:val="NumPara"/>
              <w:numPr>
                <w:ilvl w:val="0"/>
                <w:numId w:val="0"/>
              </w:numPr>
              <w:cnfStyle w:val="100000000000" w:firstRow="1" w:lastRow="0" w:firstColumn="0" w:lastColumn="0" w:oddVBand="0" w:evenVBand="0" w:oddHBand="0" w:evenHBand="0" w:firstRowFirstColumn="0" w:firstRowLastColumn="0" w:lastRowFirstColumn="0" w:lastRowLastColumn="0"/>
              <w:rPr>
                <w:color w:val="auto"/>
              </w:rPr>
            </w:pPr>
            <w:r w:rsidRPr="008E4806">
              <w:rPr>
                <w:color w:val="auto"/>
              </w:rPr>
              <w:t>31</w:t>
            </w:r>
            <w:r w:rsidRPr="008E4806">
              <w:rPr>
                <w:color w:val="auto"/>
                <w:vertAlign w:val="superscript"/>
              </w:rPr>
              <w:t>st</w:t>
            </w:r>
            <w:r w:rsidRPr="008E4806">
              <w:rPr>
                <w:color w:val="auto"/>
              </w:rPr>
              <w:t xml:space="preserve"> March 2023 £m</w:t>
            </w:r>
          </w:p>
        </w:tc>
        <w:tc>
          <w:tcPr>
            <w:tcW w:w="928" w:type="dxa"/>
          </w:tcPr>
          <w:p w:rsidR="008E4806" w:rsidRPr="008E4806" w:rsidRDefault="008E4806" w:rsidP="00475DB8">
            <w:pPr>
              <w:pStyle w:val="NumPara"/>
              <w:numPr>
                <w:ilvl w:val="0"/>
                <w:numId w:val="0"/>
              </w:numPr>
              <w:cnfStyle w:val="100000000000" w:firstRow="1" w:lastRow="0" w:firstColumn="0" w:lastColumn="0" w:oddVBand="0" w:evenVBand="0" w:oddHBand="0" w:evenHBand="0" w:firstRowFirstColumn="0" w:firstRowLastColumn="0" w:lastRowFirstColumn="0" w:lastRowLastColumn="0"/>
              <w:rPr>
                <w:color w:val="auto"/>
              </w:rPr>
            </w:pPr>
            <w:r w:rsidRPr="008E4806">
              <w:rPr>
                <w:color w:val="auto"/>
              </w:rPr>
              <w:t>31</w:t>
            </w:r>
            <w:r w:rsidRPr="008E4806">
              <w:rPr>
                <w:color w:val="auto"/>
                <w:vertAlign w:val="superscript"/>
              </w:rPr>
              <w:t>st</w:t>
            </w:r>
            <w:r w:rsidRPr="008E4806">
              <w:rPr>
                <w:color w:val="auto"/>
              </w:rPr>
              <w:t xml:space="preserve"> March 2024 £m</w:t>
            </w:r>
          </w:p>
        </w:tc>
        <w:tc>
          <w:tcPr>
            <w:tcW w:w="928" w:type="dxa"/>
          </w:tcPr>
          <w:p w:rsidR="008E4806" w:rsidRPr="008E4806" w:rsidRDefault="008E4806" w:rsidP="00475DB8">
            <w:pPr>
              <w:pStyle w:val="NumPara"/>
              <w:numPr>
                <w:ilvl w:val="0"/>
                <w:numId w:val="0"/>
              </w:numPr>
              <w:cnfStyle w:val="100000000000" w:firstRow="1" w:lastRow="0" w:firstColumn="0" w:lastColumn="0" w:oddVBand="0" w:evenVBand="0" w:oddHBand="0" w:evenHBand="0" w:firstRowFirstColumn="0" w:firstRowLastColumn="0" w:lastRowFirstColumn="0" w:lastRowLastColumn="0"/>
              <w:rPr>
                <w:color w:val="auto"/>
              </w:rPr>
            </w:pPr>
            <w:r w:rsidRPr="008E4806">
              <w:rPr>
                <w:color w:val="auto"/>
              </w:rPr>
              <w:t>31</w:t>
            </w:r>
            <w:r w:rsidRPr="008E4806">
              <w:rPr>
                <w:color w:val="auto"/>
                <w:vertAlign w:val="superscript"/>
              </w:rPr>
              <w:t>st</w:t>
            </w:r>
            <w:r w:rsidRPr="008E4806">
              <w:rPr>
                <w:color w:val="auto"/>
              </w:rPr>
              <w:t xml:space="preserve"> March 2025 £m</w:t>
            </w:r>
          </w:p>
        </w:tc>
        <w:tc>
          <w:tcPr>
            <w:tcW w:w="928" w:type="dxa"/>
          </w:tcPr>
          <w:p w:rsidR="008E4806" w:rsidRPr="008E4806" w:rsidRDefault="008E4806" w:rsidP="00475DB8">
            <w:pPr>
              <w:pStyle w:val="NumPara"/>
              <w:numPr>
                <w:ilvl w:val="0"/>
                <w:numId w:val="0"/>
              </w:numPr>
              <w:cnfStyle w:val="100000000000" w:firstRow="1" w:lastRow="0" w:firstColumn="0" w:lastColumn="0" w:oddVBand="0" w:evenVBand="0" w:oddHBand="0" w:evenHBand="0" w:firstRowFirstColumn="0" w:firstRowLastColumn="0" w:lastRowFirstColumn="0" w:lastRowLastColumn="0"/>
              <w:rPr>
                <w:color w:val="auto"/>
              </w:rPr>
            </w:pPr>
            <w:r w:rsidRPr="008E4806">
              <w:rPr>
                <w:color w:val="auto"/>
              </w:rPr>
              <w:t>31</w:t>
            </w:r>
            <w:r w:rsidRPr="008E4806">
              <w:rPr>
                <w:color w:val="auto"/>
                <w:vertAlign w:val="superscript"/>
              </w:rPr>
              <w:t>st</w:t>
            </w:r>
            <w:r w:rsidRPr="008E4806">
              <w:rPr>
                <w:color w:val="auto"/>
              </w:rPr>
              <w:t xml:space="preserve"> March 2026 £m</w:t>
            </w:r>
          </w:p>
        </w:tc>
      </w:tr>
      <w:tr w:rsidR="008E4806" w:rsidTr="008E48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51" w:type="dxa"/>
          </w:tcPr>
          <w:p w:rsidR="008E4806" w:rsidRPr="008E4806" w:rsidRDefault="008E4806" w:rsidP="00475DB8">
            <w:pPr>
              <w:pStyle w:val="NumPara"/>
              <w:numPr>
                <w:ilvl w:val="0"/>
                <w:numId w:val="0"/>
              </w:numPr>
              <w:rPr>
                <w:b w:val="0"/>
              </w:rPr>
            </w:pPr>
            <w:r w:rsidRPr="008E4806">
              <w:rPr>
                <w:b w:val="0"/>
              </w:rPr>
              <w:t>Capital financing requirement (CFR)</w:t>
            </w:r>
          </w:p>
        </w:tc>
        <w:tc>
          <w:tcPr>
            <w:tcW w:w="928" w:type="dxa"/>
          </w:tcPr>
          <w:p w:rsidR="008E4806" w:rsidRPr="008E4806" w:rsidRDefault="0013797C" w:rsidP="005C0FFE">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76.2</w:t>
            </w:r>
          </w:p>
        </w:tc>
        <w:tc>
          <w:tcPr>
            <w:tcW w:w="928" w:type="dxa"/>
          </w:tcPr>
          <w:p w:rsidR="008E4806" w:rsidRPr="008E4806" w:rsidRDefault="0013797C" w:rsidP="005C0FFE">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74.2</w:t>
            </w:r>
          </w:p>
        </w:tc>
        <w:tc>
          <w:tcPr>
            <w:tcW w:w="928" w:type="dxa"/>
          </w:tcPr>
          <w:p w:rsidR="008E4806" w:rsidRPr="008E4806" w:rsidRDefault="0013797C" w:rsidP="005C0FFE">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109.</w:t>
            </w:r>
            <w:r w:rsidR="004B1AB0">
              <w:t>2</w:t>
            </w:r>
          </w:p>
        </w:tc>
        <w:tc>
          <w:tcPr>
            <w:tcW w:w="928" w:type="dxa"/>
          </w:tcPr>
          <w:p w:rsidR="008E4806" w:rsidRPr="008E4806" w:rsidRDefault="004B1AB0" w:rsidP="005C0FFE">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135.1</w:t>
            </w:r>
          </w:p>
        </w:tc>
        <w:tc>
          <w:tcPr>
            <w:tcW w:w="928" w:type="dxa"/>
          </w:tcPr>
          <w:p w:rsidR="008E4806" w:rsidRPr="008E4806" w:rsidRDefault="004B1AB0" w:rsidP="005C0FFE">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145.2</w:t>
            </w:r>
          </w:p>
        </w:tc>
      </w:tr>
      <w:tr w:rsidR="008E4806" w:rsidTr="008E4806">
        <w:trPr>
          <w:jc w:val="center"/>
        </w:trPr>
        <w:tc>
          <w:tcPr>
            <w:cnfStyle w:val="001000000000" w:firstRow="0" w:lastRow="0" w:firstColumn="1" w:lastColumn="0" w:oddVBand="0" w:evenVBand="0" w:oddHBand="0" w:evenHBand="0" w:firstRowFirstColumn="0" w:firstRowLastColumn="0" w:lastRowFirstColumn="0" w:lastRowLastColumn="0"/>
            <w:tcW w:w="4451" w:type="dxa"/>
          </w:tcPr>
          <w:p w:rsidR="008E4806" w:rsidRPr="008E4806" w:rsidRDefault="008E4806" w:rsidP="00475DB8">
            <w:pPr>
              <w:pStyle w:val="NumPara"/>
              <w:numPr>
                <w:ilvl w:val="0"/>
                <w:numId w:val="0"/>
              </w:numPr>
              <w:rPr>
                <w:b w:val="0"/>
              </w:rPr>
            </w:pPr>
            <w:r w:rsidRPr="008E4806">
              <w:rPr>
                <w:b w:val="0"/>
              </w:rPr>
              <w:t>External borrowing</w:t>
            </w:r>
          </w:p>
        </w:tc>
        <w:tc>
          <w:tcPr>
            <w:tcW w:w="928" w:type="dxa"/>
          </w:tcPr>
          <w:p w:rsidR="008E4806" w:rsidRPr="008E4806" w:rsidRDefault="0013797C" w:rsidP="005C0FFE">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-101.3</w:t>
            </w:r>
          </w:p>
        </w:tc>
        <w:tc>
          <w:tcPr>
            <w:tcW w:w="928" w:type="dxa"/>
          </w:tcPr>
          <w:p w:rsidR="008E4806" w:rsidRPr="008E4806" w:rsidRDefault="0013797C" w:rsidP="005C0FFE">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-105.3</w:t>
            </w:r>
          </w:p>
        </w:tc>
        <w:tc>
          <w:tcPr>
            <w:tcW w:w="928" w:type="dxa"/>
          </w:tcPr>
          <w:p w:rsidR="008E4806" w:rsidRPr="008E4806" w:rsidRDefault="0013797C" w:rsidP="005C0FFE">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-127.0</w:t>
            </w:r>
          </w:p>
        </w:tc>
        <w:tc>
          <w:tcPr>
            <w:tcW w:w="928" w:type="dxa"/>
          </w:tcPr>
          <w:p w:rsidR="008E4806" w:rsidRPr="008E4806" w:rsidRDefault="0013797C" w:rsidP="005C0FFE">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-154.8</w:t>
            </w:r>
          </w:p>
        </w:tc>
        <w:tc>
          <w:tcPr>
            <w:tcW w:w="928" w:type="dxa"/>
          </w:tcPr>
          <w:p w:rsidR="008E4806" w:rsidRPr="008E4806" w:rsidRDefault="0013797C" w:rsidP="005C0FFE">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-167.8</w:t>
            </w:r>
          </w:p>
        </w:tc>
      </w:tr>
      <w:tr w:rsidR="008E4806" w:rsidTr="008E48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51" w:type="dxa"/>
          </w:tcPr>
          <w:p w:rsidR="008E4806" w:rsidRDefault="008E4806" w:rsidP="00475DB8">
            <w:pPr>
              <w:pStyle w:val="NumPara"/>
              <w:numPr>
                <w:ilvl w:val="0"/>
                <w:numId w:val="0"/>
              </w:numPr>
            </w:pPr>
            <w:r>
              <w:t>Variance</w:t>
            </w:r>
          </w:p>
        </w:tc>
        <w:tc>
          <w:tcPr>
            <w:tcW w:w="928" w:type="dxa"/>
          </w:tcPr>
          <w:p w:rsidR="008E4806" w:rsidRDefault="003C261C" w:rsidP="005C0FFE">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-25.1</w:t>
            </w:r>
          </w:p>
        </w:tc>
        <w:tc>
          <w:tcPr>
            <w:tcW w:w="928" w:type="dxa"/>
          </w:tcPr>
          <w:p w:rsidR="008E4806" w:rsidRDefault="003C261C" w:rsidP="005C0FFE">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-31.1</w:t>
            </w:r>
          </w:p>
        </w:tc>
        <w:tc>
          <w:tcPr>
            <w:tcW w:w="928" w:type="dxa"/>
          </w:tcPr>
          <w:p w:rsidR="008E4806" w:rsidRDefault="003C261C" w:rsidP="005C0FFE">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-17.</w:t>
            </w:r>
            <w:r w:rsidR="004B1AB0">
              <w:t>8</w:t>
            </w:r>
          </w:p>
        </w:tc>
        <w:tc>
          <w:tcPr>
            <w:tcW w:w="928" w:type="dxa"/>
          </w:tcPr>
          <w:p w:rsidR="008E4806" w:rsidRDefault="004B1AB0" w:rsidP="005C0FFE">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-19.7</w:t>
            </w:r>
          </w:p>
        </w:tc>
        <w:tc>
          <w:tcPr>
            <w:tcW w:w="928" w:type="dxa"/>
          </w:tcPr>
          <w:p w:rsidR="008E4806" w:rsidRDefault="004B1AB0" w:rsidP="005C0FFE">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-22.6</w:t>
            </w:r>
          </w:p>
        </w:tc>
      </w:tr>
    </w:tbl>
    <w:p w:rsidR="00475DB8" w:rsidRPr="008E4806" w:rsidRDefault="008E4806" w:rsidP="008E4806">
      <w:pPr>
        <w:pStyle w:val="NumPara"/>
        <w:numPr>
          <w:ilvl w:val="0"/>
          <w:numId w:val="0"/>
        </w:numPr>
        <w:rPr>
          <w:i/>
          <w:sz w:val="20"/>
        </w:rPr>
      </w:pPr>
      <w:r w:rsidRPr="008E4806">
        <w:rPr>
          <w:i/>
          <w:sz w:val="20"/>
        </w:rPr>
        <w:t>Note: The C</w:t>
      </w:r>
      <w:r>
        <w:rPr>
          <w:i/>
          <w:sz w:val="20"/>
        </w:rPr>
        <w:t>FR</w:t>
      </w:r>
      <w:r w:rsidRPr="008E4806">
        <w:rPr>
          <w:i/>
          <w:sz w:val="20"/>
        </w:rPr>
        <w:t xml:space="preserve"> increases when expenditure is incurred and reduces when provision is made to repay deb.</w:t>
      </w:r>
    </w:p>
    <w:p w:rsidR="00475DB8" w:rsidRDefault="00475DB8" w:rsidP="002638E0">
      <w:pPr>
        <w:pStyle w:val="Heading2"/>
      </w:pPr>
      <w:r>
        <w:t xml:space="preserve">The third indicator, </w:t>
      </w:r>
      <w:r w:rsidRPr="00475DB8">
        <w:rPr>
          <w:b/>
        </w:rPr>
        <w:t>Ratio of Financing Costs to Net Revenue Stream</w:t>
      </w:r>
      <w:r>
        <w:t xml:space="preserve"> is intended to demonstrate the affordability of capital investment decisions in terms of the ratio of capital financing costs to overall resources, expressed as a percentage.</w:t>
      </w:r>
    </w:p>
    <w:p w:rsidR="00475DB8" w:rsidRPr="00C9772E" w:rsidRDefault="00475DB8" w:rsidP="002638E0">
      <w:pPr>
        <w:pStyle w:val="Heading2"/>
      </w:pPr>
      <w:r>
        <w:t xml:space="preserve">Financing Costs in </w:t>
      </w:r>
      <w:r w:rsidRPr="00C9772E">
        <w:t>include the amount of interest payable in respect of borrowing or other long-term liabilities and the amount the PCC is required to set aside to repay debt, less interest and investments income.</w:t>
      </w:r>
    </w:p>
    <w:p w:rsidR="00475DB8" w:rsidRPr="00C9772E" w:rsidRDefault="00475DB8" w:rsidP="002638E0">
      <w:pPr>
        <w:pStyle w:val="Heading2"/>
      </w:pPr>
      <w:r w:rsidRPr="00C9772E">
        <w:t xml:space="preserve">The Net Revenue Stream is the amount to be met from government grants and local taxation. The prediction of the Net Revenue Stream for future years assumes </w:t>
      </w:r>
      <w:r w:rsidR="00B04CC3">
        <w:t>increases</w:t>
      </w:r>
      <w:r w:rsidRPr="00C9772E">
        <w:t xml:space="preserve"> in the PCC’s funding from government and the local taxpayer consistent with expectations in the Medium-Term Financial Plan.  </w:t>
      </w:r>
    </w:p>
    <w:p w:rsidR="008E4806" w:rsidRDefault="00475DB8" w:rsidP="002638E0">
      <w:pPr>
        <w:pStyle w:val="Heading2"/>
      </w:pPr>
      <w:r w:rsidRPr="00C9772E">
        <w:t>The estimates of the ratio of financing costs to net revenue stream, which are at very low levels, are as follows</w:t>
      </w:r>
      <w:r>
        <w:t>.</w:t>
      </w:r>
    </w:p>
    <w:p w:rsidR="00475DB8" w:rsidRPr="008E4806" w:rsidRDefault="008E4806" w:rsidP="008E4806">
      <w:pPr>
        <w:spacing w:after="200"/>
        <w:rPr>
          <w:rFonts w:eastAsia="Times New Roman" w:cs="Times New Roman"/>
          <w:lang w:eastAsia="en-GB"/>
        </w:rPr>
      </w:pPr>
      <w:r>
        <w:br w:type="page"/>
      </w:r>
    </w:p>
    <w:tbl>
      <w:tblPr>
        <w:tblStyle w:val="GridTable4-Accent1"/>
        <w:tblW w:w="0" w:type="auto"/>
        <w:jc w:val="center"/>
        <w:tblInd w:w="0" w:type="dxa"/>
        <w:tblLook w:val="04A0" w:firstRow="1" w:lastRow="0" w:firstColumn="1" w:lastColumn="0" w:noHBand="0" w:noVBand="1"/>
      </w:tblPr>
      <w:tblGrid>
        <w:gridCol w:w="2779"/>
        <w:gridCol w:w="1458"/>
        <w:gridCol w:w="1457"/>
        <w:gridCol w:w="1457"/>
        <w:gridCol w:w="1458"/>
      </w:tblGrid>
      <w:tr w:rsidR="008E4806" w:rsidTr="008E480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79" w:type="dxa"/>
          </w:tcPr>
          <w:p w:rsidR="008E4806" w:rsidRDefault="008E4806" w:rsidP="00034748">
            <w:pPr>
              <w:pStyle w:val="NumPara"/>
              <w:numPr>
                <w:ilvl w:val="0"/>
                <w:numId w:val="0"/>
              </w:numPr>
            </w:pPr>
          </w:p>
        </w:tc>
        <w:tc>
          <w:tcPr>
            <w:tcW w:w="1458" w:type="dxa"/>
          </w:tcPr>
          <w:p w:rsidR="008E4806" w:rsidRPr="008E4806" w:rsidRDefault="008E4806" w:rsidP="0013797C">
            <w:pPr>
              <w:pStyle w:val="NumPara"/>
              <w:numPr>
                <w:ilvl w:val="0"/>
                <w:numId w:val="0"/>
              </w:numPr>
              <w:jc w:val="right"/>
              <w:cnfStyle w:val="100000000000" w:firstRow="1" w:lastRow="0" w:firstColumn="0" w:lastColumn="0" w:oddVBand="0" w:evenVBand="0" w:oddHBand="0" w:evenHBand="0" w:firstRowFirstColumn="0" w:firstRowLastColumn="0" w:lastRowFirstColumn="0" w:lastRowLastColumn="0"/>
              <w:rPr>
                <w:color w:val="auto"/>
              </w:rPr>
            </w:pPr>
            <w:r w:rsidRPr="008E4806">
              <w:rPr>
                <w:color w:val="auto"/>
              </w:rPr>
              <w:t>2023/24 Estimate £m</w:t>
            </w:r>
          </w:p>
        </w:tc>
        <w:tc>
          <w:tcPr>
            <w:tcW w:w="1457" w:type="dxa"/>
          </w:tcPr>
          <w:p w:rsidR="008E4806" w:rsidRPr="008E4806" w:rsidRDefault="008E4806" w:rsidP="0013797C">
            <w:pPr>
              <w:pStyle w:val="NumPara"/>
              <w:numPr>
                <w:ilvl w:val="0"/>
                <w:numId w:val="0"/>
              </w:numPr>
              <w:jc w:val="right"/>
              <w:cnfStyle w:val="100000000000" w:firstRow="1" w:lastRow="0" w:firstColumn="0" w:lastColumn="0" w:oddVBand="0" w:evenVBand="0" w:oddHBand="0" w:evenHBand="0" w:firstRowFirstColumn="0" w:firstRowLastColumn="0" w:lastRowFirstColumn="0" w:lastRowLastColumn="0"/>
              <w:rPr>
                <w:color w:val="auto"/>
              </w:rPr>
            </w:pPr>
            <w:r w:rsidRPr="008E4806">
              <w:rPr>
                <w:color w:val="auto"/>
              </w:rPr>
              <w:t>2024/25 Estimate £m</w:t>
            </w:r>
          </w:p>
        </w:tc>
        <w:tc>
          <w:tcPr>
            <w:tcW w:w="1457" w:type="dxa"/>
          </w:tcPr>
          <w:p w:rsidR="008E4806" w:rsidRPr="008E4806" w:rsidRDefault="008E4806" w:rsidP="0013797C">
            <w:pPr>
              <w:pStyle w:val="NumPara"/>
              <w:numPr>
                <w:ilvl w:val="0"/>
                <w:numId w:val="0"/>
              </w:numPr>
              <w:jc w:val="right"/>
              <w:cnfStyle w:val="100000000000" w:firstRow="1" w:lastRow="0" w:firstColumn="0" w:lastColumn="0" w:oddVBand="0" w:evenVBand="0" w:oddHBand="0" w:evenHBand="0" w:firstRowFirstColumn="0" w:firstRowLastColumn="0" w:lastRowFirstColumn="0" w:lastRowLastColumn="0"/>
              <w:rPr>
                <w:color w:val="auto"/>
              </w:rPr>
            </w:pPr>
            <w:r w:rsidRPr="008E4806">
              <w:rPr>
                <w:color w:val="auto"/>
              </w:rPr>
              <w:t>2025/26 Estimate £m</w:t>
            </w:r>
          </w:p>
        </w:tc>
        <w:tc>
          <w:tcPr>
            <w:tcW w:w="1458" w:type="dxa"/>
          </w:tcPr>
          <w:p w:rsidR="008E4806" w:rsidRPr="008E4806" w:rsidRDefault="008E4806" w:rsidP="0013797C">
            <w:pPr>
              <w:pStyle w:val="NumPara"/>
              <w:numPr>
                <w:ilvl w:val="0"/>
                <w:numId w:val="0"/>
              </w:numPr>
              <w:jc w:val="right"/>
              <w:cnfStyle w:val="100000000000" w:firstRow="1" w:lastRow="0" w:firstColumn="0" w:lastColumn="0" w:oddVBand="0" w:evenVBand="0" w:oddHBand="0" w:evenHBand="0" w:firstRowFirstColumn="0" w:firstRowLastColumn="0" w:lastRowFirstColumn="0" w:lastRowLastColumn="0"/>
              <w:rPr>
                <w:color w:val="auto"/>
              </w:rPr>
            </w:pPr>
            <w:r w:rsidRPr="008E4806">
              <w:rPr>
                <w:color w:val="auto"/>
              </w:rPr>
              <w:t>2026/27 Estimate £m</w:t>
            </w:r>
          </w:p>
        </w:tc>
      </w:tr>
      <w:tr w:rsidR="008E4806" w:rsidTr="008E48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79" w:type="dxa"/>
          </w:tcPr>
          <w:p w:rsidR="008E4806" w:rsidRPr="008E4806" w:rsidRDefault="008E4806" w:rsidP="00034748">
            <w:pPr>
              <w:pStyle w:val="NumPara"/>
              <w:numPr>
                <w:ilvl w:val="0"/>
                <w:numId w:val="0"/>
              </w:numPr>
              <w:rPr>
                <w:b w:val="0"/>
              </w:rPr>
            </w:pPr>
            <w:r w:rsidRPr="008E4806">
              <w:rPr>
                <w:b w:val="0"/>
              </w:rPr>
              <w:t>Financing Costs</w:t>
            </w:r>
          </w:p>
        </w:tc>
        <w:tc>
          <w:tcPr>
            <w:tcW w:w="1458" w:type="dxa"/>
          </w:tcPr>
          <w:p w:rsidR="008E4806" w:rsidRPr="008E4806" w:rsidRDefault="00262C67" w:rsidP="005C0FFE">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4.0</w:t>
            </w:r>
          </w:p>
        </w:tc>
        <w:tc>
          <w:tcPr>
            <w:tcW w:w="1457" w:type="dxa"/>
          </w:tcPr>
          <w:p w:rsidR="008E4806" w:rsidRPr="008E4806" w:rsidRDefault="004B1AB0" w:rsidP="005C0FFE">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8.1</w:t>
            </w:r>
          </w:p>
        </w:tc>
        <w:tc>
          <w:tcPr>
            <w:tcW w:w="1457" w:type="dxa"/>
          </w:tcPr>
          <w:p w:rsidR="008E4806" w:rsidRPr="008E4806" w:rsidRDefault="004B1AB0" w:rsidP="005C0FFE">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9.5</w:t>
            </w:r>
          </w:p>
        </w:tc>
        <w:tc>
          <w:tcPr>
            <w:tcW w:w="1458" w:type="dxa"/>
          </w:tcPr>
          <w:p w:rsidR="008E4806" w:rsidRPr="008E4806" w:rsidRDefault="004B1AB0" w:rsidP="005C0FFE">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8.0</w:t>
            </w:r>
          </w:p>
        </w:tc>
      </w:tr>
      <w:tr w:rsidR="008E4806" w:rsidTr="008E4806">
        <w:trPr>
          <w:jc w:val="center"/>
        </w:trPr>
        <w:tc>
          <w:tcPr>
            <w:cnfStyle w:val="001000000000" w:firstRow="0" w:lastRow="0" w:firstColumn="1" w:lastColumn="0" w:oddVBand="0" w:evenVBand="0" w:oddHBand="0" w:evenHBand="0" w:firstRowFirstColumn="0" w:firstRowLastColumn="0" w:lastRowFirstColumn="0" w:lastRowLastColumn="0"/>
            <w:tcW w:w="2779" w:type="dxa"/>
          </w:tcPr>
          <w:p w:rsidR="008E4806" w:rsidRPr="008E4806" w:rsidRDefault="008E4806" w:rsidP="00034748">
            <w:pPr>
              <w:pStyle w:val="NumPara"/>
              <w:numPr>
                <w:ilvl w:val="0"/>
                <w:numId w:val="0"/>
              </w:numPr>
              <w:rPr>
                <w:b w:val="0"/>
              </w:rPr>
            </w:pPr>
            <w:r w:rsidRPr="008E4806">
              <w:rPr>
                <w:b w:val="0"/>
              </w:rPr>
              <w:t>Net Revenue Stream</w:t>
            </w:r>
          </w:p>
        </w:tc>
        <w:tc>
          <w:tcPr>
            <w:tcW w:w="1458" w:type="dxa"/>
          </w:tcPr>
          <w:p w:rsidR="008E4806" w:rsidRPr="008E4806" w:rsidRDefault="00262C67" w:rsidP="005C0FFE">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722.1</w:t>
            </w:r>
          </w:p>
        </w:tc>
        <w:tc>
          <w:tcPr>
            <w:tcW w:w="1457" w:type="dxa"/>
          </w:tcPr>
          <w:p w:rsidR="008E4806" w:rsidRPr="008E4806" w:rsidRDefault="00262C67" w:rsidP="005C0FFE">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738.3</w:t>
            </w:r>
          </w:p>
        </w:tc>
        <w:tc>
          <w:tcPr>
            <w:tcW w:w="1457" w:type="dxa"/>
          </w:tcPr>
          <w:p w:rsidR="008E4806" w:rsidRPr="008E4806" w:rsidRDefault="00262C67" w:rsidP="005C0FFE">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753.6</w:t>
            </w:r>
          </w:p>
        </w:tc>
        <w:tc>
          <w:tcPr>
            <w:tcW w:w="1458" w:type="dxa"/>
          </w:tcPr>
          <w:p w:rsidR="008E4806" w:rsidRPr="008E4806" w:rsidRDefault="00262C67" w:rsidP="005C0FFE">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772.2</w:t>
            </w:r>
          </w:p>
        </w:tc>
      </w:tr>
      <w:tr w:rsidR="008E4806" w:rsidTr="008E48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79" w:type="dxa"/>
          </w:tcPr>
          <w:p w:rsidR="008E4806" w:rsidRPr="008E4806" w:rsidRDefault="008E4806" w:rsidP="00034748">
            <w:pPr>
              <w:pStyle w:val="NumPara"/>
              <w:numPr>
                <w:ilvl w:val="0"/>
                <w:numId w:val="0"/>
              </w:numPr>
              <w:rPr>
                <w:b w:val="0"/>
              </w:rPr>
            </w:pPr>
            <w:r w:rsidRPr="008E4806">
              <w:rPr>
                <w:b w:val="0"/>
              </w:rPr>
              <w:t>Ratio</w:t>
            </w:r>
          </w:p>
        </w:tc>
        <w:tc>
          <w:tcPr>
            <w:tcW w:w="1458" w:type="dxa"/>
          </w:tcPr>
          <w:p w:rsidR="008E4806" w:rsidRPr="008E4806" w:rsidRDefault="004B1AB0" w:rsidP="005C0FFE">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0.57%</w:t>
            </w:r>
          </w:p>
        </w:tc>
        <w:tc>
          <w:tcPr>
            <w:tcW w:w="1457" w:type="dxa"/>
          </w:tcPr>
          <w:p w:rsidR="008E4806" w:rsidRPr="008E4806" w:rsidRDefault="004B1AB0" w:rsidP="005C0FFE">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1.10%</w:t>
            </w:r>
          </w:p>
        </w:tc>
        <w:tc>
          <w:tcPr>
            <w:tcW w:w="1457" w:type="dxa"/>
          </w:tcPr>
          <w:p w:rsidR="008E4806" w:rsidRPr="008E4806" w:rsidRDefault="004B1AB0" w:rsidP="005C0FFE">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1.26%</w:t>
            </w:r>
          </w:p>
        </w:tc>
        <w:tc>
          <w:tcPr>
            <w:tcW w:w="1458" w:type="dxa"/>
          </w:tcPr>
          <w:p w:rsidR="008E4806" w:rsidRPr="008E4806" w:rsidRDefault="004B1AB0" w:rsidP="005C0FFE">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1.03%</w:t>
            </w:r>
          </w:p>
        </w:tc>
      </w:tr>
    </w:tbl>
    <w:p w:rsidR="00034748" w:rsidRDefault="00034748" w:rsidP="00034748">
      <w:pPr>
        <w:pStyle w:val="NumPara"/>
        <w:numPr>
          <w:ilvl w:val="0"/>
          <w:numId w:val="0"/>
        </w:numPr>
        <w:ind w:left="851"/>
      </w:pPr>
    </w:p>
    <w:p w:rsidR="00034748" w:rsidRPr="00055ABF" w:rsidRDefault="00034748" w:rsidP="002638E0">
      <w:pPr>
        <w:pStyle w:val="Heading2"/>
      </w:pPr>
      <w:r>
        <w:t xml:space="preserve">The next set of indicators are </w:t>
      </w:r>
      <w:r w:rsidRPr="00034748">
        <w:rPr>
          <w:b/>
        </w:rPr>
        <w:t>Authorised Limit, Operational Boundary and Actual External Debt</w:t>
      </w:r>
      <w:r>
        <w:t xml:space="preserve">, these indicators </w:t>
      </w:r>
      <w:r w:rsidRPr="00055ABF">
        <w:t>are intended to ensure that levels of external borrowing are affordable, prudent and sustainable. The Authorised Limit for external debt is a statutory limit that should not be breached under any circumstances. The proposed limits set out below have been calculated to take account of the current PCC’s Capital Expenditure and Financing Plans and allowing for the possibility of unusual cash movements. If this limit is likely to be breached, it would be necessary for the PCC to determine if it is prudent to raise the limit or to instigate procedures to ensure that such a breach does not occur.</w:t>
      </w:r>
    </w:p>
    <w:p w:rsidR="00034748" w:rsidRPr="00055ABF" w:rsidRDefault="00034748" w:rsidP="002638E0">
      <w:pPr>
        <w:pStyle w:val="Heading2"/>
      </w:pPr>
      <w:r w:rsidRPr="00055ABF">
        <w:t>The Operational Boundary is the limit beyond which external debt is not normally expected to exceed. It is a management tool for day to day monitoring and has been calculated with regard to the PCC’s Capital Expenditure and Financing Plans allowing for the most likely, prudent, but not worst-case scenario for cash flow. Temporary breaches of the Operational Boundary, due to variations in cash flow, will not be regarded as significant.</w:t>
      </w:r>
    </w:p>
    <w:p w:rsidR="00034748" w:rsidRDefault="00034748" w:rsidP="002638E0">
      <w:pPr>
        <w:pStyle w:val="Heading2"/>
      </w:pPr>
      <w:r w:rsidRPr="00055ABF">
        <w:t>The following limits are recommended</w:t>
      </w:r>
      <w:r>
        <w:t>.</w:t>
      </w:r>
    </w:p>
    <w:tbl>
      <w:tblPr>
        <w:tblStyle w:val="GridTable4-Accent1"/>
        <w:tblW w:w="0" w:type="auto"/>
        <w:jc w:val="center"/>
        <w:tblInd w:w="0" w:type="dxa"/>
        <w:tblLook w:val="04A0" w:firstRow="1" w:lastRow="0" w:firstColumn="1" w:lastColumn="0" w:noHBand="0" w:noVBand="1"/>
      </w:tblPr>
      <w:tblGrid>
        <w:gridCol w:w="4114"/>
        <w:gridCol w:w="1157"/>
        <w:gridCol w:w="1157"/>
        <w:gridCol w:w="1157"/>
      </w:tblGrid>
      <w:tr w:rsidR="008E4806" w:rsidTr="008E480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4" w:type="dxa"/>
          </w:tcPr>
          <w:p w:rsidR="008E4806" w:rsidRDefault="008E4806" w:rsidP="00034748">
            <w:pPr>
              <w:pStyle w:val="NumPara"/>
              <w:numPr>
                <w:ilvl w:val="0"/>
                <w:numId w:val="0"/>
              </w:numPr>
            </w:pPr>
          </w:p>
        </w:tc>
        <w:tc>
          <w:tcPr>
            <w:tcW w:w="1157" w:type="dxa"/>
          </w:tcPr>
          <w:p w:rsidR="008E4806" w:rsidRPr="008E4806" w:rsidRDefault="008E4806" w:rsidP="008E4806">
            <w:pPr>
              <w:pStyle w:val="NumPara"/>
              <w:numPr>
                <w:ilvl w:val="0"/>
                <w:numId w:val="0"/>
              </w:numPr>
              <w:jc w:val="right"/>
              <w:cnfStyle w:val="100000000000" w:firstRow="1" w:lastRow="0" w:firstColumn="0" w:lastColumn="0" w:oddVBand="0" w:evenVBand="0" w:oddHBand="0" w:evenHBand="0" w:firstRowFirstColumn="0" w:firstRowLastColumn="0" w:lastRowFirstColumn="0" w:lastRowLastColumn="0"/>
              <w:rPr>
                <w:color w:val="auto"/>
              </w:rPr>
            </w:pPr>
            <w:r w:rsidRPr="008E4806">
              <w:rPr>
                <w:color w:val="auto"/>
              </w:rPr>
              <w:t>2023/24 £m</w:t>
            </w:r>
          </w:p>
        </w:tc>
        <w:tc>
          <w:tcPr>
            <w:tcW w:w="1157" w:type="dxa"/>
          </w:tcPr>
          <w:p w:rsidR="008E4806" w:rsidRPr="008E4806" w:rsidRDefault="008E4806" w:rsidP="008E4806">
            <w:pPr>
              <w:pStyle w:val="NumPara"/>
              <w:numPr>
                <w:ilvl w:val="0"/>
                <w:numId w:val="0"/>
              </w:numPr>
              <w:jc w:val="right"/>
              <w:cnfStyle w:val="100000000000" w:firstRow="1" w:lastRow="0" w:firstColumn="0" w:lastColumn="0" w:oddVBand="0" w:evenVBand="0" w:oddHBand="0" w:evenHBand="0" w:firstRowFirstColumn="0" w:firstRowLastColumn="0" w:lastRowFirstColumn="0" w:lastRowLastColumn="0"/>
              <w:rPr>
                <w:color w:val="auto"/>
              </w:rPr>
            </w:pPr>
            <w:r w:rsidRPr="008E4806">
              <w:rPr>
                <w:color w:val="auto"/>
              </w:rPr>
              <w:t>2024/25 £m</w:t>
            </w:r>
          </w:p>
        </w:tc>
        <w:tc>
          <w:tcPr>
            <w:tcW w:w="1157" w:type="dxa"/>
          </w:tcPr>
          <w:p w:rsidR="008E4806" w:rsidRPr="008E4806" w:rsidRDefault="008E4806" w:rsidP="008E4806">
            <w:pPr>
              <w:pStyle w:val="NumPara"/>
              <w:numPr>
                <w:ilvl w:val="0"/>
                <w:numId w:val="0"/>
              </w:numPr>
              <w:jc w:val="right"/>
              <w:cnfStyle w:val="100000000000" w:firstRow="1" w:lastRow="0" w:firstColumn="0" w:lastColumn="0" w:oddVBand="0" w:evenVBand="0" w:oddHBand="0" w:evenHBand="0" w:firstRowFirstColumn="0" w:firstRowLastColumn="0" w:lastRowFirstColumn="0" w:lastRowLastColumn="0"/>
              <w:rPr>
                <w:color w:val="auto"/>
              </w:rPr>
            </w:pPr>
            <w:r w:rsidRPr="008E4806">
              <w:rPr>
                <w:color w:val="auto"/>
              </w:rPr>
              <w:t>2025/26 £m</w:t>
            </w:r>
          </w:p>
        </w:tc>
      </w:tr>
      <w:tr w:rsidR="008E4806" w:rsidTr="00262C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4" w:type="dxa"/>
          </w:tcPr>
          <w:p w:rsidR="008E4806" w:rsidRPr="008E4806" w:rsidRDefault="008E4806" w:rsidP="00034748">
            <w:pPr>
              <w:pStyle w:val="NumPara"/>
              <w:numPr>
                <w:ilvl w:val="0"/>
                <w:numId w:val="0"/>
              </w:numPr>
              <w:rPr>
                <w:b w:val="0"/>
              </w:rPr>
            </w:pPr>
            <w:r>
              <w:t xml:space="preserve">Authorised Limit for external debt: </w:t>
            </w:r>
            <w:r>
              <w:rPr>
                <w:b w:val="0"/>
              </w:rPr>
              <w:t>Borrowing</w:t>
            </w:r>
          </w:p>
        </w:tc>
        <w:tc>
          <w:tcPr>
            <w:tcW w:w="1157" w:type="dxa"/>
            <w:vAlign w:val="bottom"/>
          </w:tcPr>
          <w:p w:rsidR="008E4806" w:rsidRDefault="00262C67" w:rsidP="005C0FFE">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140</w:t>
            </w:r>
          </w:p>
        </w:tc>
        <w:tc>
          <w:tcPr>
            <w:tcW w:w="1157" w:type="dxa"/>
            <w:vAlign w:val="bottom"/>
          </w:tcPr>
          <w:p w:rsidR="008E4806" w:rsidRDefault="00262C67" w:rsidP="005C0FFE">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170</w:t>
            </w:r>
          </w:p>
        </w:tc>
        <w:tc>
          <w:tcPr>
            <w:tcW w:w="1157" w:type="dxa"/>
            <w:vAlign w:val="bottom"/>
          </w:tcPr>
          <w:p w:rsidR="008E4806" w:rsidRDefault="00262C67" w:rsidP="005C0FFE">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185</w:t>
            </w:r>
          </w:p>
        </w:tc>
      </w:tr>
      <w:tr w:rsidR="008E4806" w:rsidTr="00262C67">
        <w:trPr>
          <w:jc w:val="center"/>
        </w:trPr>
        <w:tc>
          <w:tcPr>
            <w:cnfStyle w:val="001000000000" w:firstRow="0" w:lastRow="0" w:firstColumn="1" w:lastColumn="0" w:oddVBand="0" w:evenVBand="0" w:oddHBand="0" w:evenHBand="0" w:firstRowFirstColumn="0" w:firstRowLastColumn="0" w:lastRowFirstColumn="0" w:lastRowLastColumn="0"/>
            <w:tcW w:w="4114" w:type="dxa"/>
          </w:tcPr>
          <w:p w:rsidR="008E4806" w:rsidRPr="008E4806" w:rsidRDefault="008E4806" w:rsidP="00034748">
            <w:pPr>
              <w:pStyle w:val="NumPara"/>
              <w:numPr>
                <w:ilvl w:val="0"/>
                <w:numId w:val="0"/>
              </w:numPr>
              <w:rPr>
                <w:b w:val="0"/>
              </w:rPr>
            </w:pPr>
            <w:r>
              <w:t xml:space="preserve">Operational Boundary: </w:t>
            </w:r>
            <w:r>
              <w:rPr>
                <w:b w:val="0"/>
              </w:rPr>
              <w:t>Borrowing</w:t>
            </w:r>
          </w:p>
        </w:tc>
        <w:tc>
          <w:tcPr>
            <w:tcW w:w="1157" w:type="dxa"/>
            <w:vAlign w:val="bottom"/>
          </w:tcPr>
          <w:p w:rsidR="008E4806" w:rsidRDefault="00262C67" w:rsidP="005C0FFE">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135</w:t>
            </w:r>
          </w:p>
        </w:tc>
        <w:tc>
          <w:tcPr>
            <w:tcW w:w="1157" w:type="dxa"/>
            <w:vAlign w:val="bottom"/>
          </w:tcPr>
          <w:p w:rsidR="008E4806" w:rsidRDefault="00262C67" w:rsidP="005C0FFE">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165</w:t>
            </w:r>
          </w:p>
        </w:tc>
        <w:tc>
          <w:tcPr>
            <w:tcW w:w="1157" w:type="dxa"/>
            <w:vAlign w:val="bottom"/>
          </w:tcPr>
          <w:p w:rsidR="008E4806" w:rsidRDefault="00262C67" w:rsidP="005C0FFE">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180</w:t>
            </w:r>
          </w:p>
        </w:tc>
      </w:tr>
    </w:tbl>
    <w:p w:rsidR="00034748" w:rsidRDefault="00034748" w:rsidP="00034748">
      <w:pPr>
        <w:pStyle w:val="NumPara"/>
        <w:numPr>
          <w:ilvl w:val="0"/>
          <w:numId w:val="0"/>
        </w:numPr>
        <w:ind w:left="851"/>
      </w:pPr>
    </w:p>
    <w:p w:rsidR="00034748" w:rsidRDefault="00034748" w:rsidP="002638E0">
      <w:pPr>
        <w:pStyle w:val="Heading2"/>
      </w:pPr>
      <w:r>
        <w:t>The PCC’s actual external debt as at 31</w:t>
      </w:r>
      <w:r w:rsidRPr="00034748">
        <w:rPr>
          <w:vertAlign w:val="superscript"/>
        </w:rPr>
        <w:t>st</w:t>
      </w:r>
      <w:r>
        <w:t xml:space="preserve"> March 2023 is anticipated to be </w:t>
      </w:r>
      <w:r w:rsidRPr="00262C67">
        <w:t>£</w:t>
      </w:r>
      <w:r w:rsidR="00262C67" w:rsidRPr="00262C67">
        <w:t>105.3</w:t>
      </w:r>
      <w:r w:rsidRPr="00262C67">
        <w:t>m</w:t>
      </w:r>
      <w:r>
        <w:t>, excluding transferred debt managed by Dudley MBC.</w:t>
      </w:r>
    </w:p>
    <w:p w:rsidR="00034748" w:rsidRDefault="00034748" w:rsidP="002638E0">
      <w:pPr>
        <w:pStyle w:val="Heading2"/>
      </w:pPr>
      <w:r>
        <w:t xml:space="preserve">The </w:t>
      </w:r>
      <w:r>
        <w:rPr>
          <w:b/>
        </w:rPr>
        <w:t xml:space="preserve">Incremental Impact of Capital Investment Decisions on the Council Tax </w:t>
      </w:r>
      <w:r>
        <w:t>indicator is intended to demonstrate the affordability of capital investment decisions in terms of their impact on the precept.</w:t>
      </w:r>
    </w:p>
    <w:p w:rsidR="008E4806" w:rsidRDefault="00034748" w:rsidP="002638E0">
      <w:pPr>
        <w:pStyle w:val="Heading2"/>
        <w:rPr>
          <w:rFonts w:cs="Arial"/>
        </w:rPr>
      </w:pPr>
      <w:r>
        <w:t xml:space="preserve">As per the </w:t>
      </w:r>
      <w:r w:rsidRPr="006E622A">
        <w:rPr>
          <w:rFonts w:cs="Arial"/>
        </w:rPr>
        <w:t>Capital Programme, the PCC may propose to undertake borrowing to fund capital investment, the incremental impact on the precept is shown below</w:t>
      </w:r>
      <w:r>
        <w:rPr>
          <w:rFonts w:cs="Arial"/>
        </w:rPr>
        <w:t>.</w:t>
      </w:r>
    </w:p>
    <w:p w:rsidR="008E4806" w:rsidRDefault="008E4806">
      <w:pPr>
        <w:spacing w:after="200"/>
        <w:rPr>
          <w:rFonts w:eastAsia="Times New Roman" w:cs="Arial"/>
          <w:lang w:eastAsia="en-GB"/>
        </w:rPr>
      </w:pPr>
      <w:r>
        <w:rPr>
          <w:rFonts w:cs="Arial"/>
        </w:rPr>
        <w:br w:type="page"/>
      </w:r>
    </w:p>
    <w:tbl>
      <w:tblPr>
        <w:tblStyle w:val="GridTable4-Accent1"/>
        <w:tblW w:w="0" w:type="auto"/>
        <w:jc w:val="center"/>
        <w:tblInd w:w="0" w:type="dxa"/>
        <w:tblLook w:val="04A0" w:firstRow="1" w:lastRow="0" w:firstColumn="1" w:lastColumn="0" w:noHBand="0" w:noVBand="1"/>
      </w:tblPr>
      <w:tblGrid>
        <w:gridCol w:w="3839"/>
        <w:gridCol w:w="1146"/>
        <w:gridCol w:w="1145"/>
        <w:gridCol w:w="1145"/>
        <w:gridCol w:w="1145"/>
        <w:gridCol w:w="924"/>
      </w:tblGrid>
      <w:tr w:rsidR="008E4806" w:rsidTr="008E480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39" w:type="dxa"/>
          </w:tcPr>
          <w:p w:rsidR="008E4806" w:rsidRDefault="008E4806" w:rsidP="008E4806">
            <w:pPr>
              <w:pStyle w:val="NumPara"/>
              <w:numPr>
                <w:ilvl w:val="0"/>
                <w:numId w:val="0"/>
              </w:numPr>
              <w:jc w:val="center"/>
            </w:pPr>
          </w:p>
        </w:tc>
        <w:tc>
          <w:tcPr>
            <w:tcW w:w="1146" w:type="dxa"/>
          </w:tcPr>
          <w:p w:rsidR="008E4806" w:rsidRPr="008E4806" w:rsidRDefault="008E4806" w:rsidP="008E4806">
            <w:pPr>
              <w:pStyle w:val="NumPara"/>
              <w:numPr>
                <w:ilvl w:val="0"/>
                <w:numId w:val="0"/>
              </w:numPr>
              <w:jc w:val="right"/>
              <w:cnfStyle w:val="100000000000" w:firstRow="1" w:lastRow="0" w:firstColumn="0" w:lastColumn="0" w:oddVBand="0" w:evenVBand="0" w:oddHBand="0" w:evenHBand="0" w:firstRowFirstColumn="0" w:firstRowLastColumn="0" w:lastRowFirstColumn="0" w:lastRowLastColumn="0"/>
              <w:rPr>
                <w:color w:val="auto"/>
              </w:rPr>
            </w:pPr>
            <w:r w:rsidRPr="008E4806">
              <w:rPr>
                <w:color w:val="auto"/>
              </w:rPr>
              <w:t>2022/23 £m</w:t>
            </w:r>
          </w:p>
        </w:tc>
        <w:tc>
          <w:tcPr>
            <w:tcW w:w="1145" w:type="dxa"/>
          </w:tcPr>
          <w:p w:rsidR="008E4806" w:rsidRPr="008E4806" w:rsidRDefault="008E4806" w:rsidP="008E4806">
            <w:pPr>
              <w:pStyle w:val="NumPara"/>
              <w:numPr>
                <w:ilvl w:val="0"/>
                <w:numId w:val="0"/>
              </w:numPr>
              <w:jc w:val="right"/>
              <w:cnfStyle w:val="100000000000" w:firstRow="1" w:lastRow="0" w:firstColumn="0" w:lastColumn="0" w:oddVBand="0" w:evenVBand="0" w:oddHBand="0" w:evenHBand="0" w:firstRowFirstColumn="0" w:firstRowLastColumn="0" w:lastRowFirstColumn="0" w:lastRowLastColumn="0"/>
              <w:rPr>
                <w:color w:val="auto"/>
              </w:rPr>
            </w:pPr>
            <w:r w:rsidRPr="008E4806">
              <w:rPr>
                <w:color w:val="auto"/>
              </w:rPr>
              <w:t>2023/24 £m</w:t>
            </w:r>
          </w:p>
        </w:tc>
        <w:tc>
          <w:tcPr>
            <w:tcW w:w="1145" w:type="dxa"/>
          </w:tcPr>
          <w:p w:rsidR="008E4806" w:rsidRPr="008E4806" w:rsidRDefault="008E4806" w:rsidP="008E4806">
            <w:pPr>
              <w:pStyle w:val="NumPara"/>
              <w:numPr>
                <w:ilvl w:val="0"/>
                <w:numId w:val="0"/>
              </w:numPr>
              <w:jc w:val="right"/>
              <w:cnfStyle w:val="100000000000" w:firstRow="1" w:lastRow="0" w:firstColumn="0" w:lastColumn="0" w:oddVBand="0" w:evenVBand="0" w:oddHBand="0" w:evenHBand="0" w:firstRowFirstColumn="0" w:firstRowLastColumn="0" w:lastRowFirstColumn="0" w:lastRowLastColumn="0"/>
              <w:rPr>
                <w:color w:val="auto"/>
              </w:rPr>
            </w:pPr>
            <w:r w:rsidRPr="008E4806">
              <w:rPr>
                <w:color w:val="auto"/>
              </w:rPr>
              <w:t>2024/25 £m</w:t>
            </w:r>
          </w:p>
        </w:tc>
        <w:tc>
          <w:tcPr>
            <w:tcW w:w="1145" w:type="dxa"/>
          </w:tcPr>
          <w:p w:rsidR="008E4806" w:rsidRPr="008E4806" w:rsidRDefault="008E4806" w:rsidP="008E4806">
            <w:pPr>
              <w:pStyle w:val="NumPara"/>
              <w:numPr>
                <w:ilvl w:val="0"/>
                <w:numId w:val="0"/>
              </w:numPr>
              <w:jc w:val="right"/>
              <w:cnfStyle w:val="100000000000" w:firstRow="1" w:lastRow="0" w:firstColumn="0" w:lastColumn="0" w:oddVBand="0" w:evenVBand="0" w:oddHBand="0" w:evenHBand="0" w:firstRowFirstColumn="0" w:firstRowLastColumn="0" w:lastRowFirstColumn="0" w:lastRowLastColumn="0"/>
              <w:rPr>
                <w:color w:val="auto"/>
              </w:rPr>
            </w:pPr>
            <w:r w:rsidRPr="008E4806">
              <w:rPr>
                <w:color w:val="auto"/>
              </w:rPr>
              <w:t>2025/26 £m</w:t>
            </w:r>
          </w:p>
        </w:tc>
        <w:tc>
          <w:tcPr>
            <w:tcW w:w="924" w:type="dxa"/>
          </w:tcPr>
          <w:p w:rsidR="008E4806" w:rsidRPr="008E4806" w:rsidRDefault="008E4806" w:rsidP="008E4806">
            <w:pPr>
              <w:pStyle w:val="NumPara"/>
              <w:numPr>
                <w:ilvl w:val="0"/>
                <w:numId w:val="0"/>
              </w:numPr>
              <w:jc w:val="right"/>
              <w:cnfStyle w:val="100000000000" w:firstRow="1" w:lastRow="0" w:firstColumn="0" w:lastColumn="0" w:oddVBand="0" w:evenVBand="0" w:oddHBand="0" w:evenHBand="0" w:firstRowFirstColumn="0" w:firstRowLastColumn="0" w:lastRowFirstColumn="0" w:lastRowLastColumn="0"/>
              <w:rPr>
                <w:color w:val="auto"/>
              </w:rPr>
            </w:pPr>
            <w:r w:rsidRPr="008E4806">
              <w:rPr>
                <w:color w:val="auto"/>
              </w:rPr>
              <w:t>Total</w:t>
            </w:r>
            <w:r w:rsidR="00314352">
              <w:rPr>
                <w:color w:val="auto"/>
              </w:rPr>
              <w:t xml:space="preserve"> </w:t>
            </w:r>
            <w:r w:rsidRPr="008E4806">
              <w:rPr>
                <w:color w:val="auto"/>
              </w:rPr>
              <w:t>£m</w:t>
            </w:r>
          </w:p>
        </w:tc>
      </w:tr>
      <w:tr w:rsidR="008E4806" w:rsidTr="008E48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39" w:type="dxa"/>
            <w:tcBorders>
              <w:top w:val="single" w:sz="4" w:space="0" w:color="4F81BD" w:themeColor="accent1"/>
              <w:bottom w:val="single" w:sz="12" w:space="0" w:color="4F81BD" w:themeColor="accent1"/>
            </w:tcBorders>
          </w:tcPr>
          <w:p w:rsidR="008E4806" w:rsidRPr="008E4806" w:rsidRDefault="008E4806" w:rsidP="00034748">
            <w:pPr>
              <w:pStyle w:val="NumPara"/>
              <w:numPr>
                <w:ilvl w:val="0"/>
                <w:numId w:val="0"/>
              </w:numPr>
              <w:rPr>
                <w:b w:val="0"/>
              </w:rPr>
            </w:pPr>
            <w:r w:rsidRPr="008E4806">
              <w:rPr>
                <w:b w:val="0"/>
              </w:rPr>
              <w:t>Additional borrowin</w:t>
            </w:r>
            <w:r>
              <w:rPr>
                <w:b w:val="0"/>
              </w:rPr>
              <w:t>g</w:t>
            </w:r>
          </w:p>
        </w:tc>
        <w:tc>
          <w:tcPr>
            <w:tcW w:w="1146" w:type="dxa"/>
            <w:tcBorders>
              <w:top w:val="single" w:sz="4" w:space="0" w:color="4F81BD" w:themeColor="accent1"/>
              <w:bottom w:val="single" w:sz="12" w:space="0" w:color="4F81BD" w:themeColor="accent1"/>
            </w:tcBorders>
          </w:tcPr>
          <w:p w:rsidR="008E4806" w:rsidRPr="008E4806" w:rsidRDefault="00B04CC3" w:rsidP="00B04CC3">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7.0</w:t>
            </w:r>
          </w:p>
        </w:tc>
        <w:tc>
          <w:tcPr>
            <w:tcW w:w="1145" w:type="dxa"/>
            <w:tcBorders>
              <w:top w:val="single" w:sz="4" w:space="0" w:color="4F81BD" w:themeColor="accent1"/>
              <w:bottom w:val="single" w:sz="12" w:space="0" w:color="4F81BD" w:themeColor="accent1"/>
            </w:tcBorders>
          </w:tcPr>
          <w:p w:rsidR="008E4806" w:rsidRPr="008E4806" w:rsidRDefault="00B04CC3" w:rsidP="005C0FFE">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22.5</w:t>
            </w:r>
          </w:p>
        </w:tc>
        <w:tc>
          <w:tcPr>
            <w:tcW w:w="1145" w:type="dxa"/>
            <w:tcBorders>
              <w:top w:val="single" w:sz="4" w:space="0" w:color="4F81BD" w:themeColor="accent1"/>
              <w:bottom w:val="single" w:sz="12" w:space="0" w:color="4F81BD" w:themeColor="accent1"/>
            </w:tcBorders>
          </w:tcPr>
          <w:p w:rsidR="008E4806" w:rsidRPr="008E4806" w:rsidRDefault="00B04CC3" w:rsidP="005C0FFE">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30.0</w:t>
            </w:r>
          </w:p>
        </w:tc>
        <w:tc>
          <w:tcPr>
            <w:tcW w:w="1145" w:type="dxa"/>
            <w:tcBorders>
              <w:top w:val="single" w:sz="4" w:space="0" w:color="4F81BD" w:themeColor="accent1"/>
              <w:bottom w:val="single" w:sz="12" w:space="0" w:color="4F81BD" w:themeColor="accent1"/>
            </w:tcBorders>
          </w:tcPr>
          <w:p w:rsidR="008E4806" w:rsidRPr="008E4806" w:rsidRDefault="00B04CC3" w:rsidP="005C0FFE">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15.0</w:t>
            </w:r>
          </w:p>
        </w:tc>
        <w:tc>
          <w:tcPr>
            <w:tcW w:w="924" w:type="dxa"/>
            <w:tcBorders>
              <w:top w:val="single" w:sz="4" w:space="0" w:color="4F81BD" w:themeColor="accent1"/>
              <w:bottom w:val="single" w:sz="12" w:space="0" w:color="4F81BD" w:themeColor="accent1"/>
            </w:tcBorders>
          </w:tcPr>
          <w:p w:rsidR="008E4806" w:rsidRPr="008E4806" w:rsidRDefault="00B04CC3" w:rsidP="005C0FFE">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74.5</w:t>
            </w:r>
          </w:p>
        </w:tc>
      </w:tr>
      <w:tr w:rsidR="008E4806" w:rsidTr="008E4806">
        <w:trPr>
          <w:jc w:val="center"/>
        </w:trPr>
        <w:tc>
          <w:tcPr>
            <w:cnfStyle w:val="001000000000" w:firstRow="0" w:lastRow="0" w:firstColumn="1" w:lastColumn="0" w:oddVBand="0" w:evenVBand="0" w:oddHBand="0" w:evenHBand="0" w:firstRowFirstColumn="0" w:firstRowLastColumn="0" w:lastRowFirstColumn="0" w:lastRowLastColumn="0"/>
            <w:tcW w:w="3839" w:type="dxa"/>
            <w:tcBorders>
              <w:top w:val="single" w:sz="12" w:space="0" w:color="4F81BD" w:themeColor="accent1"/>
            </w:tcBorders>
          </w:tcPr>
          <w:p w:rsidR="008E4806" w:rsidRPr="008E4806" w:rsidRDefault="008E4806" w:rsidP="00034748">
            <w:pPr>
              <w:pStyle w:val="NumPara"/>
              <w:numPr>
                <w:ilvl w:val="0"/>
                <w:numId w:val="0"/>
              </w:numPr>
              <w:rPr>
                <w:b w:val="0"/>
              </w:rPr>
            </w:pPr>
            <w:r w:rsidRPr="008E4806">
              <w:rPr>
                <w:b w:val="0"/>
              </w:rPr>
              <w:t>Interest</w:t>
            </w:r>
          </w:p>
        </w:tc>
        <w:tc>
          <w:tcPr>
            <w:tcW w:w="1146" w:type="dxa"/>
            <w:tcBorders>
              <w:top w:val="single" w:sz="12" w:space="0" w:color="4F81BD" w:themeColor="accent1"/>
            </w:tcBorders>
          </w:tcPr>
          <w:p w:rsidR="008E4806" w:rsidRPr="008E4806" w:rsidRDefault="00B04CC3" w:rsidP="005C0FFE">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0.1</w:t>
            </w:r>
          </w:p>
        </w:tc>
        <w:tc>
          <w:tcPr>
            <w:tcW w:w="1145" w:type="dxa"/>
            <w:tcBorders>
              <w:top w:val="single" w:sz="12" w:space="0" w:color="4F81BD" w:themeColor="accent1"/>
            </w:tcBorders>
          </w:tcPr>
          <w:p w:rsidR="008E4806" w:rsidRPr="008E4806" w:rsidRDefault="00B04CC3" w:rsidP="005C0FFE">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0.2</w:t>
            </w:r>
          </w:p>
        </w:tc>
        <w:tc>
          <w:tcPr>
            <w:tcW w:w="1145" w:type="dxa"/>
            <w:tcBorders>
              <w:top w:val="single" w:sz="12" w:space="0" w:color="4F81BD" w:themeColor="accent1"/>
            </w:tcBorders>
          </w:tcPr>
          <w:p w:rsidR="008E4806" w:rsidRPr="008E4806" w:rsidRDefault="00B04CC3" w:rsidP="005C0FFE">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1.4</w:t>
            </w:r>
          </w:p>
        </w:tc>
        <w:tc>
          <w:tcPr>
            <w:tcW w:w="1145" w:type="dxa"/>
            <w:tcBorders>
              <w:top w:val="single" w:sz="12" w:space="0" w:color="4F81BD" w:themeColor="accent1"/>
            </w:tcBorders>
          </w:tcPr>
          <w:p w:rsidR="008E4806" w:rsidRPr="008E4806" w:rsidRDefault="00B04CC3" w:rsidP="005C0FFE">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0.8</w:t>
            </w:r>
          </w:p>
        </w:tc>
        <w:tc>
          <w:tcPr>
            <w:tcW w:w="924" w:type="dxa"/>
            <w:tcBorders>
              <w:top w:val="single" w:sz="12" w:space="0" w:color="4F81BD" w:themeColor="accent1"/>
            </w:tcBorders>
          </w:tcPr>
          <w:p w:rsidR="008E4806" w:rsidRPr="008E4806" w:rsidRDefault="00B04CC3" w:rsidP="005C0FFE">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2.5</w:t>
            </w:r>
          </w:p>
        </w:tc>
      </w:tr>
      <w:tr w:rsidR="008E4806" w:rsidTr="008E48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39" w:type="dxa"/>
          </w:tcPr>
          <w:p w:rsidR="008E4806" w:rsidRPr="008E4806" w:rsidRDefault="008E4806" w:rsidP="00034748">
            <w:pPr>
              <w:pStyle w:val="NumPara"/>
              <w:numPr>
                <w:ilvl w:val="0"/>
                <w:numId w:val="0"/>
              </w:numPr>
              <w:rPr>
                <w:b w:val="0"/>
              </w:rPr>
            </w:pPr>
            <w:r w:rsidRPr="008E4806">
              <w:rPr>
                <w:b w:val="0"/>
              </w:rPr>
              <w:t xml:space="preserve">Repayment of Principal </w:t>
            </w:r>
          </w:p>
        </w:tc>
        <w:tc>
          <w:tcPr>
            <w:tcW w:w="1146" w:type="dxa"/>
          </w:tcPr>
          <w:p w:rsidR="008E4806" w:rsidRPr="008E4806" w:rsidRDefault="00B04CC3" w:rsidP="005C0FFE">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0.0</w:t>
            </w:r>
          </w:p>
        </w:tc>
        <w:tc>
          <w:tcPr>
            <w:tcW w:w="1145" w:type="dxa"/>
          </w:tcPr>
          <w:p w:rsidR="008E4806" w:rsidRPr="008E4806" w:rsidRDefault="00B04CC3" w:rsidP="005C0FFE">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0.0</w:t>
            </w:r>
          </w:p>
        </w:tc>
        <w:tc>
          <w:tcPr>
            <w:tcW w:w="1145" w:type="dxa"/>
          </w:tcPr>
          <w:p w:rsidR="008E4806" w:rsidRPr="008E4806" w:rsidRDefault="00B04CC3" w:rsidP="005C0FFE">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2.2</w:t>
            </w:r>
          </w:p>
        </w:tc>
        <w:tc>
          <w:tcPr>
            <w:tcW w:w="1145" w:type="dxa"/>
          </w:tcPr>
          <w:p w:rsidR="008E4806" w:rsidRPr="008E4806" w:rsidRDefault="00B04CC3" w:rsidP="005C0FFE">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0.8</w:t>
            </w:r>
          </w:p>
        </w:tc>
        <w:tc>
          <w:tcPr>
            <w:tcW w:w="924" w:type="dxa"/>
          </w:tcPr>
          <w:p w:rsidR="008E4806" w:rsidRPr="008E4806" w:rsidRDefault="00B04CC3" w:rsidP="005C0FFE">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3.0</w:t>
            </w:r>
          </w:p>
        </w:tc>
      </w:tr>
      <w:tr w:rsidR="008E4806" w:rsidTr="008E4806">
        <w:trPr>
          <w:jc w:val="center"/>
        </w:trPr>
        <w:tc>
          <w:tcPr>
            <w:cnfStyle w:val="001000000000" w:firstRow="0" w:lastRow="0" w:firstColumn="1" w:lastColumn="0" w:oddVBand="0" w:evenVBand="0" w:oddHBand="0" w:evenHBand="0" w:firstRowFirstColumn="0" w:firstRowLastColumn="0" w:lastRowFirstColumn="0" w:lastRowLastColumn="0"/>
            <w:tcW w:w="3839" w:type="dxa"/>
          </w:tcPr>
          <w:p w:rsidR="008E4806" w:rsidRDefault="008E4806" w:rsidP="00034748">
            <w:pPr>
              <w:pStyle w:val="NumPara"/>
              <w:numPr>
                <w:ilvl w:val="0"/>
                <w:numId w:val="0"/>
              </w:numPr>
            </w:pPr>
            <w:r>
              <w:t>Total revenue effect</w:t>
            </w:r>
          </w:p>
        </w:tc>
        <w:tc>
          <w:tcPr>
            <w:tcW w:w="1146" w:type="dxa"/>
          </w:tcPr>
          <w:p w:rsidR="008E4806" w:rsidRDefault="00B04CC3" w:rsidP="005C0FFE">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0.1</w:t>
            </w:r>
          </w:p>
        </w:tc>
        <w:tc>
          <w:tcPr>
            <w:tcW w:w="1145" w:type="dxa"/>
          </w:tcPr>
          <w:p w:rsidR="008E4806" w:rsidRDefault="00B04CC3" w:rsidP="005C0FFE">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0.2</w:t>
            </w:r>
          </w:p>
        </w:tc>
        <w:tc>
          <w:tcPr>
            <w:tcW w:w="1145" w:type="dxa"/>
          </w:tcPr>
          <w:p w:rsidR="008E4806" w:rsidRDefault="00B04CC3" w:rsidP="005C0FFE">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3.6</w:t>
            </w:r>
          </w:p>
        </w:tc>
        <w:tc>
          <w:tcPr>
            <w:tcW w:w="1145" w:type="dxa"/>
          </w:tcPr>
          <w:p w:rsidR="008E4806" w:rsidRDefault="00B04CC3" w:rsidP="005C0FFE">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1.6</w:t>
            </w:r>
          </w:p>
        </w:tc>
        <w:tc>
          <w:tcPr>
            <w:tcW w:w="924" w:type="dxa"/>
          </w:tcPr>
          <w:p w:rsidR="008E4806" w:rsidRDefault="00B04CC3" w:rsidP="005C0FFE">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5.5</w:t>
            </w:r>
          </w:p>
        </w:tc>
      </w:tr>
    </w:tbl>
    <w:p w:rsidR="00034748" w:rsidRPr="00034748" w:rsidRDefault="00034748" w:rsidP="00034748">
      <w:pPr>
        <w:pStyle w:val="NumPara"/>
        <w:numPr>
          <w:ilvl w:val="0"/>
          <w:numId w:val="0"/>
        </w:numPr>
        <w:ind w:left="851"/>
      </w:pPr>
    </w:p>
    <w:p w:rsidR="00034748" w:rsidRDefault="00034748" w:rsidP="002638E0">
      <w:pPr>
        <w:pStyle w:val="Heading2"/>
      </w:pPr>
      <w:r>
        <w:t>There will also be some additional revenue costs resulting from capital investment, the effects of which are included in the medium-term revenue forecasts.</w:t>
      </w:r>
    </w:p>
    <w:p w:rsidR="00034748" w:rsidRDefault="00034748" w:rsidP="002638E0">
      <w:pPr>
        <w:pStyle w:val="Heading2"/>
      </w:pPr>
      <w:r>
        <w:t>It is recommended that:</w:t>
      </w:r>
    </w:p>
    <w:p w:rsidR="00034748" w:rsidRDefault="00034748" w:rsidP="00034748">
      <w:pPr>
        <w:pStyle w:val="ListBullet"/>
        <w:numPr>
          <w:ilvl w:val="0"/>
          <w:numId w:val="12"/>
        </w:numPr>
      </w:pPr>
      <w:r>
        <w:t xml:space="preserve">That the PCC sets an upper limit on </w:t>
      </w:r>
      <w:r w:rsidRPr="00034748">
        <w:rPr>
          <w:b/>
        </w:rPr>
        <w:t>fixed interest rate exposure</w:t>
      </w:r>
      <w:r>
        <w:t xml:space="preserve"> as follows:</w:t>
      </w:r>
    </w:p>
    <w:tbl>
      <w:tblPr>
        <w:tblStyle w:val="GridTable4-Accent1"/>
        <w:tblW w:w="0" w:type="auto"/>
        <w:jc w:val="center"/>
        <w:tblInd w:w="0" w:type="dxa"/>
        <w:tblLook w:val="04A0" w:firstRow="1" w:lastRow="0" w:firstColumn="1" w:lastColumn="0" w:noHBand="0" w:noVBand="1"/>
      </w:tblPr>
      <w:tblGrid>
        <w:gridCol w:w="3105"/>
        <w:gridCol w:w="1134"/>
        <w:gridCol w:w="1134"/>
        <w:gridCol w:w="1134"/>
      </w:tblGrid>
      <w:tr w:rsidR="008E4806" w:rsidTr="005C0FF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5" w:type="dxa"/>
          </w:tcPr>
          <w:p w:rsidR="008E4806" w:rsidRPr="005C0FFE" w:rsidRDefault="008E4806" w:rsidP="00034748">
            <w:pPr>
              <w:pStyle w:val="ListBullet"/>
              <w:numPr>
                <w:ilvl w:val="0"/>
                <w:numId w:val="0"/>
              </w:numPr>
              <w:rPr>
                <w:color w:val="auto"/>
              </w:rPr>
            </w:pPr>
            <w:r w:rsidRPr="005C0FFE">
              <w:rPr>
                <w:color w:val="auto"/>
              </w:rPr>
              <w:t>Fixed Interest Exposure</w:t>
            </w:r>
          </w:p>
        </w:tc>
        <w:tc>
          <w:tcPr>
            <w:tcW w:w="1134" w:type="dxa"/>
          </w:tcPr>
          <w:p w:rsidR="008E4806" w:rsidRPr="005C0FFE" w:rsidRDefault="008E4806" w:rsidP="005C0FFE">
            <w:pPr>
              <w:pStyle w:val="ListBullet"/>
              <w:numPr>
                <w:ilvl w:val="0"/>
                <w:numId w:val="0"/>
              </w:numPr>
              <w:jc w:val="right"/>
              <w:cnfStyle w:val="100000000000" w:firstRow="1" w:lastRow="0" w:firstColumn="0" w:lastColumn="0" w:oddVBand="0" w:evenVBand="0" w:oddHBand="0" w:evenHBand="0" w:firstRowFirstColumn="0" w:firstRowLastColumn="0" w:lastRowFirstColumn="0" w:lastRowLastColumn="0"/>
              <w:rPr>
                <w:color w:val="auto"/>
              </w:rPr>
            </w:pPr>
            <w:r w:rsidRPr="005C0FFE">
              <w:rPr>
                <w:color w:val="auto"/>
              </w:rPr>
              <w:t>2022/23 %</w:t>
            </w:r>
          </w:p>
        </w:tc>
        <w:tc>
          <w:tcPr>
            <w:tcW w:w="1134" w:type="dxa"/>
          </w:tcPr>
          <w:p w:rsidR="008E4806" w:rsidRPr="005C0FFE" w:rsidRDefault="008E4806" w:rsidP="005C0FFE">
            <w:pPr>
              <w:pStyle w:val="ListBullet"/>
              <w:numPr>
                <w:ilvl w:val="0"/>
                <w:numId w:val="0"/>
              </w:numPr>
              <w:jc w:val="right"/>
              <w:cnfStyle w:val="100000000000" w:firstRow="1" w:lastRow="0" w:firstColumn="0" w:lastColumn="0" w:oddVBand="0" w:evenVBand="0" w:oddHBand="0" w:evenHBand="0" w:firstRowFirstColumn="0" w:firstRowLastColumn="0" w:lastRowFirstColumn="0" w:lastRowLastColumn="0"/>
              <w:rPr>
                <w:color w:val="auto"/>
              </w:rPr>
            </w:pPr>
            <w:r w:rsidRPr="005C0FFE">
              <w:rPr>
                <w:color w:val="auto"/>
              </w:rPr>
              <w:t>2023/24 %</w:t>
            </w:r>
          </w:p>
        </w:tc>
        <w:tc>
          <w:tcPr>
            <w:tcW w:w="1134" w:type="dxa"/>
          </w:tcPr>
          <w:p w:rsidR="008E4806" w:rsidRPr="005C0FFE" w:rsidRDefault="008E4806" w:rsidP="005C0FFE">
            <w:pPr>
              <w:pStyle w:val="ListBullet"/>
              <w:numPr>
                <w:ilvl w:val="0"/>
                <w:numId w:val="0"/>
              </w:numPr>
              <w:jc w:val="right"/>
              <w:cnfStyle w:val="100000000000" w:firstRow="1" w:lastRow="0" w:firstColumn="0" w:lastColumn="0" w:oddVBand="0" w:evenVBand="0" w:oddHBand="0" w:evenHBand="0" w:firstRowFirstColumn="0" w:firstRowLastColumn="0" w:lastRowFirstColumn="0" w:lastRowLastColumn="0"/>
              <w:rPr>
                <w:color w:val="auto"/>
              </w:rPr>
            </w:pPr>
            <w:r w:rsidRPr="005C0FFE">
              <w:rPr>
                <w:color w:val="auto"/>
              </w:rPr>
              <w:t>2024/25 %</w:t>
            </w:r>
          </w:p>
        </w:tc>
      </w:tr>
      <w:tr w:rsidR="008E4806" w:rsidTr="005C0F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5" w:type="dxa"/>
          </w:tcPr>
          <w:p w:rsidR="008E4806" w:rsidRDefault="008E4806" w:rsidP="00034748">
            <w:pPr>
              <w:pStyle w:val="ListBullet"/>
              <w:numPr>
                <w:ilvl w:val="0"/>
                <w:numId w:val="0"/>
              </w:numPr>
            </w:pPr>
            <w:r>
              <w:t>Upper Limit</w:t>
            </w:r>
          </w:p>
        </w:tc>
        <w:tc>
          <w:tcPr>
            <w:tcW w:w="1134" w:type="dxa"/>
          </w:tcPr>
          <w:p w:rsidR="008E4806" w:rsidRDefault="008E4806" w:rsidP="005C0FFE">
            <w:pPr>
              <w:pStyle w:val="ListBullet"/>
              <w:numPr>
                <w:ilvl w:val="0"/>
                <w:numId w:val="0"/>
              </w:numPr>
              <w:jc w:val="right"/>
              <w:cnfStyle w:val="000000100000" w:firstRow="0" w:lastRow="0" w:firstColumn="0" w:lastColumn="0" w:oddVBand="0" w:evenVBand="0" w:oddHBand="1" w:evenHBand="0" w:firstRowFirstColumn="0" w:firstRowLastColumn="0" w:lastRowFirstColumn="0" w:lastRowLastColumn="0"/>
            </w:pPr>
            <w:r>
              <w:t>100</w:t>
            </w:r>
          </w:p>
        </w:tc>
        <w:tc>
          <w:tcPr>
            <w:tcW w:w="1134" w:type="dxa"/>
          </w:tcPr>
          <w:p w:rsidR="008E4806" w:rsidRDefault="008E4806" w:rsidP="005C0FFE">
            <w:pPr>
              <w:pStyle w:val="ListBullet"/>
              <w:numPr>
                <w:ilvl w:val="0"/>
                <w:numId w:val="0"/>
              </w:numPr>
              <w:jc w:val="right"/>
              <w:cnfStyle w:val="000000100000" w:firstRow="0" w:lastRow="0" w:firstColumn="0" w:lastColumn="0" w:oddVBand="0" w:evenVBand="0" w:oddHBand="1" w:evenHBand="0" w:firstRowFirstColumn="0" w:firstRowLastColumn="0" w:lastRowFirstColumn="0" w:lastRowLastColumn="0"/>
            </w:pPr>
            <w:r>
              <w:t>100</w:t>
            </w:r>
          </w:p>
        </w:tc>
        <w:tc>
          <w:tcPr>
            <w:tcW w:w="1134" w:type="dxa"/>
          </w:tcPr>
          <w:p w:rsidR="008E4806" w:rsidRDefault="008E4806" w:rsidP="005C0FFE">
            <w:pPr>
              <w:pStyle w:val="ListBullet"/>
              <w:numPr>
                <w:ilvl w:val="0"/>
                <w:numId w:val="0"/>
              </w:numPr>
              <w:jc w:val="right"/>
              <w:cnfStyle w:val="000000100000" w:firstRow="0" w:lastRow="0" w:firstColumn="0" w:lastColumn="0" w:oddVBand="0" w:evenVBand="0" w:oddHBand="1" w:evenHBand="0" w:firstRowFirstColumn="0" w:firstRowLastColumn="0" w:lastRowFirstColumn="0" w:lastRowLastColumn="0"/>
            </w:pPr>
            <w:r>
              <w:t>100</w:t>
            </w:r>
          </w:p>
        </w:tc>
      </w:tr>
    </w:tbl>
    <w:p w:rsidR="00034748" w:rsidRDefault="00034748" w:rsidP="00034748">
      <w:pPr>
        <w:pStyle w:val="ListBullet"/>
        <w:numPr>
          <w:ilvl w:val="0"/>
          <w:numId w:val="0"/>
        </w:numPr>
        <w:ind w:left="1080"/>
      </w:pPr>
    </w:p>
    <w:p w:rsidR="00034748" w:rsidRDefault="00034748" w:rsidP="00034748">
      <w:pPr>
        <w:pStyle w:val="ListBullet"/>
        <w:numPr>
          <w:ilvl w:val="0"/>
          <w:numId w:val="12"/>
        </w:numPr>
      </w:pPr>
      <w:r>
        <w:t xml:space="preserve">That the PCC sets an upper limit on </w:t>
      </w:r>
      <w:r w:rsidRPr="00034748">
        <w:rPr>
          <w:b/>
        </w:rPr>
        <w:t>variable interest rate exp</w:t>
      </w:r>
      <w:r>
        <w:rPr>
          <w:b/>
        </w:rPr>
        <w:t>osures</w:t>
      </w:r>
      <w:r w:rsidRPr="00034748">
        <w:rPr>
          <w:b/>
        </w:rPr>
        <w:t xml:space="preserve"> </w:t>
      </w:r>
      <w:r>
        <w:t>as follows:</w:t>
      </w:r>
    </w:p>
    <w:tbl>
      <w:tblPr>
        <w:tblStyle w:val="GridTable4-Accent1"/>
        <w:tblW w:w="0" w:type="auto"/>
        <w:jc w:val="center"/>
        <w:tblInd w:w="0" w:type="dxa"/>
        <w:tblLook w:val="04A0" w:firstRow="1" w:lastRow="0" w:firstColumn="1" w:lastColumn="0" w:noHBand="0" w:noVBand="1"/>
      </w:tblPr>
      <w:tblGrid>
        <w:gridCol w:w="3105"/>
        <w:gridCol w:w="1134"/>
        <w:gridCol w:w="1134"/>
        <w:gridCol w:w="1134"/>
      </w:tblGrid>
      <w:tr w:rsidR="005C0FFE" w:rsidTr="002631F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5" w:type="dxa"/>
          </w:tcPr>
          <w:p w:rsidR="005C0FFE" w:rsidRPr="005C0FFE" w:rsidRDefault="005C0FFE" w:rsidP="002631F6">
            <w:pPr>
              <w:pStyle w:val="ListBullet"/>
              <w:numPr>
                <w:ilvl w:val="0"/>
                <w:numId w:val="0"/>
              </w:numPr>
              <w:rPr>
                <w:color w:val="auto"/>
              </w:rPr>
            </w:pPr>
            <w:r>
              <w:rPr>
                <w:color w:val="auto"/>
              </w:rPr>
              <w:t>Variable Interest Rat</w:t>
            </w:r>
            <w:r w:rsidR="00E80374">
              <w:rPr>
                <w:color w:val="auto"/>
              </w:rPr>
              <w:t>e</w:t>
            </w:r>
            <w:r w:rsidR="00B16198">
              <w:rPr>
                <w:color w:val="auto"/>
              </w:rPr>
              <w:t xml:space="preserve"> </w:t>
            </w:r>
            <w:r>
              <w:rPr>
                <w:color w:val="auto"/>
              </w:rPr>
              <w:t>Exposure</w:t>
            </w:r>
          </w:p>
        </w:tc>
        <w:tc>
          <w:tcPr>
            <w:tcW w:w="1134" w:type="dxa"/>
          </w:tcPr>
          <w:p w:rsidR="005C0FFE" w:rsidRPr="005C0FFE" w:rsidRDefault="005C0FFE" w:rsidP="002631F6">
            <w:pPr>
              <w:pStyle w:val="ListBullet"/>
              <w:numPr>
                <w:ilvl w:val="0"/>
                <w:numId w:val="0"/>
              </w:numPr>
              <w:jc w:val="right"/>
              <w:cnfStyle w:val="100000000000" w:firstRow="1" w:lastRow="0" w:firstColumn="0" w:lastColumn="0" w:oddVBand="0" w:evenVBand="0" w:oddHBand="0" w:evenHBand="0" w:firstRowFirstColumn="0" w:firstRowLastColumn="0" w:lastRowFirstColumn="0" w:lastRowLastColumn="0"/>
              <w:rPr>
                <w:color w:val="auto"/>
              </w:rPr>
            </w:pPr>
            <w:r w:rsidRPr="005C0FFE">
              <w:rPr>
                <w:color w:val="auto"/>
              </w:rPr>
              <w:t>2022/23 %</w:t>
            </w:r>
          </w:p>
        </w:tc>
        <w:tc>
          <w:tcPr>
            <w:tcW w:w="1134" w:type="dxa"/>
          </w:tcPr>
          <w:p w:rsidR="005C0FFE" w:rsidRPr="005C0FFE" w:rsidRDefault="005C0FFE" w:rsidP="002631F6">
            <w:pPr>
              <w:pStyle w:val="ListBullet"/>
              <w:numPr>
                <w:ilvl w:val="0"/>
                <w:numId w:val="0"/>
              </w:numPr>
              <w:jc w:val="right"/>
              <w:cnfStyle w:val="100000000000" w:firstRow="1" w:lastRow="0" w:firstColumn="0" w:lastColumn="0" w:oddVBand="0" w:evenVBand="0" w:oddHBand="0" w:evenHBand="0" w:firstRowFirstColumn="0" w:firstRowLastColumn="0" w:lastRowFirstColumn="0" w:lastRowLastColumn="0"/>
              <w:rPr>
                <w:color w:val="auto"/>
              </w:rPr>
            </w:pPr>
            <w:r w:rsidRPr="005C0FFE">
              <w:rPr>
                <w:color w:val="auto"/>
              </w:rPr>
              <w:t>2023/24 %</w:t>
            </w:r>
          </w:p>
        </w:tc>
        <w:tc>
          <w:tcPr>
            <w:tcW w:w="1134" w:type="dxa"/>
          </w:tcPr>
          <w:p w:rsidR="005C0FFE" w:rsidRPr="005C0FFE" w:rsidRDefault="005C0FFE" w:rsidP="002631F6">
            <w:pPr>
              <w:pStyle w:val="ListBullet"/>
              <w:numPr>
                <w:ilvl w:val="0"/>
                <w:numId w:val="0"/>
              </w:numPr>
              <w:jc w:val="right"/>
              <w:cnfStyle w:val="100000000000" w:firstRow="1" w:lastRow="0" w:firstColumn="0" w:lastColumn="0" w:oddVBand="0" w:evenVBand="0" w:oddHBand="0" w:evenHBand="0" w:firstRowFirstColumn="0" w:firstRowLastColumn="0" w:lastRowFirstColumn="0" w:lastRowLastColumn="0"/>
              <w:rPr>
                <w:color w:val="auto"/>
              </w:rPr>
            </w:pPr>
            <w:r w:rsidRPr="005C0FFE">
              <w:rPr>
                <w:color w:val="auto"/>
              </w:rPr>
              <w:t>2024/25 %</w:t>
            </w:r>
          </w:p>
        </w:tc>
      </w:tr>
      <w:tr w:rsidR="005C0FFE" w:rsidTr="002631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5" w:type="dxa"/>
          </w:tcPr>
          <w:p w:rsidR="005C0FFE" w:rsidRDefault="005C0FFE" w:rsidP="002631F6">
            <w:pPr>
              <w:pStyle w:val="ListBullet"/>
              <w:numPr>
                <w:ilvl w:val="0"/>
                <w:numId w:val="0"/>
              </w:numPr>
            </w:pPr>
            <w:r>
              <w:t>Upper Limit</w:t>
            </w:r>
          </w:p>
        </w:tc>
        <w:tc>
          <w:tcPr>
            <w:tcW w:w="1134" w:type="dxa"/>
          </w:tcPr>
          <w:p w:rsidR="005C0FFE" w:rsidRDefault="005C0FFE" w:rsidP="005C0FFE">
            <w:pPr>
              <w:pStyle w:val="ListBullet"/>
              <w:numPr>
                <w:ilvl w:val="0"/>
                <w:numId w:val="0"/>
              </w:numPr>
              <w:jc w:val="right"/>
              <w:cnfStyle w:val="000000100000" w:firstRow="0" w:lastRow="0" w:firstColumn="0" w:lastColumn="0" w:oddVBand="0" w:evenVBand="0" w:oddHBand="1" w:evenHBand="0" w:firstRowFirstColumn="0" w:firstRowLastColumn="0" w:lastRowFirstColumn="0" w:lastRowLastColumn="0"/>
            </w:pPr>
            <w:r>
              <w:t>20</w:t>
            </w:r>
          </w:p>
        </w:tc>
        <w:tc>
          <w:tcPr>
            <w:tcW w:w="1134" w:type="dxa"/>
          </w:tcPr>
          <w:p w:rsidR="005C0FFE" w:rsidRDefault="005C0FFE" w:rsidP="005C0FFE">
            <w:pPr>
              <w:pStyle w:val="ListBullet"/>
              <w:numPr>
                <w:ilvl w:val="0"/>
                <w:numId w:val="0"/>
              </w:numPr>
              <w:jc w:val="right"/>
              <w:cnfStyle w:val="000000100000" w:firstRow="0" w:lastRow="0" w:firstColumn="0" w:lastColumn="0" w:oddVBand="0" w:evenVBand="0" w:oddHBand="1" w:evenHBand="0" w:firstRowFirstColumn="0" w:firstRowLastColumn="0" w:lastRowFirstColumn="0" w:lastRowLastColumn="0"/>
            </w:pPr>
            <w:r>
              <w:t>20</w:t>
            </w:r>
          </w:p>
        </w:tc>
        <w:tc>
          <w:tcPr>
            <w:tcW w:w="1134" w:type="dxa"/>
          </w:tcPr>
          <w:p w:rsidR="005C0FFE" w:rsidRDefault="005C0FFE" w:rsidP="005C0FFE">
            <w:pPr>
              <w:pStyle w:val="ListBullet"/>
              <w:numPr>
                <w:ilvl w:val="0"/>
                <w:numId w:val="0"/>
              </w:numPr>
              <w:jc w:val="right"/>
              <w:cnfStyle w:val="000000100000" w:firstRow="0" w:lastRow="0" w:firstColumn="0" w:lastColumn="0" w:oddVBand="0" w:evenVBand="0" w:oddHBand="1" w:evenHBand="0" w:firstRowFirstColumn="0" w:firstRowLastColumn="0" w:lastRowFirstColumn="0" w:lastRowLastColumn="0"/>
            </w:pPr>
            <w:r>
              <w:t>20</w:t>
            </w:r>
          </w:p>
        </w:tc>
      </w:tr>
    </w:tbl>
    <w:p w:rsidR="00034748" w:rsidRDefault="00034748" w:rsidP="00034748">
      <w:pPr>
        <w:pStyle w:val="ListBullet"/>
        <w:numPr>
          <w:ilvl w:val="0"/>
          <w:numId w:val="0"/>
        </w:numPr>
        <w:ind w:left="1080"/>
      </w:pPr>
    </w:p>
    <w:p w:rsidR="00034748" w:rsidRDefault="00034748" w:rsidP="002638E0">
      <w:pPr>
        <w:pStyle w:val="Heading2"/>
      </w:pPr>
      <w:r>
        <w:t>This is the maximum external borrowing judged prudent that the PCC should expose to variable rates.</w:t>
      </w:r>
    </w:p>
    <w:p w:rsidR="00034748" w:rsidRDefault="00034748" w:rsidP="002638E0">
      <w:pPr>
        <w:pStyle w:val="Heading2"/>
      </w:pPr>
      <w:r>
        <w:t>These gross limits are set to reduce the PCCs exposure to large fixed sums falling due for refinancing, and are required for upper and lower limits.  It is recommended that the upper and lower limits for the maturity structure of borrowings are as follows:</w:t>
      </w:r>
    </w:p>
    <w:tbl>
      <w:tblPr>
        <w:tblStyle w:val="GridTable4-Accent1"/>
        <w:tblW w:w="0" w:type="auto"/>
        <w:jc w:val="center"/>
        <w:tblInd w:w="0" w:type="dxa"/>
        <w:tblLook w:val="04A0" w:firstRow="1" w:lastRow="0" w:firstColumn="1" w:lastColumn="0" w:noHBand="0" w:noVBand="1"/>
      </w:tblPr>
      <w:tblGrid>
        <w:gridCol w:w="3979"/>
        <w:gridCol w:w="1415"/>
        <w:gridCol w:w="1415"/>
      </w:tblGrid>
      <w:tr w:rsidR="005C0FFE" w:rsidTr="005C0FF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9" w:type="dxa"/>
          </w:tcPr>
          <w:p w:rsidR="005C0FFE" w:rsidRPr="005C0FFE" w:rsidRDefault="005C0FFE" w:rsidP="003E2364">
            <w:pPr>
              <w:pStyle w:val="NumPara"/>
              <w:numPr>
                <w:ilvl w:val="0"/>
                <w:numId w:val="0"/>
              </w:numPr>
              <w:rPr>
                <w:color w:val="auto"/>
              </w:rPr>
            </w:pPr>
            <w:r w:rsidRPr="005C0FFE">
              <w:rPr>
                <w:color w:val="auto"/>
              </w:rPr>
              <w:t>Period of Maturity</w:t>
            </w:r>
          </w:p>
        </w:tc>
        <w:tc>
          <w:tcPr>
            <w:tcW w:w="1415" w:type="dxa"/>
          </w:tcPr>
          <w:p w:rsidR="005C0FFE" w:rsidRPr="005C0FFE" w:rsidRDefault="005C0FFE" w:rsidP="005C0FFE">
            <w:pPr>
              <w:pStyle w:val="NumPara"/>
              <w:numPr>
                <w:ilvl w:val="0"/>
                <w:numId w:val="0"/>
              </w:numPr>
              <w:jc w:val="right"/>
              <w:cnfStyle w:val="100000000000" w:firstRow="1" w:lastRow="0" w:firstColumn="0" w:lastColumn="0" w:oddVBand="0" w:evenVBand="0" w:oddHBand="0" w:evenHBand="0" w:firstRowFirstColumn="0" w:firstRowLastColumn="0" w:lastRowFirstColumn="0" w:lastRowLastColumn="0"/>
              <w:rPr>
                <w:color w:val="auto"/>
              </w:rPr>
            </w:pPr>
            <w:r w:rsidRPr="005C0FFE">
              <w:rPr>
                <w:color w:val="auto"/>
              </w:rPr>
              <w:t>Upper Limit %</w:t>
            </w:r>
          </w:p>
        </w:tc>
        <w:tc>
          <w:tcPr>
            <w:tcW w:w="1415" w:type="dxa"/>
          </w:tcPr>
          <w:p w:rsidR="005C0FFE" w:rsidRPr="005C0FFE" w:rsidRDefault="005C0FFE" w:rsidP="005C0FFE">
            <w:pPr>
              <w:pStyle w:val="NumPara"/>
              <w:numPr>
                <w:ilvl w:val="0"/>
                <w:numId w:val="0"/>
              </w:numPr>
              <w:jc w:val="right"/>
              <w:cnfStyle w:val="100000000000" w:firstRow="1" w:lastRow="0" w:firstColumn="0" w:lastColumn="0" w:oddVBand="0" w:evenVBand="0" w:oddHBand="0" w:evenHBand="0" w:firstRowFirstColumn="0" w:firstRowLastColumn="0" w:lastRowFirstColumn="0" w:lastRowLastColumn="0"/>
              <w:rPr>
                <w:color w:val="auto"/>
              </w:rPr>
            </w:pPr>
            <w:r w:rsidRPr="005C0FFE">
              <w:rPr>
                <w:color w:val="auto"/>
              </w:rPr>
              <w:t>Lower Limit %</w:t>
            </w:r>
          </w:p>
        </w:tc>
      </w:tr>
      <w:tr w:rsidR="005C0FFE" w:rsidTr="005C0F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9" w:type="dxa"/>
          </w:tcPr>
          <w:p w:rsidR="005C0FFE" w:rsidRPr="005C0FFE" w:rsidRDefault="005C0FFE" w:rsidP="003E2364">
            <w:pPr>
              <w:pStyle w:val="NumPara"/>
              <w:numPr>
                <w:ilvl w:val="0"/>
                <w:numId w:val="0"/>
              </w:numPr>
              <w:rPr>
                <w:b w:val="0"/>
              </w:rPr>
            </w:pPr>
            <w:r w:rsidRPr="005C0FFE">
              <w:rPr>
                <w:b w:val="0"/>
              </w:rPr>
              <w:t>Under 12 months</w:t>
            </w:r>
          </w:p>
        </w:tc>
        <w:tc>
          <w:tcPr>
            <w:tcW w:w="1415" w:type="dxa"/>
          </w:tcPr>
          <w:p w:rsidR="005C0FFE" w:rsidRPr="005C0FFE" w:rsidRDefault="005C0FFE" w:rsidP="005C0FFE">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25</w:t>
            </w:r>
          </w:p>
        </w:tc>
        <w:tc>
          <w:tcPr>
            <w:tcW w:w="1415" w:type="dxa"/>
          </w:tcPr>
          <w:p w:rsidR="005C0FFE" w:rsidRPr="005C0FFE" w:rsidRDefault="005C0FFE" w:rsidP="005C0FFE">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0</w:t>
            </w:r>
          </w:p>
        </w:tc>
      </w:tr>
      <w:tr w:rsidR="005C0FFE" w:rsidTr="005C0FFE">
        <w:trPr>
          <w:jc w:val="center"/>
        </w:trPr>
        <w:tc>
          <w:tcPr>
            <w:cnfStyle w:val="001000000000" w:firstRow="0" w:lastRow="0" w:firstColumn="1" w:lastColumn="0" w:oddVBand="0" w:evenVBand="0" w:oddHBand="0" w:evenHBand="0" w:firstRowFirstColumn="0" w:firstRowLastColumn="0" w:lastRowFirstColumn="0" w:lastRowLastColumn="0"/>
            <w:tcW w:w="3979" w:type="dxa"/>
          </w:tcPr>
          <w:p w:rsidR="005C0FFE" w:rsidRPr="005C0FFE" w:rsidRDefault="005C0FFE" w:rsidP="003E2364">
            <w:pPr>
              <w:pStyle w:val="NumPara"/>
              <w:numPr>
                <w:ilvl w:val="0"/>
                <w:numId w:val="0"/>
              </w:numPr>
              <w:rPr>
                <w:b w:val="0"/>
              </w:rPr>
            </w:pPr>
            <w:r w:rsidRPr="005C0FFE">
              <w:rPr>
                <w:b w:val="0"/>
              </w:rPr>
              <w:t>12 months and within 24 months</w:t>
            </w:r>
          </w:p>
        </w:tc>
        <w:tc>
          <w:tcPr>
            <w:tcW w:w="1415" w:type="dxa"/>
          </w:tcPr>
          <w:p w:rsidR="005C0FFE" w:rsidRPr="005C0FFE" w:rsidRDefault="005C0FFE" w:rsidP="005C0FFE">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25</w:t>
            </w:r>
          </w:p>
        </w:tc>
        <w:tc>
          <w:tcPr>
            <w:tcW w:w="1415" w:type="dxa"/>
          </w:tcPr>
          <w:p w:rsidR="005C0FFE" w:rsidRPr="005C0FFE" w:rsidRDefault="005C0FFE" w:rsidP="005C0FFE">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0</w:t>
            </w:r>
          </w:p>
        </w:tc>
      </w:tr>
      <w:tr w:rsidR="005C0FFE" w:rsidTr="005C0F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9" w:type="dxa"/>
          </w:tcPr>
          <w:p w:rsidR="005C0FFE" w:rsidRPr="005C0FFE" w:rsidRDefault="005C0FFE" w:rsidP="003E2364">
            <w:pPr>
              <w:pStyle w:val="NumPara"/>
              <w:numPr>
                <w:ilvl w:val="0"/>
                <w:numId w:val="0"/>
              </w:numPr>
              <w:rPr>
                <w:b w:val="0"/>
              </w:rPr>
            </w:pPr>
            <w:r w:rsidRPr="005C0FFE">
              <w:rPr>
                <w:b w:val="0"/>
              </w:rPr>
              <w:t>24 months and within 5 years</w:t>
            </w:r>
          </w:p>
        </w:tc>
        <w:tc>
          <w:tcPr>
            <w:tcW w:w="1415" w:type="dxa"/>
          </w:tcPr>
          <w:p w:rsidR="005C0FFE" w:rsidRPr="005C0FFE" w:rsidRDefault="005C0FFE" w:rsidP="005C0FFE">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50</w:t>
            </w:r>
          </w:p>
        </w:tc>
        <w:tc>
          <w:tcPr>
            <w:tcW w:w="1415" w:type="dxa"/>
          </w:tcPr>
          <w:p w:rsidR="005C0FFE" w:rsidRPr="005C0FFE" w:rsidRDefault="005C0FFE" w:rsidP="005C0FFE">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0</w:t>
            </w:r>
          </w:p>
        </w:tc>
      </w:tr>
      <w:tr w:rsidR="005C0FFE" w:rsidTr="005C0FFE">
        <w:trPr>
          <w:jc w:val="center"/>
        </w:trPr>
        <w:tc>
          <w:tcPr>
            <w:cnfStyle w:val="001000000000" w:firstRow="0" w:lastRow="0" w:firstColumn="1" w:lastColumn="0" w:oddVBand="0" w:evenVBand="0" w:oddHBand="0" w:evenHBand="0" w:firstRowFirstColumn="0" w:firstRowLastColumn="0" w:lastRowFirstColumn="0" w:lastRowLastColumn="0"/>
            <w:tcW w:w="3979" w:type="dxa"/>
          </w:tcPr>
          <w:p w:rsidR="005C0FFE" w:rsidRPr="005C0FFE" w:rsidRDefault="005C0FFE" w:rsidP="003E2364">
            <w:pPr>
              <w:pStyle w:val="NumPara"/>
              <w:numPr>
                <w:ilvl w:val="0"/>
                <w:numId w:val="0"/>
              </w:numPr>
              <w:rPr>
                <w:b w:val="0"/>
              </w:rPr>
            </w:pPr>
            <w:r w:rsidRPr="005C0FFE">
              <w:rPr>
                <w:b w:val="0"/>
              </w:rPr>
              <w:t>5 years and within 10 yea</w:t>
            </w:r>
            <w:r w:rsidR="00E80374">
              <w:rPr>
                <w:b w:val="0"/>
              </w:rPr>
              <w:t>r</w:t>
            </w:r>
            <w:r w:rsidRPr="005C0FFE">
              <w:rPr>
                <w:b w:val="0"/>
              </w:rPr>
              <w:t>s</w:t>
            </w:r>
          </w:p>
        </w:tc>
        <w:tc>
          <w:tcPr>
            <w:tcW w:w="1415" w:type="dxa"/>
          </w:tcPr>
          <w:p w:rsidR="005C0FFE" w:rsidRPr="005C0FFE" w:rsidRDefault="005C0FFE" w:rsidP="005C0FFE">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75</w:t>
            </w:r>
          </w:p>
        </w:tc>
        <w:tc>
          <w:tcPr>
            <w:tcW w:w="1415" w:type="dxa"/>
          </w:tcPr>
          <w:p w:rsidR="005C0FFE" w:rsidRPr="005C0FFE" w:rsidRDefault="005C0FFE" w:rsidP="005C0FFE">
            <w:pPr>
              <w:pStyle w:val="NumPara"/>
              <w:numPr>
                <w:ilvl w:val="0"/>
                <w:numId w:val="0"/>
              </w:numPr>
              <w:jc w:val="right"/>
              <w:cnfStyle w:val="000000000000" w:firstRow="0" w:lastRow="0" w:firstColumn="0" w:lastColumn="0" w:oddVBand="0" w:evenVBand="0" w:oddHBand="0" w:evenHBand="0" w:firstRowFirstColumn="0" w:firstRowLastColumn="0" w:lastRowFirstColumn="0" w:lastRowLastColumn="0"/>
            </w:pPr>
            <w:r>
              <w:t>0</w:t>
            </w:r>
          </w:p>
        </w:tc>
      </w:tr>
      <w:tr w:rsidR="005C0FFE" w:rsidTr="005C0F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9" w:type="dxa"/>
          </w:tcPr>
          <w:p w:rsidR="005C0FFE" w:rsidRPr="005C0FFE" w:rsidRDefault="005C0FFE" w:rsidP="003E2364">
            <w:pPr>
              <w:pStyle w:val="NumPara"/>
              <w:numPr>
                <w:ilvl w:val="0"/>
                <w:numId w:val="0"/>
              </w:numPr>
              <w:rPr>
                <w:b w:val="0"/>
              </w:rPr>
            </w:pPr>
            <w:r w:rsidRPr="005C0FFE">
              <w:rPr>
                <w:b w:val="0"/>
              </w:rPr>
              <w:t>10 years and above</w:t>
            </w:r>
          </w:p>
        </w:tc>
        <w:tc>
          <w:tcPr>
            <w:tcW w:w="1415" w:type="dxa"/>
          </w:tcPr>
          <w:p w:rsidR="005C0FFE" w:rsidRPr="005C0FFE" w:rsidRDefault="005C0FFE" w:rsidP="005C0FFE">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100</w:t>
            </w:r>
          </w:p>
        </w:tc>
        <w:tc>
          <w:tcPr>
            <w:tcW w:w="1415" w:type="dxa"/>
          </w:tcPr>
          <w:p w:rsidR="005C0FFE" w:rsidRPr="005C0FFE" w:rsidRDefault="005C0FFE" w:rsidP="005C0FFE">
            <w:pPr>
              <w:pStyle w:val="NumPara"/>
              <w:numPr>
                <w:ilvl w:val="0"/>
                <w:numId w:val="0"/>
              </w:numPr>
              <w:jc w:val="right"/>
              <w:cnfStyle w:val="000000100000" w:firstRow="0" w:lastRow="0" w:firstColumn="0" w:lastColumn="0" w:oddVBand="0" w:evenVBand="0" w:oddHBand="1" w:evenHBand="0" w:firstRowFirstColumn="0" w:firstRowLastColumn="0" w:lastRowFirstColumn="0" w:lastRowLastColumn="0"/>
            </w:pPr>
            <w:r>
              <w:t>25</w:t>
            </w:r>
          </w:p>
        </w:tc>
      </w:tr>
    </w:tbl>
    <w:p w:rsidR="003E2364" w:rsidRPr="003E2364" w:rsidRDefault="003E2364" w:rsidP="003E2364">
      <w:pPr>
        <w:pStyle w:val="NumPara"/>
        <w:numPr>
          <w:ilvl w:val="0"/>
          <w:numId w:val="0"/>
        </w:numPr>
        <w:ind w:left="851"/>
        <w:rPr>
          <w:i/>
        </w:rPr>
      </w:pPr>
      <w:r w:rsidRPr="003E2364">
        <w:rPr>
          <w:i/>
        </w:rPr>
        <w:t>Amount of projected borrowing that is fixed rate maturing in each period as percentage of total projected borrowing that is fixed.</w:t>
      </w:r>
    </w:p>
    <w:p w:rsidR="00034748" w:rsidRDefault="003E2364" w:rsidP="002638E0">
      <w:pPr>
        <w:pStyle w:val="Heading2"/>
      </w:pPr>
      <w:r>
        <w:lastRenderedPageBreak/>
        <w:t xml:space="preserve">It is recommended that the upper limits of total principal sums invested for periods longer than 364 days </w:t>
      </w:r>
      <w:r w:rsidRPr="005C0FFE">
        <w:t>are £40.0m for</w:t>
      </w:r>
      <w:r>
        <w:t xml:space="preserve"> 2022/23, 2023/24 and 2024/25.</w:t>
      </w:r>
    </w:p>
    <w:p w:rsidR="003E2364" w:rsidRDefault="003E2364">
      <w:pPr>
        <w:spacing w:after="200"/>
        <w:rPr>
          <w:rFonts w:eastAsia="Times New Roman" w:cs="Times New Roman"/>
          <w:b/>
          <w:spacing w:val="5"/>
          <w:szCs w:val="48"/>
          <w:lang w:eastAsia="en-GB"/>
        </w:rPr>
      </w:pPr>
      <w:r>
        <w:br w:type="page"/>
      </w:r>
    </w:p>
    <w:p w:rsidR="003E2364" w:rsidRDefault="003E2364" w:rsidP="002638E0">
      <w:pPr>
        <w:pStyle w:val="Heading1"/>
      </w:pPr>
      <w:r>
        <w:lastRenderedPageBreak/>
        <w:t xml:space="preserve">Appendix </w:t>
      </w:r>
      <w:r w:rsidR="00B67875">
        <w:t>8</w:t>
      </w:r>
      <w:r>
        <w:t xml:space="preserve"> – Risk Assessment</w:t>
      </w:r>
    </w:p>
    <w:p w:rsidR="003E2364" w:rsidRDefault="003E2364" w:rsidP="002638E0">
      <w:pPr>
        <w:pStyle w:val="Heading2"/>
      </w:pPr>
      <w:r>
        <w:t>The table below details the risks and implications if key budget assumptions vary during the year.</w:t>
      </w:r>
    </w:p>
    <w:tbl>
      <w:tblPr>
        <w:tblStyle w:val="GridTable4-Accent1"/>
        <w:tblW w:w="0" w:type="auto"/>
        <w:tblInd w:w="0" w:type="dxa"/>
        <w:tblLook w:val="04A0" w:firstRow="1" w:lastRow="0" w:firstColumn="1" w:lastColumn="0" w:noHBand="0" w:noVBand="1"/>
      </w:tblPr>
      <w:tblGrid>
        <w:gridCol w:w="2762"/>
        <w:gridCol w:w="1416"/>
        <w:gridCol w:w="1204"/>
        <w:gridCol w:w="3962"/>
      </w:tblGrid>
      <w:tr w:rsidR="000121EB" w:rsidTr="000121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2" w:type="dxa"/>
          </w:tcPr>
          <w:p w:rsidR="00FA6B74" w:rsidRPr="000121EB" w:rsidRDefault="00FA6B74" w:rsidP="00FA6B74">
            <w:pPr>
              <w:pStyle w:val="NumPara"/>
              <w:numPr>
                <w:ilvl w:val="0"/>
                <w:numId w:val="0"/>
              </w:numPr>
              <w:rPr>
                <w:color w:val="auto"/>
              </w:rPr>
            </w:pPr>
            <w:r w:rsidRPr="000121EB">
              <w:rPr>
                <w:color w:val="auto"/>
              </w:rPr>
              <w:t>Risk</w:t>
            </w:r>
          </w:p>
        </w:tc>
        <w:tc>
          <w:tcPr>
            <w:tcW w:w="1416" w:type="dxa"/>
          </w:tcPr>
          <w:p w:rsidR="00FA6B74" w:rsidRPr="000121EB" w:rsidRDefault="00FA6B74" w:rsidP="00FA6B74">
            <w:pPr>
              <w:pStyle w:val="NumPara"/>
              <w:numPr>
                <w:ilvl w:val="0"/>
                <w:numId w:val="0"/>
              </w:numPr>
              <w:cnfStyle w:val="100000000000" w:firstRow="1" w:lastRow="0" w:firstColumn="0" w:lastColumn="0" w:oddVBand="0" w:evenVBand="0" w:oddHBand="0" w:evenHBand="0" w:firstRowFirstColumn="0" w:firstRowLastColumn="0" w:lastRowFirstColumn="0" w:lastRowLastColumn="0"/>
              <w:rPr>
                <w:color w:val="auto"/>
              </w:rPr>
            </w:pPr>
            <w:r w:rsidRPr="000121EB">
              <w:rPr>
                <w:color w:val="auto"/>
              </w:rPr>
              <w:t>Likelihood</w:t>
            </w:r>
          </w:p>
        </w:tc>
        <w:tc>
          <w:tcPr>
            <w:tcW w:w="1204" w:type="dxa"/>
          </w:tcPr>
          <w:p w:rsidR="00FA6B74" w:rsidRPr="000121EB" w:rsidRDefault="00FA6B74" w:rsidP="00FA6B74">
            <w:pPr>
              <w:pStyle w:val="NumPara"/>
              <w:numPr>
                <w:ilvl w:val="0"/>
                <w:numId w:val="0"/>
              </w:numPr>
              <w:cnfStyle w:val="100000000000" w:firstRow="1" w:lastRow="0" w:firstColumn="0" w:lastColumn="0" w:oddVBand="0" w:evenVBand="0" w:oddHBand="0" w:evenHBand="0" w:firstRowFirstColumn="0" w:firstRowLastColumn="0" w:lastRowFirstColumn="0" w:lastRowLastColumn="0"/>
              <w:rPr>
                <w:color w:val="auto"/>
              </w:rPr>
            </w:pPr>
            <w:r w:rsidRPr="000121EB">
              <w:rPr>
                <w:color w:val="auto"/>
              </w:rPr>
              <w:t>Impact</w:t>
            </w:r>
          </w:p>
        </w:tc>
        <w:tc>
          <w:tcPr>
            <w:tcW w:w="3962" w:type="dxa"/>
          </w:tcPr>
          <w:p w:rsidR="00FA6B74" w:rsidRPr="000121EB" w:rsidRDefault="00FA6B74" w:rsidP="00FA6B74">
            <w:pPr>
              <w:pStyle w:val="NumPara"/>
              <w:numPr>
                <w:ilvl w:val="0"/>
                <w:numId w:val="0"/>
              </w:numPr>
              <w:cnfStyle w:val="100000000000" w:firstRow="1" w:lastRow="0" w:firstColumn="0" w:lastColumn="0" w:oddVBand="0" w:evenVBand="0" w:oddHBand="0" w:evenHBand="0" w:firstRowFirstColumn="0" w:firstRowLastColumn="0" w:lastRowFirstColumn="0" w:lastRowLastColumn="0"/>
              <w:rPr>
                <w:color w:val="auto"/>
              </w:rPr>
            </w:pPr>
            <w:r w:rsidRPr="000121EB">
              <w:rPr>
                <w:color w:val="auto"/>
              </w:rPr>
              <w:t>Comment</w:t>
            </w:r>
          </w:p>
        </w:tc>
      </w:tr>
      <w:tr w:rsidR="000121EB" w:rsidRPr="00BA4DFF" w:rsidTr="00012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2" w:type="dxa"/>
          </w:tcPr>
          <w:p w:rsidR="00FA6B74" w:rsidRPr="00BA4DFF" w:rsidRDefault="00FA6B74" w:rsidP="00FA6B74">
            <w:pPr>
              <w:pStyle w:val="NumPara"/>
              <w:numPr>
                <w:ilvl w:val="0"/>
                <w:numId w:val="0"/>
              </w:numPr>
              <w:rPr>
                <w:b w:val="0"/>
                <w:sz w:val="20"/>
              </w:rPr>
            </w:pPr>
            <w:r w:rsidRPr="00BA4DFF">
              <w:rPr>
                <w:b w:val="0"/>
                <w:sz w:val="20"/>
              </w:rPr>
              <w:t>The change programme costs including the Estates Strategy are significantly higher than planned</w:t>
            </w:r>
          </w:p>
        </w:tc>
        <w:tc>
          <w:tcPr>
            <w:tcW w:w="1416" w:type="dxa"/>
          </w:tcPr>
          <w:p w:rsidR="00FA6B74" w:rsidRPr="00BA4DFF" w:rsidRDefault="00FA6B74" w:rsidP="00FA6B74">
            <w:pPr>
              <w:pStyle w:val="NumPara"/>
              <w:numPr>
                <w:ilvl w:val="0"/>
                <w:numId w:val="0"/>
              </w:numPr>
              <w:cnfStyle w:val="000000100000" w:firstRow="0" w:lastRow="0" w:firstColumn="0" w:lastColumn="0" w:oddVBand="0" w:evenVBand="0" w:oddHBand="1" w:evenHBand="0" w:firstRowFirstColumn="0" w:firstRowLastColumn="0" w:lastRowFirstColumn="0" w:lastRowLastColumn="0"/>
              <w:rPr>
                <w:sz w:val="20"/>
              </w:rPr>
            </w:pPr>
            <w:r w:rsidRPr="00BA4DFF">
              <w:rPr>
                <w:sz w:val="20"/>
              </w:rPr>
              <w:t>Medium</w:t>
            </w:r>
          </w:p>
        </w:tc>
        <w:tc>
          <w:tcPr>
            <w:tcW w:w="1204" w:type="dxa"/>
          </w:tcPr>
          <w:p w:rsidR="00FA6B74" w:rsidRPr="00BA4DFF" w:rsidRDefault="00FA6B74" w:rsidP="00FA6B74">
            <w:pPr>
              <w:pStyle w:val="NumPara"/>
              <w:numPr>
                <w:ilvl w:val="0"/>
                <w:numId w:val="0"/>
              </w:numPr>
              <w:cnfStyle w:val="000000100000" w:firstRow="0" w:lastRow="0" w:firstColumn="0" w:lastColumn="0" w:oddVBand="0" w:evenVBand="0" w:oddHBand="1" w:evenHBand="0" w:firstRowFirstColumn="0" w:firstRowLastColumn="0" w:lastRowFirstColumn="0" w:lastRowLastColumn="0"/>
              <w:rPr>
                <w:sz w:val="20"/>
              </w:rPr>
            </w:pPr>
            <w:r w:rsidRPr="00BA4DFF">
              <w:rPr>
                <w:sz w:val="20"/>
              </w:rPr>
              <w:t>High</w:t>
            </w:r>
          </w:p>
        </w:tc>
        <w:tc>
          <w:tcPr>
            <w:tcW w:w="3962" w:type="dxa"/>
          </w:tcPr>
          <w:p w:rsidR="00FA6B74" w:rsidRPr="00BA4DFF" w:rsidRDefault="00FA6B74" w:rsidP="00FA6B74">
            <w:pPr>
              <w:pStyle w:val="NumPara"/>
              <w:numPr>
                <w:ilvl w:val="0"/>
                <w:numId w:val="0"/>
              </w:numPr>
              <w:cnfStyle w:val="000000100000" w:firstRow="0" w:lastRow="0" w:firstColumn="0" w:lastColumn="0" w:oddVBand="0" w:evenVBand="0" w:oddHBand="1" w:evenHBand="0" w:firstRowFirstColumn="0" w:firstRowLastColumn="0" w:lastRowFirstColumn="0" w:lastRowLastColumn="0"/>
              <w:rPr>
                <w:sz w:val="20"/>
              </w:rPr>
            </w:pPr>
            <w:r w:rsidRPr="00BA4DFF">
              <w:rPr>
                <w:sz w:val="20"/>
              </w:rPr>
              <w:t>Governance structures in place to deliver the change programme.</w:t>
            </w:r>
            <w:r w:rsidR="000121EB" w:rsidRPr="00BA4DFF">
              <w:rPr>
                <w:sz w:val="20"/>
              </w:rPr>
              <w:t xml:space="preserve">  If circumstances change, the financial implications of this will be considered in year.</w:t>
            </w:r>
          </w:p>
        </w:tc>
      </w:tr>
      <w:tr w:rsidR="000121EB" w:rsidRPr="00BA4DFF" w:rsidTr="000121EB">
        <w:tc>
          <w:tcPr>
            <w:cnfStyle w:val="001000000000" w:firstRow="0" w:lastRow="0" w:firstColumn="1" w:lastColumn="0" w:oddVBand="0" w:evenVBand="0" w:oddHBand="0" w:evenHBand="0" w:firstRowFirstColumn="0" w:firstRowLastColumn="0" w:lastRowFirstColumn="0" w:lastRowLastColumn="0"/>
            <w:tcW w:w="2762" w:type="dxa"/>
          </w:tcPr>
          <w:p w:rsidR="00FA6B74" w:rsidRPr="00BA4DFF" w:rsidRDefault="000121EB" w:rsidP="00FA6B74">
            <w:pPr>
              <w:pStyle w:val="NumPara"/>
              <w:numPr>
                <w:ilvl w:val="0"/>
                <w:numId w:val="0"/>
              </w:numPr>
              <w:rPr>
                <w:b w:val="0"/>
                <w:sz w:val="20"/>
              </w:rPr>
            </w:pPr>
            <w:r w:rsidRPr="00BA4DFF">
              <w:rPr>
                <w:b w:val="0"/>
                <w:sz w:val="20"/>
              </w:rPr>
              <w:t>The Capital Programme requirement changes as work streams develop, for example, development of the Estates Strategy</w:t>
            </w:r>
          </w:p>
        </w:tc>
        <w:tc>
          <w:tcPr>
            <w:tcW w:w="1416" w:type="dxa"/>
          </w:tcPr>
          <w:p w:rsidR="00FA6B74" w:rsidRPr="00BA4DFF" w:rsidRDefault="000121EB" w:rsidP="00FA6B74">
            <w:pPr>
              <w:pStyle w:val="NumPara"/>
              <w:numPr>
                <w:ilvl w:val="0"/>
                <w:numId w:val="0"/>
              </w:numPr>
              <w:cnfStyle w:val="000000000000" w:firstRow="0" w:lastRow="0" w:firstColumn="0" w:lastColumn="0" w:oddVBand="0" w:evenVBand="0" w:oddHBand="0" w:evenHBand="0" w:firstRowFirstColumn="0" w:firstRowLastColumn="0" w:lastRowFirstColumn="0" w:lastRowLastColumn="0"/>
              <w:rPr>
                <w:sz w:val="20"/>
              </w:rPr>
            </w:pPr>
            <w:r w:rsidRPr="00BA4DFF">
              <w:rPr>
                <w:sz w:val="20"/>
              </w:rPr>
              <w:t>High</w:t>
            </w:r>
          </w:p>
        </w:tc>
        <w:tc>
          <w:tcPr>
            <w:tcW w:w="1204" w:type="dxa"/>
          </w:tcPr>
          <w:p w:rsidR="00FA6B74" w:rsidRPr="00BA4DFF" w:rsidRDefault="000121EB" w:rsidP="00FA6B74">
            <w:pPr>
              <w:pStyle w:val="NumPara"/>
              <w:numPr>
                <w:ilvl w:val="0"/>
                <w:numId w:val="0"/>
              </w:numPr>
              <w:cnfStyle w:val="000000000000" w:firstRow="0" w:lastRow="0" w:firstColumn="0" w:lastColumn="0" w:oddVBand="0" w:evenVBand="0" w:oddHBand="0" w:evenHBand="0" w:firstRowFirstColumn="0" w:firstRowLastColumn="0" w:lastRowFirstColumn="0" w:lastRowLastColumn="0"/>
              <w:rPr>
                <w:sz w:val="20"/>
              </w:rPr>
            </w:pPr>
            <w:r w:rsidRPr="00BA4DFF">
              <w:rPr>
                <w:sz w:val="20"/>
              </w:rPr>
              <w:t>High</w:t>
            </w:r>
          </w:p>
        </w:tc>
        <w:tc>
          <w:tcPr>
            <w:tcW w:w="3962" w:type="dxa"/>
          </w:tcPr>
          <w:p w:rsidR="00FA6B74" w:rsidRPr="00BA4DFF" w:rsidRDefault="000121EB" w:rsidP="00FA6B74">
            <w:pPr>
              <w:pStyle w:val="NumPara"/>
              <w:numPr>
                <w:ilvl w:val="0"/>
                <w:numId w:val="0"/>
              </w:numPr>
              <w:cnfStyle w:val="000000000000" w:firstRow="0" w:lastRow="0" w:firstColumn="0" w:lastColumn="0" w:oddVBand="0" w:evenVBand="0" w:oddHBand="0" w:evenHBand="0" w:firstRowFirstColumn="0" w:firstRowLastColumn="0" w:lastRowFirstColumn="0" w:lastRowLastColumn="0"/>
              <w:rPr>
                <w:sz w:val="20"/>
              </w:rPr>
            </w:pPr>
            <w:r w:rsidRPr="00BA4DFF">
              <w:rPr>
                <w:sz w:val="20"/>
              </w:rPr>
              <w:t>The programme has been written with some flexibility built in but should strategic choices vary significantly the programme would be reviewed and re-shaped in line with the new requirement.  The addition of the Estates Strategy is being programme managed and would be reported through the appropriate governance channels.</w:t>
            </w:r>
          </w:p>
        </w:tc>
      </w:tr>
      <w:tr w:rsidR="000121EB" w:rsidRPr="00BA4DFF" w:rsidTr="00012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2" w:type="dxa"/>
          </w:tcPr>
          <w:p w:rsidR="00FA6B74" w:rsidRPr="00BA4DFF" w:rsidRDefault="000121EB" w:rsidP="00FA6B74">
            <w:pPr>
              <w:pStyle w:val="NumPara"/>
              <w:numPr>
                <w:ilvl w:val="0"/>
                <w:numId w:val="0"/>
              </w:numPr>
              <w:rPr>
                <w:b w:val="0"/>
                <w:sz w:val="20"/>
              </w:rPr>
            </w:pPr>
            <w:r w:rsidRPr="00BA4DFF">
              <w:rPr>
                <w:b w:val="0"/>
                <w:sz w:val="20"/>
              </w:rPr>
              <w:t>Pay awards in the future differ from the assumptions in our financial planning</w:t>
            </w:r>
          </w:p>
        </w:tc>
        <w:tc>
          <w:tcPr>
            <w:tcW w:w="1416" w:type="dxa"/>
          </w:tcPr>
          <w:p w:rsidR="00FA6B74" w:rsidRPr="00BA4DFF" w:rsidRDefault="000121EB" w:rsidP="00FA6B74">
            <w:pPr>
              <w:pStyle w:val="NumPara"/>
              <w:numPr>
                <w:ilvl w:val="0"/>
                <w:numId w:val="0"/>
              </w:numPr>
              <w:cnfStyle w:val="000000100000" w:firstRow="0" w:lastRow="0" w:firstColumn="0" w:lastColumn="0" w:oddVBand="0" w:evenVBand="0" w:oddHBand="1" w:evenHBand="0" w:firstRowFirstColumn="0" w:firstRowLastColumn="0" w:lastRowFirstColumn="0" w:lastRowLastColumn="0"/>
              <w:rPr>
                <w:sz w:val="20"/>
              </w:rPr>
            </w:pPr>
            <w:r w:rsidRPr="00BA4DFF">
              <w:rPr>
                <w:sz w:val="20"/>
              </w:rPr>
              <w:t>Medium</w:t>
            </w:r>
          </w:p>
        </w:tc>
        <w:tc>
          <w:tcPr>
            <w:tcW w:w="1204" w:type="dxa"/>
          </w:tcPr>
          <w:p w:rsidR="00FA6B74" w:rsidRPr="00BA4DFF" w:rsidRDefault="000121EB" w:rsidP="00FA6B74">
            <w:pPr>
              <w:pStyle w:val="NumPara"/>
              <w:numPr>
                <w:ilvl w:val="0"/>
                <w:numId w:val="0"/>
              </w:numPr>
              <w:cnfStyle w:val="000000100000" w:firstRow="0" w:lastRow="0" w:firstColumn="0" w:lastColumn="0" w:oddVBand="0" w:evenVBand="0" w:oddHBand="1" w:evenHBand="0" w:firstRowFirstColumn="0" w:firstRowLastColumn="0" w:lastRowFirstColumn="0" w:lastRowLastColumn="0"/>
              <w:rPr>
                <w:sz w:val="20"/>
              </w:rPr>
            </w:pPr>
            <w:r w:rsidRPr="00BA4DFF">
              <w:rPr>
                <w:sz w:val="20"/>
              </w:rPr>
              <w:t>High</w:t>
            </w:r>
          </w:p>
        </w:tc>
        <w:tc>
          <w:tcPr>
            <w:tcW w:w="3962" w:type="dxa"/>
          </w:tcPr>
          <w:p w:rsidR="00FA6B74" w:rsidRPr="00BA4DFF" w:rsidRDefault="000121EB" w:rsidP="00FA6B74">
            <w:pPr>
              <w:pStyle w:val="NumPara"/>
              <w:numPr>
                <w:ilvl w:val="0"/>
                <w:numId w:val="0"/>
              </w:numPr>
              <w:cnfStyle w:val="000000100000" w:firstRow="0" w:lastRow="0" w:firstColumn="0" w:lastColumn="0" w:oddVBand="0" w:evenVBand="0" w:oddHBand="1" w:evenHBand="0" w:firstRowFirstColumn="0" w:firstRowLastColumn="0" w:lastRowFirstColumn="0" w:lastRowLastColumn="0"/>
              <w:rPr>
                <w:sz w:val="20"/>
              </w:rPr>
            </w:pPr>
            <w:r w:rsidRPr="00BA4DFF">
              <w:rPr>
                <w:sz w:val="20"/>
              </w:rPr>
              <w:t>Current assumptions include a 3.0% pay award in September 2023.  Due to the current increases in the cost of living it is worth flagging the risk this could increase.</w:t>
            </w:r>
          </w:p>
        </w:tc>
      </w:tr>
      <w:tr w:rsidR="000121EB" w:rsidRPr="00BA4DFF" w:rsidTr="000121EB">
        <w:tc>
          <w:tcPr>
            <w:cnfStyle w:val="001000000000" w:firstRow="0" w:lastRow="0" w:firstColumn="1" w:lastColumn="0" w:oddVBand="0" w:evenVBand="0" w:oddHBand="0" w:evenHBand="0" w:firstRowFirstColumn="0" w:firstRowLastColumn="0" w:lastRowFirstColumn="0" w:lastRowLastColumn="0"/>
            <w:tcW w:w="2762" w:type="dxa"/>
          </w:tcPr>
          <w:p w:rsidR="00FA6B74" w:rsidRPr="00BA4DFF" w:rsidRDefault="000121EB" w:rsidP="00FA6B74">
            <w:pPr>
              <w:pStyle w:val="NumPara"/>
              <w:numPr>
                <w:ilvl w:val="0"/>
                <w:numId w:val="0"/>
              </w:numPr>
              <w:rPr>
                <w:b w:val="0"/>
                <w:sz w:val="20"/>
              </w:rPr>
            </w:pPr>
            <w:r w:rsidRPr="00BA4DFF">
              <w:rPr>
                <w:b w:val="0"/>
                <w:sz w:val="20"/>
              </w:rPr>
              <w:t>Increase in volume and/or cost of policing public order incidents linked to the general economic conditions or other factors</w:t>
            </w:r>
          </w:p>
        </w:tc>
        <w:tc>
          <w:tcPr>
            <w:tcW w:w="1416" w:type="dxa"/>
          </w:tcPr>
          <w:p w:rsidR="00FA6B74" w:rsidRPr="00BA4DFF" w:rsidRDefault="000121EB" w:rsidP="00FA6B74">
            <w:pPr>
              <w:pStyle w:val="NumPara"/>
              <w:numPr>
                <w:ilvl w:val="0"/>
                <w:numId w:val="0"/>
              </w:numPr>
              <w:cnfStyle w:val="000000000000" w:firstRow="0" w:lastRow="0" w:firstColumn="0" w:lastColumn="0" w:oddVBand="0" w:evenVBand="0" w:oddHBand="0" w:evenHBand="0" w:firstRowFirstColumn="0" w:firstRowLastColumn="0" w:lastRowFirstColumn="0" w:lastRowLastColumn="0"/>
              <w:rPr>
                <w:sz w:val="20"/>
              </w:rPr>
            </w:pPr>
            <w:r w:rsidRPr="00BA4DFF">
              <w:rPr>
                <w:sz w:val="20"/>
              </w:rPr>
              <w:t>Medium</w:t>
            </w:r>
          </w:p>
        </w:tc>
        <w:tc>
          <w:tcPr>
            <w:tcW w:w="1204" w:type="dxa"/>
          </w:tcPr>
          <w:p w:rsidR="00FA6B74" w:rsidRPr="00BA4DFF" w:rsidRDefault="000121EB" w:rsidP="00FA6B74">
            <w:pPr>
              <w:pStyle w:val="NumPara"/>
              <w:numPr>
                <w:ilvl w:val="0"/>
                <w:numId w:val="0"/>
              </w:numPr>
              <w:cnfStyle w:val="000000000000" w:firstRow="0" w:lastRow="0" w:firstColumn="0" w:lastColumn="0" w:oddVBand="0" w:evenVBand="0" w:oddHBand="0" w:evenHBand="0" w:firstRowFirstColumn="0" w:firstRowLastColumn="0" w:lastRowFirstColumn="0" w:lastRowLastColumn="0"/>
              <w:rPr>
                <w:sz w:val="20"/>
              </w:rPr>
            </w:pPr>
            <w:r w:rsidRPr="00BA4DFF">
              <w:rPr>
                <w:sz w:val="20"/>
              </w:rPr>
              <w:t>Medium</w:t>
            </w:r>
          </w:p>
        </w:tc>
        <w:tc>
          <w:tcPr>
            <w:tcW w:w="3962" w:type="dxa"/>
          </w:tcPr>
          <w:p w:rsidR="00FA6B74" w:rsidRPr="00BA4DFF" w:rsidRDefault="000121EB" w:rsidP="00FA6B74">
            <w:pPr>
              <w:pStyle w:val="NumPara"/>
              <w:numPr>
                <w:ilvl w:val="0"/>
                <w:numId w:val="0"/>
              </w:numPr>
              <w:cnfStyle w:val="000000000000" w:firstRow="0" w:lastRow="0" w:firstColumn="0" w:lastColumn="0" w:oddVBand="0" w:evenVBand="0" w:oddHBand="0" w:evenHBand="0" w:firstRowFirstColumn="0" w:firstRowLastColumn="0" w:lastRowFirstColumn="0" w:lastRowLastColumn="0"/>
              <w:rPr>
                <w:sz w:val="20"/>
              </w:rPr>
            </w:pPr>
            <w:r w:rsidRPr="00BA4DFF">
              <w:rPr>
                <w:sz w:val="20"/>
              </w:rPr>
              <w:t xml:space="preserve">Depending on the volume and complexity of any incidents, this could place a significant strain on current contingency budgets.  In the first instance savings would look to be found across budgets areas.  If this was not sufficient then reserves would need to be used.  </w:t>
            </w:r>
          </w:p>
        </w:tc>
      </w:tr>
      <w:tr w:rsidR="000121EB" w:rsidRPr="00BA4DFF" w:rsidTr="00012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2" w:type="dxa"/>
          </w:tcPr>
          <w:p w:rsidR="00FA6B74" w:rsidRPr="00BA4DFF" w:rsidRDefault="000121EB" w:rsidP="00FA6B74">
            <w:pPr>
              <w:pStyle w:val="NumPara"/>
              <w:numPr>
                <w:ilvl w:val="0"/>
                <w:numId w:val="0"/>
              </w:numPr>
              <w:rPr>
                <w:b w:val="0"/>
                <w:sz w:val="20"/>
              </w:rPr>
            </w:pPr>
            <w:r w:rsidRPr="00BA4DFF">
              <w:rPr>
                <w:b w:val="0"/>
                <w:sz w:val="20"/>
              </w:rPr>
              <w:t>Interest rates increase</w:t>
            </w:r>
          </w:p>
        </w:tc>
        <w:tc>
          <w:tcPr>
            <w:tcW w:w="1416" w:type="dxa"/>
          </w:tcPr>
          <w:p w:rsidR="00FA6B74" w:rsidRPr="00BA4DFF" w:rsidRDefault="000121EB" w:rsidP="00FA6B74">
            <w:pPr>
              <w:pStyle w:val="NumPara"/>
              <w:numPr>
                <w:ilvl w:val="0"/>
                <w:numId w:val="0"/>
              </w:numPr>
              <w:cnfStyle w:val="000000100000" w:firstRow="0" w:lastRow="0" w:firstColumn="0" w:lastColumn="0" w:oddVBand="0" w:evenVBand="0" w:oddHBand="1" w:evenHBand="0" w:firstRowFirstColumn="0" w:firstRowLastColumn="0" w:lastRowFirstColumn="0" w:lastRowLastColumn="0"/>
              <w:rPr>
                <w:sz w:val="20"/>
              </w:rPr>
            </w:pPr>
            <w:r w:rsidRPr="00BA4DFF">
              <w:rPr>
                <w:sz w:val="20"/>
              </w:rPr>
              <w:t>Low</w:t>
            </w:r>
          </w:p>
        </w:tc>
        <w:tc>
          <w:tcPr>
            <w:tcW w:w="1204" w:type="dxa"/>
          </w:tcPr>
          <w:p w:rsidR="00FA6B74" w:rsidRPr="00BA4DFF" w:rsidRDefault="000121EB" w:rsidP="00FA6B74">
            <w:pPr>
              <w:pStyle w:val="NumPara"/>
              <w:numPr>
                <w:ilvl w:val="0"/>
                <w:numId w:val="0"/>
              </w:numPr>
              <w:cnfStyle w:val="000000100000" w:firstRow="0" w:lastRow="0" w:firstColumn="0" w:lastColumn="0" w:oddVBand="0" w:evenVBand="0" w:oddHBand="1" w:evenHBand="0" w:firstRowFirstColumn="0" w:firstRowLastColumn="0" w:lastRowFirstColumn="0" w:lastRowLastColumn="0"/>
              <w:rPr>
                <w:sz w:val="20"/>
              </w:rPr>
            </w:pPr>
            <w:r w:rsidRPr="00BA4DFF">
              <w:rPr>
                <w:sz w:val="20"/>
              </w:rPr>
              <w:t>Medium</w:t>
            </w:r>
          </w:p>
        </w:tc>
        <w:tc>
          <w:tcPr>
            <w:tcW w:w="3962" w:type="dxa"/>
          </w:tcPr>
          <w:p w:rsidR="00FA6B74" w:rsidRPr="00BA4DFF" w:rsidRDefault="000121EB" w:rsidP="00FA6B74">
            <w:pPr>
              <w:pStyle w:val="NumPara"/>
              <w:numPr>
                <w:ilvl w:val="0"/>
                <w:numId w:val="0"/>
              </w:numPr>
              <w:cnfStyle w:val="000000100000" w:firstRow="0" w:lastRow="0" w:firstColumn="0" w:lastColumn="0" w:oddVBand="0" w:evenVBand="0" w:oddHBand="1" w:evenHBand="0" w:firstRowFirstColumn="0" w:firstRowLastColumn="0" w:lastRowFirstColumn="0" w:lastRowLastColumn="0"/>
              <w:rPr>
                <w:sz w:val="20"/>
              </w:rPr>
            </w:pPr>
            <w:r w:rsidRPr="00BA4DFF">
              <w:rPr>
                <w:sz w:val="20"/>
              </w:rPr>
              <w:t xml:space="preserve">The budget reflects the low rates of interest being received on investments.  Forecasts from our Treasury Management advisers suggest that borrowing rates are likely to increase which will add to the costs of financing the capital programme should borrowing be required over the medium term.  </w:t>
            </w:r>
          </w:p>
        </w:tc>
      </w:tr>
      <w:tr w:rsidR="000121EB" w:rsidRPr="00BA4DFF" w:rsidTr="000121EB">
        <w:tc>
          <w:tcPr>
            <w:cnfStyle w:val="001000000000" w:firstRow="0" w:lastRow="0" w:firstColumn="1" w:lastColumn="0" w:oddVBand="0" w:evenVBand="0" w:oddHBand="0" w:evenHBand="0" w:firstRowFirstColumn="0" w:firstRowLastColumn="0" w:lastRowFirstColumn="0" w:lastRowLastColumn="0"/>
            <w:tcW w:w="2762" w:type="dxa"/>
          </w:tcPr>
          <w:p w:rsidR="00FA6B74" w:rsidRPr="00BA4DFF" w:rsidRDefault="000121EB" w:rsidP="00FA6B74">
            <w:pPr>
              <w:pStyle w:val="NumPara"/>
              <w:numPr>
                <w:ilvl w:val="0"/>
                <w:numId w:val="0"/>
              </w:numPr>
              <w:rPr>
                <w:b w:val="0"/>
                <w:sz w:val="20"/>
              </w:rPr>
            </w:pPr>
            <w:r w:rsidRPr="00BA4DFF">
              <w:rPr>
                <w:b w:val="0"/>
                <w:sz w:val="20"/>
              </w:rPr>
              <w:t>General inflation is different to the assumptions included in the budget</w:t>
            </w:r>
          </w:p>
        </w:tc>
        <w:tc>
          <w:tcPr>
            <w:tcW w:w="1416" w:type="dxa"/>
          </w:tcPr>
          <w:p w:rsidR="00FA6B74" w:rsidRPr="00BA4DFF" w:rsidRDefault="000121EB" w:rsidP="00FA6B74">
            <w:pPr>
              <w:pStyle w:val="NumPara"/>
              <w:numPr>
                <w:ilvl w:val="0"/>
                <w:numId w:val="0"/>
              </w:numPr>
              <w:cnfStyle w:val="000000000000" w:firstRow="0" w:lastRow="0" w:firstColumn="0" w:lastColumn="0" w:oddVBand="0" w:evenVBand="0" w:oddHBand="0" w:evenHBand="0" w:firstRowFirstColumn="0" w:firstRowLastColumn="0" w:lastRowFirstColumn="0" w:lastRowLastColumn="0"/>
              <w:rPr>
                <w:sz w:val="20"/>
              </w:rPr>
            </w:pPr>
            <w:r w:rsidRPr="00BA4DFF">
              <w:rPr>
                <w:sz w:val="20"/>
              </w:rPr>
              <w:t>Medium</w:t>
            </w:r>
          </w:p>
        </w:tc>
        <w:tc>
          <w:tcPr>
            <w:tcW w:w="1204" w:type="dxa"/>
          </w:tcPr>
          <w:p w:rsidR="00FA6B74" w:rsidRPr="00BA4DFF" w:rsidRDefault="000121EB" w:rsidP="00FA6B74">
            <w:pPr>
              <w:pStyle w:val="NumPara"/>
              <w:numPr>
                <w:ilvl w:val="0"/>
                <w:numId w:val="0"/>
              </w:numPr>
              <w:cnfStyle w:val="000000000000" w:firstRow="0" w:lastRow="0" w:firstColumn="0" w:lastColumn="0" w:oddVBand="0" w:evenVBand="0" w:oddHBand="0" w:evenHBand="0" w:firstRowFirstColumn="0" w:firstRowLastColumn="0" w:lastRowFirstColumn="0" w:lastRowLastColumn="0"/>
              <w:rPr>
                <w:sz w:val="20"/>
              </w:rPr>
            </w:pPr>
            <w:r w:rsidRPr="00BA4DFF">
              <w:rPr>
                <w:sz w:val="20"/>
              </w:rPr>
              <w:t>Medium</w:t>
            </w:r>
          </w:p>
        </w:tc>
        <w:tc>
          <w:tcPr>
            <w:tcW w:w="3962" w:type="dxa"/>
          </w:tcPr>
          <w:p w:rsidR="00FA6B74" w:rsidRPr="00BA4DFF" w:rsidRDefault="000121EB" w:rsidP="00FA6B74">
            <w:pPr>
              <w:pStyle w:val="NumPara"/>
              <w:numPr>
                <w:ilvl w:val="0"/>
                <w:numId w:val="0"/>
              </w:numPr>
              <w:cnfStyle w:val="000000000000" w:firstRow="0" w:lastRow="0" w:firstColumn="0" w:lastColumn="0" w:oddVBand="0" w:evenVBand="0" w:oddHBand="0" w:evenHBand="0" w:firstRowFirstColumn="0" w:firstRowLastColumn="0" w:lastRowFirstColumn="0" w:lastRowLastColumn="0"/>
              <w:rPr>
                <w:sz w:val="20"/>
              </w:rPr>
            </w:pPr>
            <w:r w:rsidRPr="00BA4DFF">
              <w:rPr>
                <w:sz w:val="20"/>
              </w:rPr>
              <w:t>A 1% increase would cost around £1.2m.  Significant increases in building costs in the medium-term capital programme period could have an impact on some estimates.</w:t>
            </w:r>
          </w:p>
        </w:tc>
      </w:tr>
      <w:tr w:rsidR="000121EB" w:rsidRPr="00BA4DFF" w:rsidTr="00012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2" w:type="dxa"/>
          </w:tcPr>
          <w:p w:rsidR="00FA6B74" w:rsidRPr="00BA4DFF" w:rsidRDefault="000121EB" w:rsidP="00FA6B74">
            <w:pPr>
              <w:pStyle w:val="NumPara"/>
              <w:numPr>
                <w:ilvl w:val="0"/>
                <w:numId w:val="0"/>
              </w:numPr>
              <w:rPr>
                <w:b w:val="0"/>
                <w:sz w:val="20"/>
              </w:rPr>
            </w:pPr>
            <w:r w:rsidRPr="00BA4DFF">
              <w:rPr>
                <w:b w:val="0"/>
                <w:sz w:val="20"/>
              </w:rPr>
              <w:t>Income levels are not achieved</w:t>
            </w:r>
          </w:p>
        </w:tc>
        <w:tc>
          <w:tcPr>
            <w:tcW w:w="1416" w:type="dxa"/>
          </w:tcPr>
          <w:p w:rsidR="00FA6B74" w:rsidRPr="00BA4DFF" w:rsidRDefault="000121EB" w:rsidP="00FA6B74">
            <w:pPr>
              <w:pStyle w:val="NumPara"/>
              <w:numPr>
                <w:ilvl w:val="0"/>
                <w:numId w:val="0"/>
              </w:numPr>
              <w:cnfStyle w:val="000000100000" w:firstRow="0" w:lastRow="0" w:firstColumn="0" w:lastColumn="0" w:oddVBand="0" w:evenVBand="0" w:oddHBand="1" w:evenHBand="0" w:firstRowFirstColumn="0" w:firstRowLastColumn="0" w:lastRowFirstColumn="0" w:lastRowLastColumn="0"/>
              <w:rPr>
                <w:sz w:val="20"/>
              </w:rPr>
            </w:pPr>
            <w:r w:rsidRPr="00BA4DFF">
              <w:rPr>
                <w:sz w:val="20"/>
              </w:rPr>
              <w:t>Low</w:t>
            </w:r>
          </w:p>
        </w:tc>
        <w:tc>
          <w:tcPr>
            <w:tcW w:w="1204" w:type="dxa"/>
          </w:tcPr>
          <w:p w:rsidR="00FA6B74" w:rsidRPr="00BA4DFF" w:rsidRDefault="000121EB" w:rsidP="00FA6B74">
            <w:pPr>
              <w:pStyle w:val="NumPara"/>
              <w:numPr>
                <w:ilvl w:val="0"/>
                <w:numId w:val="0"/>
              </w:numPr>
              <w:cnfStyle w:val="000000100000" w:firstRow="0" w:lastRow="0" w:firstColumn="0" w:lastColumn="0" w:oddVBand="0" w:evenVBand="0" w:oddHBand="1" w:evenHBand="0" w:firstRowFirstColumn="0" w:firstRowLastColumn="0" w:lastRowFirstColumn="0" w:lastRowLastColumn="0"/>
              <w:rPr>
                <w:sz w:val="20"/>
              </w:rPr>
            </w:pPr>
            <w:r w:rsidRPr="00BA4DFF">
              <w:rPr>
                <w:sz w:val="20"/>
              </w:rPr>
              <w:t>Low</w:t>
            </w:r>
          </w:p>
        </w:tc>
        <w:tc>
          <w:tcPr>
            <w:tcW w:w="3962" w:type="dxa"/>
          </w:tcPr>
          <w:p w:rsidR="00FA6B74" w:rsidRPr="00BA4DFF" w:rsidRDefault="000121EB" w:rsidP="00FA6B74">
            <w:pPr>
              <w:pStyle w:val="NumPara"/>
              <w:numPr>
                <w:ilvl w:val="0"/>
                <w:numId w:val="0"/>
              </w:numPr>
              <w:cnfStyle w:val="000000100000" w:firstRow="0" w:lastRow="0" w:firstColumn="0" w:lastColumn="0" w:oddVBand="0" w:evenVBand="0" w:oddHBand="1" w:evenHBand="0" w:firstRowFirstColumn="0" w:firstRowLastColumn="0" w:lastRowFirstColumn="0" w:lastRowLastColumn="0"/>
              <w:rPr>
                <w:sz w:val="20"/>
              </w:rPr>
            </w:pPr>
            <w:r w:rsidRPr="00BA4DFF">
              <w:rPr>
                <w:sz w:val="20"/>
              </w:rPr>
              <w:t>A 1% loss of income (excluding grants &amp; interest) could cost around £0.3m.</w:t>
            </w:r>
          </w:p>
        </w:tc>
      </w:tr>
    </w:tbl>
    <w:p w:rsidR="00FA6B74" w:rsidRPr="003E2364" w:rsidRDefault="00FA6B74" w:rsidP="00FA6B74">
      <w:pPr>
        <w:pStyle w:val="NumPara"/>
        <w:numPr>
          <w:ilvl w:val="0"/>
          <w:numId w:val="0"/>
        </w:numPr>
        <w:ind w:left="851"/>
      </w:pPr>
    </w:p>
    <w:sectPr w:rsidR="00FA6B74" w:rsidRPr="003E2364" w:rsidSect="00A963A1">
      <w:pgSz w:w="11906" w:h="16838"/>
      <w:pgMar w:top="1134" w:right="1418" w:bottom="1418" w:left="1134"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03E" w:rsidRDefault="0030403E" w:rsidP="001B427F">
      <w:pPr>
        <w:spacing w:after="0" w:line="240" w:lineRule="auto"/>
      </w:pPr>
      <w:r>
        <w:separator/>
      </w:r>
    </w:p>
  </w:endnote>
  <w:endnote w:type="continuationSeparator" w:id="0">
    <w:p w:rsidR="0030403E" w:rsidRDefault="0030403E" w:rsidP="001B4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03E" w:rsidRDefault="00304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219615"/>
      <w:docPartObj>
        <w:docPartGallery w:val="Page Numbers (Bottom of Page)"/>
        <w:docPartUnique/>
      </w:docPartObj>
    </w:sdtPr>
    <w:sdtEndPr/>
    <w:sdtContent>
      <w:sdt>
        <w:sdtPr>
          <w:id w:val="1815369549"/>
          <w:docPartObj>
            <w:docPartGallery w:val="Page Numbers (Top of Page)"/>
            <w:docPartUnique/>
          </w:docPartObj>
        </w:sdtPr>
        <w:sdtEndPr/>
        <w:sdtContent>
          <w:p w:rsidR="0030403E" w:rsidRPr="00542EC1" w:rsidRDefault="0030403E" w:rsidP="00542EC1">
            <w:pPr>
              <w:pStyle w:val="Footer"/>
              <w:jc w:val="right"/>
              <w:rPr>
                <w:bCs/>
                <w:szCs w:val="24"/>
              </w:rPr>
            </w:pPr>
            <w:r>
              <w:tab/>
            </w:r>
            <w:r w:rsidRPr="0090618F">
              <w:t xml:space="preserve">Page </w:t>
            </w:r>
            <w:r w:rsidRPr="0090618F">
              <w:rPr>
                <w:bCs/>
                <w:szCs w:val="24"/>
              </w:rPr>
              <w:fldChar w:fldCharType="begin"/>
            </w:r>
            <w:r w:rsidRPr="0090618F">
              <w:rPr>
                <w:bCs/>
              </w:rPr>
              <w:instrText xml:space="preserve"> PAGE </w:instrText>
            </w:r>
            <w:r w:rsidRPr="0090618F">
              <w:rPr>
                <w:bCs/>
                <w:szCs w:val="24"/>
              </w:rPr>
              <w:fldChar w:fldCharType="separate"/>
            </w:r>
            <w:r>
              <w:rPr>
                <w:bCs/>
                <w:noProof/>
              </w:rPr>
              <w:t>1</w:t>
            </w:r>
            <w:r w:rsidRPr="0090618F">
              <w:rPr>
                <w:bCs/>
                <w:szCs w:val="24"/>
              </w:rPr>
              <w:fldChar w:fldCharType="end"/>
            </w:r>
            <w:r w:rsidRPr="0090618F">
              <w:t xml:space="preserve"> of </w:t>
            </w:r>
            <w:r w:rsidRPr="0090618F">
              <w:rPr>
                <w:bCs/>
                <w:szCs w:val="24"/>
              </w:rPr>
              <w:fldChar w:fldCharType="begin"/>
            </w:r>
            <w:r w:rsidRPr="0090618F">
              <w:rPr>
                <w:bCs/>
              </w:rPr>
              <w:instrText xml:space="preserve"> NUMPAGES  </w:instrText>
            </w:r>
            <w:r w:rsidRPr="0090618F">
              <w:rPr>
                <w:bCs/>
                <w:szCs w:val="24"/>
              </w:rPr>
              <w:fldChar w:fldCharType="separate"/>
            </w:r>
            <w:r>
              <w:rPr>
                <w:bCs/>
                <w:noProof/>
              </w:rPr>
              <w:t>1</w:t>
            </w:r>
            <w:r w:rsidRPr="0090618F">
              <w:rPr>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03E" w:rsidRDefault="00304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03E" w:rsidRDefault="0030403E" w:rsidP="001B427F">
      <w:pPr>
        <w:spacing w:after="0" w:line="240" w:lineRule="auto"/>
      </w:pPr>
      <w:r>
        <w:separator/>
      </w:r>
    </w:p>
  </w:footnote>
  <w:footnote w:type="continuationSeparator" w:id="0">
    <w:p w:rsidR="0030403E" w:rsidRDefault="0030403E" w:rsidP="001B4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03E" w:rsidRDefault="00304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03E" w:rsidRDefault="003040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03E" w:rsidRDefault="00304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A49"/>
    <w:multiLevelType w:val="hybridMultilevel"/>
    <w:tmpl w:val="1A44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D7CDF"/>
    <w:multiLevelType w:val="multilevel"/>
    <w:tmpl w:val="2164566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4"/>
      <w:lvlText w:val="%1.%2.%3"/>
      <w:lvlJc w:val="left"/>
      <w:pPr>
        <w:ind w:left="1429" w:hanging="720"/>
      </w:pPr>
      <w:rPr>
        <w:b w:val="0"/>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D3423B1"/>
    <w:multiLevelType w:val="hybridMultilevel"/>
    <w:tmpl w:val="C9625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81D16"/>
    <w:multiLevelType w:val="hybridMultilevel"/>
    <w:tmpl w:val="1340EC20"/>
    <w:lvl w:ilvl="0" w:tplc="4404C66E">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0221E"/>
    <w:multiLevelType w:val="multilevel"/>
    <w:tmpl w:val="9B20BA4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43D24"/>
    <w:multiLevelType w:val="multilevel"/>
    <w:tmpl w:val="9B20BA4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916181A"/>
    <w:multiLevelType w:val="hybridMultilevel"/>
    <w:tmpl w:val="A5E6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F2D5F"/>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9FA3287"/>
    <w:multiLevelType w:val="multilevel"/>
    <w:tmpl w:val="BDD650D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rPr>
    </w:lvl>
    <w:lvl w:ilvl="2">
      <w:start w:val="1"/>
      <w:numFmt w:val="bullet"/>
      <w:lvlText w:val=""/>
      <w:lvlJc w:val="left"/>
      <w:pPr>
        <w:tabs>
          <w:tab w:val="num" w:pos="851"/>
        </w:tabs>
        <w:ind w:left="851" w:hanging="851"/>
      </w:pPr>
      <w:rPr>
        <w:rFonts w:ascii="Symbol" w:hAnsi="Symbol"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A3B7D3B"/>
    <w:multiLevelType w:val="hybridMultilevel"/>
    <w:tmpl w:val="34F60898"/>
    <w:lvl w:ilvl="0" w:tplc="4404C6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36529C"/>
    <w:multiLevelType w:val="multilevel"/>
    <w:tmpl w:val="3B72DE18"/>
    <w:lvl w:ilvl="0">
      <w:start w:val="1"/>
      <w:numFmt w:val="decimal"/>
      <w:pStyle w:val="NumHeading1"/>
      <w:lvlText w:val="%1"/>
      <w:lvlJc w:val="left"/>
      <w:pPr>
        <w:tabs>
          <w:tab w:val="num" w:pos="851"/>
        </w:tabs>
        <w:ind w:left="851" w:hanging="851"/>
      </w:pPr>
      <w:rPr>
        <w:rFonts w:hint="default"/>
      </w:rPr>
    </w:lvl>
    <w:lvl w:ilvl="1">
      <w:start w:val="1"/>
      <w:numFmt w:val="decimal"/>
      <w:pStyle w:val="NumPara"/>
      <w:lvlText w:val="%1.%2"/>
      <w:lvlJc w:val="left"/>
      <w:pPr>
        <w:tabs>
          <w:tab w:val="num" w:pos="851"/>
        </w:tabs>
        <w:ind w:left="851" w:hanging="851"/>
      </w:pPr>
      <w:rPr>
        <w:rFonts w:hint="default"/>
        <w:b w:val="0"/>
      </w:rPr>
    </w:lvl>
    <w:lvl w:ilvl="2">
      <w:start w:val="1"/>
      <w:numFmt w:val="bullet"/>
      <w:lvlText w:val=""/>
      <w:lvlJc w:val="left"/>
      <w:pPr>
        <w:tabs>
          <w:tab w:val="num" w:pos="851"/>
        </w:tabs>
        <w:ind w:left="851" w:hanging="851"/>
      </w:pPr>
      <w:rPr>
        <w:rFonts w:ascii="Symbol" w:hAnsi="Symbol"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5600D6F"/>
    <w:multiLevelType w:val="hybridMultilevel"/>
    <w:tmpl w:val="22709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F5054"/>
    <w:multiLevelType w:val="hybridMultilevel"/>
    <w:tmpl w:val="D84A14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1EA1552"/>
    <w:multiLevelType w:val="hybridMultilevel"/>
    <w:tmpl w:val="7B921CA0"/>
    <w:lvl w:ilvl="0" w:tplc="4404C6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2C90B9F"/>
    <w:multiLevelType w:val="hybridMultilevel"/>
    <w:tmpl w:val="97B0E508"/>
    <w:lvl w:ilvl="0" w:tplc="2F680780">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5" w15:restartNumberingAfterBreak="0">
    <w:nsid w:val="3C4C66AA"/>
    <w:multiLevelType w:val="hybridMultilevel"/>
    <w:tmpl w:val="A820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D00359"/>
    <w:multiLevelType w:val="multilevel"/>
    <w:tmpl w:val="9B20BA4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46A4A80"/>
    <w:multiLevelType w:val="hybridMultilevel"/>
    <w:tmpl w:val="23528B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4924D7A"/>
    <w:multiLevelType w:val="hybridMultilevel"/>
    <w:tmpl w:val="1252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22CCF"/>
    <w:multiLevelType w:val="multilevel"/>
    <w:tmpl w:val="721646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15D1A31"/>
    <w:multiLevelType w:val="hybridMultilevel"/>
    <w:tmpl w:val="F6326746"/>
    <w:lvl w:ilvl="0" w:tplc="4404C66E">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021533"/>
    <w:multiLevelType w:val="hybridMultilevel"/>
    <w:tmpl w:val="FAC02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20F15CE"/>
    <w:multiLevelType w:val="hybridMultilevel"/>
    <w:tmpl w:val="5832EF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5997A2B"/>
    <w:multiLevelType w:val="hybridMultilevel"/>
    <w:tmpl w:val="5310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027692"/>
    <w:multiLevelType w:val="hybridMultilevel"/>
    <w:tmpl w:val="1E3A21BA"/>
    <w:lvl w:ilvl="0" w:tplc="832C94FC">
      <w:start w:val="1"/>
      <w:numFmt w:val="decimal"/>
      <w:lvlText w:val="%1."/>
      <w:lvlJc w:val="left"/>
      <w:pPr>
        <w:tabs>
          <w:tab w:val="num" w:pos="786"/>
        </w:tabs>
        <w:ind w:left="786" w:hanging="360"/>
      </w:pPr>
      <w:rPr>
        <w:rFonts w:ascii="Arial" w:hAnsi="Arial" w:cs="Arial" w:hint="default"/>
        <w:b w:val="0"/>
        <w:color w:val="auto"/>
        <w:sz w:val="22"/>
        <w:szCs w:val="22"/>
      </w:rPr>
    </w:lvl>
    <w:lvl w:ilvl="1" w:tplc="4404C66E">
      <w:start w:val="1"/>
      <w:numFmt w:val="lowerLetter"/>
      <w:lvlText w:val="(%2)"/>
      <w:lvlJc w:val="left"/>
      <w:pPr>
        <w:tabs>
          <w:tab w:val="num" w:pos="1474"/>
        </w:tabs>
        <w:ind w:left="1531" w:hanging="811"/>
      </w:pPr>
      <w:rPr>
        <w:rFonts w:hint="default"/>
      </w:rPr>
    </w:lvl>
    <w:lvl w:ilvl="2" w:tplc="3224F96E">
      <w:start w:val="4"/>
      <w:numFmt w:val="decimal"/>
      <w:lvlText w:val="%3."/>
      <w:lvlJc w:val="left"/>
      <w:pPr>
        <w:tabs>
          <w:tab w:val="num" w:pos="2400"/>
        </w:tabs>
        <w:ind w:left="2400" w:hanging="360"/>
      </w:pPr>
      <w:rPr>
        <w:rFonts w:hint="default"/>
        <w:b w:val="0"/>
        <w:color w:val="auto"/>
      </w:rPr>
    </w:lvl>
    <w:lvl w:ilvl="3" w:tplc="37A2AE58">
      <w:start w:val="1"/>
      <w:numFmt w:val="lowerLetter"/>
      <w:lvlText w:val="(%4)"/>
      <w:lvlJc w:val="left"/>
      <w:pPr>
        <w:tabs>
          <w:tab w:val="num" w:pos="3394"/>
        </w:tabs>
        <w:ind w:left="3451" w:hanging="811"/>
      </w:pPr>
      <w:rPr>
        <w:rFonts w:hint="default"/>
        <w:b w:val="0"/>
      </w:rPr>
    </w:lvl>
    <w:lvl w:ilvl="4" w:tplc="78B2C446">
      <w:start w:val="1"/>
      <w:numFmt w:val="lowerLetter"/>
      <w:lvlText w:val="(%5)"/>
      <w:lvlJc w:val="left"/>
      <w:pPr>
        <w:tabs>
          <w:tab w:val="num" w:pos="3600"/>
        </w:tabs>
        <w:ind w:left="3600" w:hanging="360"/>
      </w:pPr>
      <w:rPr>
        <w:rFonts w:hint="default"/>
        <w:sz w:val="22"/>
        <w:szCs w:val="22"/>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C33305C"/>
    <w:multiLevelType w:val="hybridMultilevel"/>
    <w:tmpl w:val="F7AAD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B16360"/>
    <w:multiLevelType w:val="hybridMultilevel"/>
    <w:tmpl w:val="F6A83456"/>
    <w:lvl w:ilvl="0" w:tplc="3F62192A">
      <w:start w:val="1"/>
      <w:numFmt w:val="bullet"/>
      <w:pStyle w:val="ListBullet"/>
      <w:lvlText w:val=""/>
      <w:lvlJc w:val="left"/>
      <w:pPr>
        <w:ind w:left="1080" w:hanging="360"/>
      </w:pPr>
      <w:rPr>
        <w:rFonts w:ascii="Symbol" w:hAnsi="Symbol" w:hint="default"/>
      </w:rPr>
    </w:lvl>
    <w:lvl w:ilvl="1" w:tplc="1C707860">
      <w:start w:val="1"/>
      <w:numFmt w:val="bullet"/>
      <w:pStyle w:val="ListBullet2"/>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5F16AE6"/>
    <w:multiLevelType w:val="hybridMultilevel"/>
    <w:tmpl w:val="F6A83456"/>
    <w:lvl w:ilvl="0" w:tplc="3F62192A">
      <w:start w:val="1"/>
      <w:numFmt w:val="bullet"/>
      <w:lvlText w:val=""/>
      <w:lvlJc w:val="left"/>
      <w:pPr>
        <w:ind w:left="1080" w:hanging="360"/>
      </w:pPr>
      <w:rPr>
        <w:rFonts w:ascii="Symbol" w:hAnsi="Symbol" w:hint="default"/>
      </w:rPr>
    </w:lvl>
    <w:lvl w:ilvl="1" w:tplc="1C707860">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6"/>
  </w:num>
  <w:num w:numId="2">
    <w:abstractNumId w:val="10"/>
  </w:num>
  <w:num w:numId="3">
    <w:abstractNumId w:val="11"/>
  </w:num>
  <w:num w:numId="4">
    <w:abstractNumId w:val="17"/>
  </w:num>
  <w:num w:numId="5">
    <w:abstractNumId w:val="18"/>
  </w:num>
  <w:num w:numId="6">
    <w:abstractNumId w:val="9"/>
  </w:num>
  <w:num w:numId="7">
    <w:abstractNumId w:val="3"/>
  </w:num>
  <w:num w:numId="8">
    <w:abstractNumId w:val="14"/>
  </w:num>
  <w:num w:numId="9">
    <w:abstractNumId w:val="21"/>
  </w:num>
  <w:num w:numId="10">
    <w:abstractNumId w:val="24"/>
  </w:num>
  <w:num w:numId="11">
    <w:abstractNumId w:val="27"/>
  </w:num>
  <w:num w:numId="12">
    <w:abstractNumId w:val="13"/>
  </w:num>
  <w:num w:numId="13">
    <w:abstractNumId w:val="8"/>
  </w:num>
  <w:num w:numId="14">
    <w:abstractNumId w:val="7"/>
  </w:num>
  <w:num w:numId="15">
    <w:abstractNumId w:val="1"/>
  </w:num>
  <w:num w:numId="16">
    <w:abstractNumId w:val="20"/>
  </w:num>
  <w:num w:numId="17">
    <w:abstractNumId w:val="15"/>
  </w:num>
  <w:num w:numId="18">
    <w:abstractNumId w:val="0"/>
  </w:num>
  <w:num w:numId="19">
    <w:abstractNumId w:val="2"/>
  </w:num>
  <w:num w:numId="20">
    <w:abstractNumId w:val="22"/>
  </w:num>
  <w:num w:numId="21">
    <w:abstractNumId w:val="12"/>
  </w:num>
  <w:num w:numId="22">
    <w:abstractNumId w:val="6"/>
  </w:num>
  <w:num w:numId="23">
    <w:abstractNumId w:val="25"/>
  </w:num>
  <w:num w:numId="24">
    <w:abstractNumId w:val="19"/>
  </w:num>
  <w:num w:numId="25">
    <w:abstractNumId w:val="23"/>
  </w:num>
  <w:num w:numId="26">
    <w:abstractNumId w:val="5"/>
  </w:num>
  <w:num w:numId="27">
    <w:abstractNumId w:val="4"/>
  </w:num>
  <w:num w:numId="28">
    <w:abstractNumId w:val="16"/>
  </w:num>
  <w:num w:numId="29">
    <w:abstractNumId w:val="1"/>
  </w:num>
  <w:num w:numId="30">
    <w:abstractNumId w:val="26"/>
  </w:num>
  <w:num w:numId="31">
    <w:abstractNumId w:val="1"/>
  </w:num>
  <w:num w:numId="3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nforcement="0"/>
  <w:autoFormatOverrid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WJOl7i6o4+DXEEdfNPfZzxQ/BU5WQEoFhd9Q3mNFACepCo7EfXxZBPYmd31rmH2C"/>
  </w:docVars>
  <w:rsids>
    <w:rsidRoot w:val="00BF394C"/>
    <w:rsid w:val="000121EB"/>
    <w:rsid w:val="00014044"/>
    <w:rsid w:val="000151FE"/>
    <w:rsid w:val="00021C95"/>
    <w:rsid w:val="000301F9"/>
    <w:rsid w:val="00033FC7"/>
    <w:rsid w:val="00034748"/>
    <w:rsid w:val="000405B6"/>
    <w:rsid w:val="0005044D"/>
    <w:rsid w:val="00055F73"/>
    <w:rsid w:val="0006109B"/>
    <w:rsid w:val="00065C65"/>
    <w:rsid w:val="000661F5"/>
    <w:rsid w:val="000670B9"/>
    <w:rsid w:val="000778FB"/>
    <w:rsid w:val="000848C2"/>
    <w:rsid w:val="00092E76"/>
    <w:rsid w:val="00095D55"/>
    <w:rsid w:val="00096D5F"/>
    <w:rsid w:val="000A7C50"/>
    <w:rsid w:val="000B030A"/>
    <w:rsid w:val="000B1B8A"/>
    <w:rsid w:val="000B3302"/>
    <w:rsid w:val="000B3A2F"/>
    <w:rsid w:val="000C54BF"/>
    <w:rsid w:val="000C6130"/>
    <w:rsid w:val="000D0026"/>
    <w:rsid w:val="000D1380"/>
    <w:rsid w:val="000D35DB"/>
    <w:rsid w:val="000E1555"/>
    <w:rsid w:val="000E32B1"/>
    <w:rsid w:val="000E3BAA"/>
    <w:rsid w:val="000F11A3"/>
    <w:rsid w:val="000F17DA"/>
    <w:rsid w:val="00100464"/>
    <w:rsid w:val="00101F87"/>
    <w:rsid w:val="00115DE8"/>
    <w:rsid w:val="00117945"/>
    <w:rsid w:val="001208F5"/>
    <w:rsid w:val="00130AAC"/>
    <w:rsid w:val="00130ECB"/>
    <w:rsid w:val="001327B8"/>
    <w:rsid w:val="001373BD"/>
    <w:rsid w:val="0013797C"/>
    <w:rsid w:val="00151E27"/>
    <w:rsid w:val="001648B6"/>
    <w:rsid w:val="001650D4"/>
    <w:rsid w:val="001734AB"/>
    <w:rsid w:val="00174820"/>
    <w:rsid w:val="001755F7"/>
    <w:rsid w:val="0017686E"/>
    <w:rsid w:val="00176E49"/>
    <w:rsid w:val="00177B4F"/>
    <w:rsid w:val="00180055"/>
    <w:rsid w:val="00186469"/>
    <w:rsid w:val="0019507A"/>
    <w:rsid w:val="001A05A4"/>
    <w:rsid w:val="001B427F"/>
    <w:rsid w:val="001C0891"/>
    <w:rsid w:val="001C5145"/>
    <w:rsid w:val="001C61DD"/>
    <w:rsid w:val="001E0BF0"/>
    <w:rsid w:val="001F3557"/>
    <w:rsid w:val="0020149E"/>
    <w:rsid w:val="00213DFC"/>
    <w:rsid w:val="00217C21"/>
    <w:rsid w:val="00221ABD"/>
    <w:rsid w:val="002245C7"/>
    <w:rsid w:val="00242624"/>
    <w:rsid w:val="002472E8"/>
    <w:rsid w:val="0025154E"/>
    <w:rsid w:val="00251998"/>
    <w:rsid w:val="00251CEB"/>
    <w:rsid w:val="00254132"/>
    <w:rsid w:val="00255E91"/>
    <w:rsid w:val="00260F27"/>
    <w:rsid w:val="00262C67"/>
    <w:rsid w:val="002631F6"/>
    <w:rsid w:val="002638E0"/>
    <w:rsid w:val="002650B4"/>
    <w:rsid w:val="00267742"/>
    <w:rsid w:val="00281988"/>
    <w:rsid w:val="002A5598"/>
    <w:rsid w:val="002A5F36"/>
    <w:rsid w:val="002B06D1"/>
    <w:rsid w:val="002B08D3"/>
    <w:rsid w:val="002B4302"/>
    <w:rsid w:val="002C0BD0"/>
    <w:rsid w:val="002C217D"/>
    <w:rsid w:val="002C2877"/>
    <w:rsid w:val="002C36B9"/>
    <w:rsid w:val="002D216F"/>
    <w:rsid w:val="002D47F1"/>
    <w:rsid w:val="002D7732"/>
    <w:rsid w:val="002D790D"/>
    <w:rsid w:val="002E4966"/>
    <w:rsid w:val="002F0ECF"/>
    <w:rsid w:val="002F1F32"/>
    <w:rsid w:val="0030403E"/>
    <w:rsid w:val="0030414E"/>
    <w:rsid w:val="00310941"/>
    <w:rsid w:val="00314352"/>
    <w:rsid w:val="003160C7"/>
    <w:rsid w:val="00321091"/>
    <w:rsid w:val="003228F8"/>
    <w:rsid w:val="0032550F"/>
    <w:rsid w:val="0033053A"/>
    <w:rsid w:val="00333981"/>
    <w:rsid w:val="003372A2"/>
    <w:rsid w:val="0034245C"/>
    <w:rsid w:val="00355D63"/>
    <w:rsid w:val="00355FD9"/>
    <w:rsid w:val="00364696"/>
    <w:rsid w:val="00374B8C"/>
    <w:rsid w:val="003762AB"/>
    <w:rsid w:val="00383E9E"/>
    <w:rsid w:val="003848FD"/>
    <w:rsid w:val="00395805"/>
    <w:rsid w:val="00397E4C"/>
    <w:rsid w:val="003C261C"/>
    <w:rsid w:val="003D3925"/>
    <w:rsid w:val="003D75EE"/>
    <w:rsid w:val="003E2364"/>
    <w:rsid w:val="003F342C"/>
    <w:rsid w:val="004313F1"/>
    <w:rsid w:val="004334E7"/>
    <w:rsid w:val="00435370"/>
    <w:rsid w:val="0044463E"/>
    <w:rsid w:val="00454FEF"/>
    <w:rsid w:val="00455014"/>
    <w:rsid w:val="0045739F"/>
    <w:rsid w:val="00473405"/>
    <w:rsid w:val="00475DB8"/>
    <w:rsid w:val="004810CB"/>
    <w:rsid w:val="00482039"/>
    <w:rsid w:val="00497378"/>
    <w:rsid w:val="004A0BB8"/>
    <w:rsid w:val="004A37FC"/>
    <w:rsid w:val="004A5911"/>
    <w:rsid w:val="004A5C36"/>
    <w:rsid w:val="004B1AB0"/>
    <w:rsid w:val="004B295D"/>
    <w:rsid w:val="004B29D0"/>
    <w:rsid w:val="004B43BA"/>
    <w:rsid w:val="004B473E"/>
    <w:rsid w:val="004B5E7F"/>
    <w:rsid w:val="004C307E"/>
    <w:rsid w:val="004C4AF2"/>
    <w:rsid w:val="004C4F9C"/>
    <w:rsid w:val="004C773C"/>
    <w:rsid w:val="004D20D8"/>
    <w:rsid w:val="004D44BE"/>
    <w:rsid w:val="004E13BE"/>
    <w:rsid w:val="004E1B6D"/>
    <w:rsid w:val="004E504C"/>
    <w:rsid w:val="004F1DD7"/>
    <w:rsid w:val="004F445C"/>
    <w:rsid w:val="004F710D"/>
    <w:rsid w:val="00505228"/>
    <w:rsid w:val="0050543F"/>
    <w:rsid w:val="00523E72"/>
    <w:rsid w:val="00524057"/>
    <w:rsid w:val="005242FE"/>
    <w:rsid w:val="00525549"/>
    <w:rsid w:val="00526EAC"/>
    <w:rsid w:val="005308BD"/>
    <w:rsid w:val="005333D4"/>
    <w:rsid w:val="00534D0A"/>
    <w:rsid w:val="005422B9"/>
    <w:rsid w:val="00542EC1"/>
    <w:rsid w:val="00555126"/>
    <w:rsid w:val="005621EC"/>
    <w:rsid w:val="005647AB"/>
    <w:rsid w:val="00572083"/>
    <w:rsid w:val="005756B7"/>
    <w:rsid w:val="00576B99"/>
    <w:rsid w:val="00577081"/>
    <w:rsid w:val="00585847"/>
    <w:rsid w:val="00590CF6"/>
    <w:rsid w:val="00590E38"/>
    <w:rsid w:val="00593588"/>
    <w:rsid w:val="00596F30"/>
    <w:rsid w:val="005B0300"/>
    <w:rsid w:val="005C0FFE"/>
    <w:rsid w:val="005C25A9"/>
    <w:rsid w:val="005D63FC"/>
    <w:rsid w:val="005D7300"/>
    <w:rsid w:val="005E3603"/>
    <w:rsid w:val="005F287F"/>
    <w:rsid w:val="00600AAB"/>
    <w:rsid w:val="00602E72"/>
    <w:rsid w:val="00603F94"/>
    <w:rsid w:val="00606A72"/>
    <w:rsid w:val="006103E6"/>
    <w:rsid w:val="006171BF"/>
    <w:rsid w:val="006258E1"/>
    <w:rsid w:val="00631063"/>
    <w:rsid w:val="00635711"/>
    <w:rsid w:val="00643639"/>
    <w:rsid w:val="006470D8"/>
    <w:rsid w:val="00661C6F"/>
    <w:rsid w:val="00664E5D"/>
    <w:rsid w:val="00666D92"/>
    <w:rsid w:val="006679AE"/>
    <w:rsid w:val="006854C7"/>
    <w:rsid w:val="0069032C"/>
    <w:rsid w:val="0069777B"/>
    <w:rsid w:val="006A35DB"/>
    <w:rsid w:val="006A427F"/>
    <w:rsid w:val="006A6423"/>
    <w:rsid w:val="006B71DB"/>
    <w:rsid w:val="006C54F0"/>
    <w:rsid w:val="006D7538"/>
    <w:rsid w:val="006E5915"/>
    <w:rsid w:val="006F0C86"/>
    <w:rsid w:val="006F324F"/>
    <w:rsid w:val="00711535"/>
    <w:rsid w:val="00717785"/>
    <w:rsid w:val="007239F7"/>
    <w:rsid w:val="00724442"/>
    <w:rsid w:val="00725B10"/>
    <w:rsid w:val="00737560"/>
    <w:rsid w:val="00740FDD"/>
    <w:rsid w:val="007441F2"/>
    <w:rsid w:val="00747C31"/>
    <w:rsid w:val="007506DB"/>
    <w:rsid w:val="007519ED"/>
    <w:rsid w:val="00754636"/>
    <w:rsid w:val="0076079E"/>
    <w:rsid w:val="007616F3"/>
    <w:rsid w:val="00761AAB"/>
    <w:rsid w:val="00762CAB"/>
    <w:rsid w:val="0076357E"/>
    <w:rsid w:val="0076468A"/>
    <w:rsid w:val="007648AA"/>
    <w:rsid w:val="00767418"/>
    <w:rsid w:val="00770AF8"/>
    <w:rsid w:val="00773543"/>
    <w:rsid w:val="00783E25"/>
    <w:rsid w:val="007B6218"/>
    <w:rsid w:val="007C15AA"/>
    <w:rsid w:val="007C1614"/>
    <w:rsid w:val="007C5AC3"/>
    <w:rsid w:val="007D3101"/>
    <w:rsid w:val="007D4595"/>
    <w:rsid w:val="007D6C42"/>
    <w:rsid w:val="007E4982"/>
    <w:rsid w:val="007E6667"/>
    <w:rsid w:val="007F244D"/>
    <w:rsid w:val="00800B08"/>
    <w:rsid w:val="00801BAD"/>
    <w:rsid w:val="008118F4"/>
    <w:rsid w:val="00814ACE"/>
    <w:rsid w:val="00815941"/>
    <w:rsid w:val="00816EC7"/>
    <w:rsid w:val="00817379"/>
    <w:rsid w:val="00823A54"/>
    <w:rsid w:val="00830681"/>
    <w:rsid w:val="00832340"/>
    <w:rsid w:val="00832FBA"/>
    <w:rsid w:val="00843499"/>
    <w:rsid w:val="00844094"/>
    <w:rsid w:val="008515B6"/>
    <w:rsid w:val="00854227"/>
    <w:rsid w:val="008550D3"/>
    <w:rsid w:val="008608A0"/>
    <w:rsid w:val="008658AF"/>
    <w:rsid w:val="0087241C"/>
    <w:rsid w:val="00873F67"/>
    <w:rsid w:val="00877B08"/>
    <w:rsid w:val="00885DE6"/>
    <w:rsid w:val="00885FDC"/>
    <w:rsid w:val="00890F1C"/>
    <w:rsid w:val="008930A3"/>
    <w:rsid w:val="00893DE3"/>
    <w:rsid w:val="00896713"/>
    <w:rsid w:val="00896DCB"/>
    <w:rsid w:val="008A11CA"/>
    <w:rsid w:val="008A5CEF"/>
    <w:rsid w:val="008A6FF6"/>
    <w:rsid w:val="008C5325"/>
    <w:rsid w:val="008D4D7E"/>
    <w:rsid w:val="008E0B21"/>
    <w:rsid w:val="008E15DA"/>
    <w:rsid w:val="008E4806"/>
    <w:rsid w:val="008F7AD6"/>
    <w:rsid w:val="00900800"/>
    <w:rsid w:val="0090477F"/>
    <w:rsid w:val="00904787"/>
    <w:rsid w:val="0090618F"/>
    <w:rsid w:val="00906192"/>
    <w:rsid w:val="009078AF"/>
    <w:rsid w:val="0091283D"/>
    <w:rsid w:val="00920371"/>
    <w:rsid w:val="00921F25"/>
    <w:rsid w:val="00930A03"/>
    <w:rsid w:val="00946830"/>
    <w:rsid w:val="00965BE8"/>
    <w:rsid w:val="00966DA8"/>
    <w:rsid w:val="00967D74"/>
    <w:rsid w:val="00975471"/>
    <w:rsid w:val="0097761F"/>
    <w:rsid w:val="00980B08"/>
    <w:rsid w:val="009840D6"/>
    <w:rsid w:val="009925A3"/>
    <w:rsid w:val="009949CB"/>
    <w:rsid w:val="00996984"/>
    <w:rsid w:val="009A4047"/>
    <w:rsid w:val="009B3DDF"/>
    <w:rsid w:val="009B7876"/>
    <w:rsid w:val="009C0C38"/>
    <w:rsid w:val="009C0EBC"/>
    <w:rsid w:val="009C5403"/>
    <w:rsid w:val="009D1DD1"/>
    <w:rsid w:val="009E4A59"/>
    <w:rsid w:val="009F5962"/>
    <w:rsid w:val="00A032F8"/>
    <w:rsid w:val="00A05E52"/>
    <w:rsid w:val="00A1572B"/>
    <w:rsid w:val="00A15EE7"/>
    <w:rsid w:val="00A2097E"/>
    <w:rsid w:val="00A25977"/>
    <w:rsid w:val="00A26DBD"/>
    <w:rsid w:val="00A35149"/>
    <w:rsid w:val="00A40A17"/>
    <w:rsid w:val="00A60F70"/>
    <w:rsid w:val="00A632EC"/>
    <w:rsid w:val="00A738D5"/>
    <w:rsid w:val="00A75AF0"/>
    <w:rsid w:val="00A81266"/>
    <w:rsid w:val="00A859AE"/>
    <w:rsid w:val="00A871C7"/>
    <w:rsid w:val="00A908AC"/>
    <w:rsid w:val="00A91FD8"/>
    <w:rsid w:val="00A94BE3"/>
    <w:rsid w:val="00A963A1"/>
    <w:rsid w:val="00AA614D"/>
    <w:rsid w:val="00AD499D"/>
    <w:rsid w:val="00AD7FA6"/>
    <w:rsid w:val="00AE193A"/>
    <w:rsid w:val="00AF6E71"/>
    <w:rsid w:val="00AF7226"/>
    <w:rsid w:val="00B02C97"/>
    <w:rsid w:val="00B04CC3"/>
    <w:rsid w:val="00B054BD"/>
    <w:rsid w:val="00B16198"/>
    <w:rsid w:val="00B3244A"/>
    <w:rsid w:val="00B32BC0"/>
    <w:rsid w:val="00B34C96"/>
    <w:rsid w:val="00B362CB"/>
    <w:rsid w:val="00B51CBB"/>
    <w:rsid w:val="00B6203C"/>
    <w:rsid w:val="00B634DC"/>
    <w:rsid w:val="00B64ED4"/>
    <w:rsid w:val="00B655FA"/>
    <w:rsid w:val="00B65897"/>
    <w:rsid w:val="00B66126"/>
    <w:rsid w:val="00B66364"/>
    <w:rsid w:val="00B67875"/>
    <w:rsid w:val="00B70FF6"/>
    <w:rsid w:val="00B96797"/>
    <w:rsid w:val="00BA108B"/>
    <w:rsid w:val="00BA11CA"/>
    <w:rsid w:val="00BA2962"/>
    <w:rsid w:val="00BA4DFF"/>
    <w:rsid w:val="00BB0B49"/>
    <w:rsid w:val="00BB11DF"/>
    <w:rsid w:val="00BB4AA1"/>
    <w:rsid w:val="00BC168D"/>
    <w:rsid w:val="00BD15CC"/>
    <w:rsid w:val="00BD25ED"/>
    <w:rsid w:val="00BD62FD"/>
    <w:rsid w:val="00BF0679"/>
    <w:rsid w:val="00BF394C"/>
    <w:rsid w:val="00C06858"/>
    <w:rsid w:val="00C075A9"/>
    <w:rsid w:val="00C07605"/>
    <w:rsid w:val="00C11674"/>
    <w:rsid w:val="00C244F1"/>
    <w:rsid w:val="00C24DD5"/>
    <w:rsid w:val="00C30BBC"/>
    <w:rsid w:val="00C33AF0"/>
    <w:rsid w:val="00C33BA3"/>
    <w:rsid w:val="00C34D2E"/>
    <w:rsid w:val="00C35CA3"/>
    <w:rsid w:val="00C36855"/>
    <w:rsid w:val="00C47CA8"/>
    <w:rsid w:val="00C50089"/>
    <w:rsid w:val="00C60F7D"/>
    <w:rsid w:val="00C63DBD"/>
    <w:rsid w:val="00C65A94"/>
    <w:rsid w:val="00C67C77"/>
    <w:rsid w:val="00C70F2C"/>
    <w:rsid w:val="00C809BE"/>
    <w:rsid w:val="00C84E7C"/>
    <w:rsid w:val="00CB0A96"/>
    <w:rsid w:val="00CB0AE1"/>
    <w:rsid w:val="00CB4013"/>
    <w:rsid w:val="00CB5BAF"/>
    <w:rsid w:val="00CB6766"/>
    <w:rsid w:val="00CD4F6A"/>
    <w:rsid w:val="00CE1D6F"/>
    <w:rsid w:val="00CF69C1"/>
    <w:rsid w:val="00D00B8F"/>
    <w:rsid w:val="00D22FC1"/>
    <w:rsid w:val="00D24655"/>
    <w:rsid w:val="00D27AD4"/>
    <w:rsid w:val="00D30B8F"/>
    <w:rsid w:val="00D35595"/>
    <w:rsid w:val="00D4387D"/>
    <w:rsid w:val="00D50B0C"/>
    <w:rsid w:val="00D52429"/>
    <w:rsid w:val="00D570E8"/>
    <w:rsid w:val="00D57B00"/>
    <w:rsid w:val="00D6167B"/>
    <w:rsid w:val="00D62980"/>
    <w:rsid w:val="00D665AB"/>
    <w:rsid w:val="00D743F9"/>
    <w:rsid w:val="00D77C6B"/>
    <w:rsid w:val="00D8226A"/>
    <w:rsid w:val="00D82B17"/>
    <w:rsid w:val="00D852D3"/>
    <w:rsid w:val="00D856F7"/>
    <w:rsid w:val="00DA63CB"/>
    <w:rsid w:val="00DB0457"/>
    <w:rsid w:val="00DB3276"/>
    <w:rsid w:val="00DB6AC4"/>
    <w:rsid w:val="00DC15A6"/>
    <w:rsid w:val="00DD07EA"/>
    <w:rsid w:val="00DD18A4"/>
    <w:rsid w:val="00DD5D88"/>
    <w:rsid w:val="00DF1CC3"/>
    <w:rsid w:val="00E00059"/>
    <w:rsid w:val="00E0628D"/>
    <w:rsid w:val="00E1361A"/>
    <w:rsid w:val="00E37F0C"/>
    <w:rsid w:val="00E4007E"/>
    <w:rsid w:val="00E40EEB"/>
    <w:rsid w:val="00E5280F"/>
    <w:rsid w:val="00E57AA3"/>
    <w:rsid w:val="00E61412"/>
    <w:rsid w:val="00E621E4"/>
    <w:rsid w:val="00E76C48"/>
    <w:rsid w:val="00E80374"/>
    <w:rsid w:val="00E93264"/>
    <w:rsid w:val="00E950A0"/>
    <w:rsid w:val="00E967AA"/>
    <w:rsid w:val="00EA197E"/>
    <w:rsid w:val="00EA3FED"/>
    <w:rsid w:val="00EA4AB8"/>
    <w:rsid w:val="00EB760C"/>
    <w:rsid w:val="00EB791C"/>
    <w:rsid w:val="00EC2583"/>
    <w:rsid w:val="00EC3D71"/>
    <w:rsid w:val="00ED1D77"/>
    <w:rsid w:val="00ED292B"/>
    <w:rsid w:val="00F04D4F"/>
    <w:rsid w:val="00F12045"/>
    <w:rsid w:val="00F24055"/>
    <w:rsid w:val="00F2727C"/>
    <w:rsid w:val="00F47942"/>
    <w:rsid w:val="00F51562"/>
    <w:rsid w:val="00F51746"/>
    <w:rsid w:val="00F52139"/>
    <w:rsid w:val="00F52B4F"/>
    <w:rsid w:val="00F6205E"/>
    <w:rsid w:val="00F66E6F"/>
    <w:rsid w:val="00F70B5F"/>
    <w:rsid w:val="00F77DA8"/>
    <w:rsid w:val="00F91C4C"/>
    <w:rsid w:val="00F9248D"/>
    <w:rsid w:val="00FA2AAE"/>
    <w:rsid w:val="00FA6B74"/>
    <w:rsid w:val="00FB0867"/>
    <w:rsid w:val="00FB0BFB"/>
    <w:rsid w:val="00FC509B"/>
    <w:rsid w:val="00FD0D7B"/>
    <w:rsid w:val="00FD2AFD"/>
    <w:rsid w:val="00FE235E"/>
    <w:rsid w:val="00FE38A1"/>
    <w:rsid w:val="00FE599C"/>
    <w:rsid w:val="00FF487F"/>
    <w:rsid w:val="00FF7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0B149B"/>
  <w15:docId w15:val="{F2B0C877-A4C9-46C3-9CD0-92A0F201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126"/>
    <w:pPr>
      <w:spacing w:after="120"/>
    </w:pPr>
    <w:rPr>
      <w:rFonts w:ascii="Arial" w:hAnsi="Arial"/>
      <w:sz w:val="24"/>
    </w:rPr>
  </w:style>
  <w:style w:type="paragraph" w:styleId="Heading1">
    <w:name w:val="heading 1"/>
    <w:basedOn w:val="NumHeading1"/>
    <w:next w:val="Heading2"/>
    <w:link w:val="Heading1Char"/>
    <w:uiPriority w:val="9"/>
    <w:qFormat/>
    <w:rsid w:val="00717785"/>
    <w:pPr>
      <w:numPr>
        <w:numId w:val="15"/>
      </w:numPr>
      <w:outlineLvl w:val="0"/>
    </w:pPr>
  </w:style>
  <w:style w:type="paragraph" w:styleId="Heading2">
    <w:name w:val="heading 2"/>
    <w:basedOn w:val="Heading1"/>
    <w:link w:val="Heading2Char"/>
    <w:uiPriority w:val="9"/>
    <w:unhideWhenUsed/>
    <w:qFormat/>
    <w:rsid w:val="002638E0"/>
    <w:pPr>
      <w:numPr>
        <w:ilvl w:val="1"/>
      </w:numPr>
      <w:spacing w:before="120"/>
      <w:jc w:val="both"/>
      <w:outlineLvl w:val="1"/>
    </w:pPr>
    <w:rPr>
      <w:b w:val="0"/>
    </w:rPr>
  </w:style>
  <w:style w:type="paragraph" w:styleId="Heading3">
    <w:name w:val="heading 3"/>
    <w:basedOn w:val="Normal"/>
    <w:next w:val="Normal"/>
    <w:link w:val="Heading3Char"/>
    <w:uiPriority w:val="9"/>
    <w:unhideWhenUsed/>
    <w:rsid w:val="006854C7"/>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217C21"/>
    <w:pPr>
      <w:keepNext/>
      <w:keepLines/>
      <w:numPr>
        <w:ilvl w:val="2"/>
        <w:numId w:val="15"/>
      </w:numPr>
      <w:spacing w:before="120"/>
      <w:ind w:left="720"/>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6854C7"/>
    <w:pPr>
      <w:keepNext/>
      <w:keepLines/>
      <w:numPr>
        <w:ilvl w:val="4"/>
        <w:numId w:val="15"/>
      </w:numPr>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D63"/>
    <w:rPr>
      <w:rFonts w:ascii="Tahoma" w:hAnsi="Tahoma" w:cs="Tahoma"/>
      <w:sz w:val="16"/>
      <w:szCs w:val="16"/>
    </w:rPr>
  </w:style>
  <w:style w:type="table" w:styleId="TableGrid">
    <w:name w:val="Table Grid"/>
    <w:basedOn w:val="TableNormal"/>
    <w:uiPriority w:val="59"/>
    <w:rsid w:val="00355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List Paragraph1,List Paragraph11,Colorful List - Accent 11,Bullet 1,Bullet Points,MAIN CONTENT,F5 List Paragraph,No Spacing1,List Paragraph Char Char Char,Indicator Text,Numbered Para 1,List Paragraph2,Normal numbered,OBC Bullet,b1"/>
    <w:basedOn w:val="Normal"/>
    <w:link w:val="ListParagraphChar"/>
    <w:uiPriority w:val="34"/>
    <w:qFormat/>
    <w:rsid w:val="00355D63"/>
    <w:pPr>
      <w:ind w:left="720"/>
      <w:contextualSpacing/>
    </w:pPr>
  </w:style>
  <w:style w:type="paragraph" w:styleId="Header">
    <w:name w:val="header"/>
    <w:basedOn w:val="Normal"/>
    <w:link w:val="HeaderChar"/>
    <w:uiPriority w:val="99"/>
    <w:unhideWhenUsed/>
    <w:rsid w:val="001B4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27F"/>
  </w:style>
  <w:style w:type="paragraph" w:styleId="Footer">
    <w:name w:val="footer"/>
    <w:basedOn w:val="Normal"/>
    <w:link w:val="FooterChar"/>
    <w:uiPriority w:val="99"/>
    <w:unhideWhenUsed/>
    <w:rsid w:val="001B4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27F"/>
  </w:style>
  <w:style w:type="paragraph" w:customStyle="1" w:styleId="Explanation">
    <w:name w:val="Explanation"/>
    <w:basedOn w:val="Normal"/>
    <w:rsid w:val="002D47F1"/>
    <w:pPr>
      <w:spacing w:line="240" w:lineRule="auto"/>
    </w:pPr>
    <w:rPr>
      <w:b/>
      <w:color w:val="4F81BD" w:themeColor="accent1"/>
      <w:sz w:val="22"/>
    </w:rPr>
  </w:style>
  <w:style w:type="paragraph" w:customStyle="1" w:styleId="Default">
    <w:name w:val="Default"/>
    <w:rsid w:val="0011794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D47F1"/>
    <w:rPr>
      <w:color w:val="0000FF" w:themeColor="hyperlink"/>
      <w:u w:val="single"/>
    </w:rPr>
  </w:style>
  <w:style w:type="character" w:customStyle="1" w:styleId="UnresolvedMention1">
    <w:name w:val="Unresolved Mention1"/>
    <w:basedOn w:val="DefaultParagraphFont"/>
    <w:uiPriority w:val="99"/>
    <w:semiHidden/>
    <w:unhideWhenUsed/>
    <w:rsid w:val="002D47F1"/>
    <w:rPr>
      <w:color w:val="605E5C"/>
      <w:shd w:val="clear" w:color="auto" w:fill="E1DFDD"/>
    </w:rPr>
  </w:style>
  <w:style w:type="paragraph" w:styleId="ListBullet">
    <w:name w:val="List Bullet"/>
    <w:basedOn w:val="ListParagraph"/>
    <w:uiPriority w:val="99"/>
    <w:unhideWhenUsed/>
    <w:qFormat/>
    <w:rsid w:val="006470D8"/>
    <w:pPr>
      <w:numPr>
        <w:numId w:val="1"/>
      </w:numPr>
    </w:pPr>
  </w:style>
  <w:style w:type="paragraph" w:styleId="CommentText">
    <w:name w:val="annotation text"/>
    <w:basedOn w:val="Normal"/>
    <w:link w:val="CommentTextChar"/>
    <w:uiPriority w:val="99"/>
    <w:semiHidden/>
    <w:unhideWhenUsed/>
    <w:rsid w:val="00877B08"/>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77B08"/>
    <w:rPr>
      <w:rFonts w:ascii="Calibri" w:eastAsia="Calibri" w:hAnsi="Calibri" w:cs="Times New Roman"/>
      <w:sz w:val="20"/>
      <w:szCs w:val="20"/>
    </w:rPr>
  </w:style>
  <w:style w:type="character" w:styleId="CommentReference">
    <w:name w:val="annotation reference"/>
    <w:uiPriority w:val="99"/>
    <w:semiHidden/>
    <w:unhideWhenUsed/>
    <w:rsid w:val="00877B08"/>
    <w:rPr>
      <w:sz w:val="16"/>
      <w:szCs w:val="16"/>
    </w:rPr>
  </w:style>
  <w:style w:type="paragraph" w:styleId="NoSpacing">
    <w:name w:val="No Spacing"/>
    <w:uiPriority w:val="1"/>
    <w:rsid w:val="00095D55"/>
    <w:pPr>
      <w:spacing w:after="0" w:line="240" w:lineRule="auto"/>
    </w:pPr>
    <w:rPr>
      <w:rFonts w:ascii="Arial" w:hAnsi="Arial"/>
      <w:sz w:val="24"/>
    </w:rPr>
  </w:style>
  <w:style w:type="character" w:customStyle="1" w:styleId="Heading1Char">
    <w:name w:val="Heading 1 Char"/>
    <w:basedOn w:val="DefaultParagraphFont"/>
    <w:link w:val="Heading1"/>
    <w:uiPriority w:val="9"/>
    <w:rsid w:val="00717785"/>
    <w:rPr>
      <w:rFonts w:ascii="Arial" w:eastAsia="Times New Roman" w:hAnsi="Arial" w:cs="Times New Roman"/>
      <w:b/>
      <w:spacing w:val="5"/>
      <w:sz w:val="24"/>
      <w:szCs w:val="48"/>
      <w:lang w:eastAsia="en-GB"/>
    </w:rPr>
  </w:style>
  <w:style w:type="character" w:customStyle="1" w:styleId="Heading2Char">
    <w:name w:val="Heading 2 Char"/>
    <w:basedOn w:val="DefaultParagraphFont"/>
    <w:link w:val="Heading2"/>
    <w:uiPriority w:val="9"/>
    <w:rsid w:val="002638E0"/>
    <w:rPr>
      <w:rFonts w:ascii="Arial" w:eastAsia="Times New Roman" w:hAnsi="Arial" w:cs="Times New Roman"/>
      <w:spacing w:val="5"/>
      <w:sz w:val="24"/>
      <w:szCs w:val="48"/>
      <w:lang w:eastAsia="en-GB"/>
    </w:rPr>
  </w:style>
  <w:style w:type="paragraph" w:customStyle="1" w:styleId="NumPara">
    <w:name w:val="Num Para"/>
    <w:link w:val="NumParaChar"/>
    <w:qFormat/>
    <w:rsid w:val="00E621E4"/>
    <w:pPr>
      <w:numPr>
        <w:ilvl w:val="1"/>
        <w:numId w:val="2"/>
      </w:numPr>
      <w:spacing w:after="120"/>
      <w:jc w:val="both"/>
    </w:pPr>
    <w:rPr>
      <w:rFonts w:ascii="Arial" w:eastAsia="Times New Roman" w:hAnsi="Arial" w:cs="Times New Roman"/>
      <w:sz w:val="24"/>
      <w:lang w:eastAsia="en-GB"/>
    </w:rPr>
  </w:style>
  <w:style w:type="paragraph" w:customStyle="1" w:styleId="NumHeading1">
    <w:name w:val="Num Heading 1"/>
    <w:next w:val="NumPara"/>
    <w:qFormat/>
    <w:rsid w:val="00C50089"/>
    <w:pPr>
      <w:keepNext/>
      <w:numPr>
        <w:numId w:val="2"/>
      </w:numPr>
      <w:spacing w:before="340" w:after="120" w:line="240" w:lineRule="auto"/>
    </w:pPr>
    <w:rPr>
      <w:rFonts w:ascii="Arial" w:eastAsia="Times New Roman" w:hAnsi="Arial" w:cs="Times New Roman"/>
      <w:b/>
      <w:spacing w:val="5"/>
      <w:sz w:val="24"/>
      <w:szCs w:val="48"/>
      <w:lang w:eastAsia="en-GB"/>
    </w:rPr>
  </w:style>
  <w:style w:type="character" w:customStyle="1" w:styleId="NumParaChar">
    <w:name w:val="Num Para Char"/>
    <w:basedOn w:val="DefaultParagraphFont"/>
    <w:link w:val="NumPara"/>
    <w:rsid w:val="00E621E4"/>
    <w:rPr>
      <w:rFonts w:ascii="Arial" w:eastAsia="Times New Roman" w:hAnsi="Arial" w:cs="Times New Roman"/>
      <w:sz w:val="24"/>
      <w:lang w:eastAsia="en-GB"/>
    </w:rPr>
  </w:style>
  <w:style w:type="paragraph" w:customStyle="1" w:styleId="NumPara2">
    <w:name w:val="Num Para 2"/>
    <w:basedOn w:val="NumPara"/>
    <w:next w:val="NumPara"/>
    <w:qFormat/>
    <w:rsid w:val="002631F6"/>
    <w:pPr>
      <w:numPr>
        <w:ilvl w:val="0"/>
        <w:numId w:val="0"/>
      </w:numPr>
      <w:jc w:val="left"/>
    </w:pPr>
  </w:style>
  <w:style w:type="paragraph" w:styleId="ListBullet2">
    <w:name w:val="List Bullet 2"/>
    <w:basedOn w:val="ListBullet"/>
    <w:uiPriority w:val="99"/>
    <w:unhideWhenUsed/>
    <w:rsid w:val="00817379"/>
    <w:pPr>
      <w:numPr>
        <w:ilvl w:val="1"/>
      </w:numPr>
    </w:pPr>
  </w:style>
  <w:style w:type="paragraph" w:styleId="CommentSubject">
    <w:name w:val="annotation subject"/>
    <w:basedOn w:val="CommentText"/>
    <w:next w:val="CommentText"/>
    <w:link w:val="CommentSubjectChar"/>
    <w:uiPriority w:val="99"/>
    <w:semiHidden/>
    <w:unhideWhenUsed/>
    <w:rsid w:val="00151E27"/>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151E27"/>
    <w:rPr>
      <w:rFonts w:ascii="Arial" w:eastAsia="Calibri" w:hAnsi="Arial" w:cs="Times New Roman"/>
      <w:b/>
      <w:bCs/>
      <w:sz w:val="20"/>
      <w:szCs w:val="20"/>
    </w:rPr>
  </w:style>
  <w:style w:type="paragraph" w:styleId="NormalWeb">
    <w:name w:val="Normal (Web)"/>
    <w:basedOn w:val="Normal"/>
    <w:uiPriority w:val="99"/>
    <w:semiHidden/>
    <w:unhideWhenUsed/>
    <w:rsid w:val="00930A0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cf01">
    <w:name w:val="cf01"/>
    <w:basedOn w:val="DefaultParagraphFont"/>
    <w:rsid w:val="00930A03"/>
    <w:rPr>
      <w:rFonts w:ascii="Segoe UI" w:hAnsi="Segoe UI" w:cs="Segoe UI" w:hint="default"/>
      <w:color w:val="666666"/>
      <w:sz w:val="18"/>
      <w:szCs w:val="18"/>
    </w:rPr>
  </w:style>
  <w:style w:type="character" w:styleId="FollowedHyperlink">
    <w:name w:val="FollowedHyperlink"/>
    <w:basedOn w:val="DefaultParagraphFont"/>
    <w:uiPriority w:val="99"/>
    <w:semiHidden/>
    <w:unhideWhenUsed/>
    <w:rsid w:val="002F0ECF"/>
    <w:rPr>
      <w:color w:val="800080" w:themeColor="followedHyperlink"/>
      <w:u w:val="single"/>
    </w:rPr>
  </w:style>
  <w:style w:type="paragraph" w:styleId="Title">
    <w:name w:val="Title"/>
    <w:basedOn w:val="Normal"/>
    <w:next w:val="Normal"/>
    <w:link w:val="TitleChar"/>
    <w:uiPriority w:val="10"/>
    <w:qFormat/>
    <w:rsid w:val="00FF487F"/>
    <w:pPr>
      <w:autoSpaceDE w:val="0"/>
      <w:autoSpaceDN w:val="0"/>
      <w:adjustRightInd w:val="0"/>
      <w:spacing w:line="240" w:lineRule="auto"/>
    </w:pPr>
    <w:rPr>
      <w:rFonts w:cs="Arial"/>
      <w:b/>
      <w:sz w:val="32"/>
      <w:szCs w:val="32"/>
      <w:u w:val="single"/>
    </w:rPr>
  </w:style>
  <w:style w:type="character" w:customStyle="1" w:styleId="TitleChar">
    <w:name w:val="Title Char"/>
    <w:basedOn w:val="DefaultParagraphFont"/>
    <w:link w:val="Title"/>
    <w:uiPriority w:val="10"/>
    <w:rsid w:val="00FF487F"/>
    <w:rPr>
      <w:rFonts w:ascii="Arial" w:hAnsi="Arial" w:cs="Arial"/>
      <w:b/>
      <w:sz w:val="32"/>
      <w:szCs w:val="32"/>
      <w:u w:val="single"/>
    </w:rPr>
  </w:style>
  <w:style w:type="table" w:styleId="GridTable4-Accent1">
    <w:name w:val="Grid Table 4 Accent 1"/>
    <w:basedOn w:val="TableNormal"/>
    <w:uiPriority w:val="49"/>
    <w:rsid w:val="00C07605"/>
    <w:pPr>
      <w:spacing w:after="0" w:line="240" w:lineRule="auto"/>
    </w:pPr>
    <w:rPr>
      <w:rFonts w:ascii="Arial" w:eastAsia="Calibri" w:hAnsi="Arial" w:cs="Arial"/>
      <w:sz w:val="20"/>
      <w:szCs w:val="20"/>
      <w:lang w:eastAsia="en-GB"/>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1">
    <w:name w:val="Grid Table 2 Accent 1"/>
    <w:basedOn w:val="TableNormal"/>
    <w:uiPriority w:val="47"/>
    <w:rsid w:val="008A11CA"/>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534D0A"/>
    <w:rPr>
      <w:color w:val="605E5C"/>
      <w:shd w:val="clear" w:color="auto" w:fill="E1DFDD"/>
    </w:rPr>
  </w:style>
  <w:style w:type="paragraph" w:styleId="BodyTextIndent">
    <w:name w:val="Body Text Indent"/>
    <w:basedOn w:val="Normal"/>
    <w:link w:val="BodyTextIndentChar"/>
    <w:rsid w:val="00475DB8"/>
    <w:pPr>
      <w:tabs>
        <w:tab w:val="left" w:pos="720"/>
      </w:tabs>
      <w:spacing w:after="0" w:line="240" w:lineRule="auto"/>
      <w:ind w:left="709"/>
      <w:jc w:val="both"/>
    </w:pPr>
    <w:rPr>
      <w:rFonts w:eastAsia="Times New Roman" w:cs="Times New Roman"/>
      <w:sz w:val="22"/>
      <w:lang w:val="x-none"/>
    </w:rPr>
  </w:style>
  <w:style w:type="character" w:customStyle="1" w:styleId="BodyTextIndentChar">
    <w:name w:val="Body Text Indent Char"/>
    <w:basedOn w:val="DefaultParagraphFont"/>
    <w:link w:val="BodyTextIndent"/>
    <w:rsid w:val="00475DB8"/>
    <w:rPr>
      <w:rFonts w:ascii="Arial" w:eastAsia="Times New Roman" w:hAnsi="Arial" w:cs="Times New Roman"/>
      <w:lang w:val="x-none"/>
    </w:rPr>
  </w:style>
  <w:style w:type="table" w:styleId="GridTable5Dark-Accent1">
    <w:name w:val="Grid Table 5 Dark Accent 1"/>
    <w:basedOn w:val="TableNormal"/>
    <w:uiPriority w:val="50"/>
    <w:rsid w:val="000347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
    <w:name w:val="Grid Table 4"/>
    <w:basedOn w:val="TableNormal"/>
    <w:uiPriority w:val="49"/>
    <w:rsid w:val="00FA6B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6854C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17C21"/>
    <w:rPr>
      <w:rFonts w:ascii="Arial" w:eastAsiaTheme="majorEastAsia" w:hAnsi="Arial" w:cstheme="majorBidi"/>
      <w:iCs/>
      <w:sz w:val="24"/>
    </w:rPr>
  </w:style>
  <w:style w:type="character" w:customStyle="1" w:styleId="Heading5Char">
    <w:name w:val="Heading 5 Char"/>
    <w:basedOn w:val="DefaultParagraphFont"/>
    <w:link w:val="Heading5"/>
    <w:uiPriority w:val="9"/>
    <w:rsid w:val="006854C7"/>
    <w:rPr>
      <w:rFonts w:asciiTheme="majorHAnsi" w:eastAsiaTheme="majorEastAsia" w:hAnsiTheme="majorHAnsi" w:cstheme="majorBidi"/>
      <w:color w:val="365F91" w:themeColor="accent1" w:themeShade="BF"/>
      <w:sz w:val="24"/>
    </w:rPr>
  </w:style>
  <w:style w:type="table" w:styleId="ListTable4-Accent1">
    <w:name w:val="List Table 4 Accent 1"/>
    <w:basedOn w:val="TableNormal"/>
    <w:uiPriority w:val="49"/>
    <w:rsid w:val="002631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ormaltextrun">
    <w:name w:val="normaltextrun"/>
    <w:basedOn w:val="DefaultParagraphFont"/>
    <w:rsid w:val="00C65A94"/>
  </w:style>
  <w:style w:type="paragraph" w:customStyle="1" w:styleId="paragraph">
    <w:name w:val="paragraph"/>
    <w:basedOn w:val="Normal"/>
    <w:rsid w:val="00C65A9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istParagraphChar">
    <w:name w:val="List Paragraph Char"/>
    <w:aliases w:val="Dot pt Char,List Paragraph1 Char,List Paragraph11 Char,Colorful List - Accent 11 Char,Bullet 1 Char,Bullet Points Char,MAIN CONTENT Char,F5 List Paragraph Char,No Spacing1 Char,List Paragraph Char Char Char Char,Indicator Text Char"/>
    <w:basedOn w:val="DefaultParagraphFont"/>
    <w:link w:val="ListParagraph"/>
    <w:uiPriority w:val="34"/>
    <w:qFormat/>
    <w:locked/>
    <w:rsid w:val="00C65A94"/>
    <w:rPr>
      <w:rFonts w:ascii="Arial" w:hAnsi="Arial"/>
      <w:sz w:val="24"/>
    </w:rPr>
  </w:style>
  <w:style w:type="character" w:customStyle="1" w:styleId="eop">
    <w:name w:val="eop"/>
    <w:basedOn w:val="DefaultParagraphFont"/>
    <w:rsid w:val="004E504C"/>
  </w:style>
  <w:style w:type="table" w:styleId="TableGridLight">
    <w:name w:val="Grid Table Light"/>
    <w:basedOn w:val="TableNormal"/>
    <w:uiPriority w:val="40"/>
    <w:rsid w:val="008E0B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75331">
      <w:bodyDiv w:val="1"/>
      <w:marLeft w:val="0"/>
      <w:marRight w:val="0"/>
      <w:marTop w:val="0"/>
      <w:marBottom w:val="0"/>
      <w:divBdr>
        <w:top w:val="none" w:sz="0" w:space="0" w:color="auto"/>
        <w:left w:val="none" w:sz="0" w:space="0" w:color="auto"/>
        <w:bottom w:val="none" w:sz="0" w:space="0" w:color="auto"/>
        <w:right w:val="none" w:sz="0" w:space="0" w:color="auto"/>
      </w:divBdr>
    </w:div>
    <w:div w:id="185337731">
      <w:bodyDiv w:val="1"/>
      <w:marLeft w:val="0"/>
      <w:marRight w:val="0"/>
      <w:marTop w:val="0"/>
      <w:marBottom w:val="0"/>
      <w:divBdr>
        <w:top w:val="none" w:sz="0" w:space="0" w:color="auto"/>
        <w:left w:val="none" w:sz="0" w:space="0" w:color="auto"/>
        <w:bottom w:val="none" w:sz="0" w:space="0" w:color="auto"/>
        <w:right w:val="none" w:sz="0" w:space="0" w:color="auto"/>
      </w:divBdr>
    </w:div>
    <w:div w:id="202178983">
      <w:bodyDiv w:val="1"/>
      <w:marLeft w:val="0"/>
      <w:marRight w:val="0"/>
      <w:marTop w:val="0"/>
      <w:marBottom w:val="0"/>
      <w:divBdr>
        <w:top w:val="none" w:sz="0" w:space="0" w:color="auto"/>
        <w:left w:val="none" w:sz="0" w:space="0" w:color="auto"/>
        <w:bottom w:val="none" w:sz="0" w:space="0" w:color="auto"/>
        <w:right w:val="none" w:sz="0" w:space="0" w:color="auto"/>
      </w:divBdr>
    </w:div>
    <w:div w:id="393049716">
      <w:bodyDiv w:val="1"/>
      <w:marLeft w:val="0"/>
      <w:marRight w:val="0"/>
      <w:marTop w:val="0"/>
      <w:marBottom w:val="0"/>
      <w:divBdr>
        <w:top w:val="none" w:sz="0" w:space="0" w:color="auto"/>
        <w:left w:val="none" w:sz="0" w:space="0" w:color="auto"/>
        <w:bottom w:val="none" w:sz="0" w:space="0" w:color="auto"/>
        <w:right w:val="none" w:sz="0" w:space="0" w:color="auto"/>
      </w:divBdr>
    </w:div>
    <w:div w:id="408163879">
      <w:bodyDiv w:val="1"/>
      <w:marLeft w:val="0"/>
      <w:marRight w:val="0"/>
      <w:marTop w:val="0"/>
      <w:marBottom w:val="0"/>
      <w:divBdr>
        <w:top w:val="none" w:sz="0" w:space="0" w:color="auto"/>
        <w:left w:val="none" w:sz="0" w:space="0" w:color="auto"/>
        <w:bottom w:val="none" w:sz="0" w:space="0" w:color="auto"/>
        <w:right w:val="none" w:sz="0" w:space="0" w:color="auto"/>
      </w:divBdr>
    </w:div>
    <w:div w:id="465902063">
      <w:bodyDiv w:val="1"/>
      <w:marLeft w:val="0"/>
      <w:marRight w:val="0"/>
      <w:marTop w:val="0"/>
      <w:marBottom w:val="0"/>
      <w:divBdr>
        <w:top w:val="none" w:sz="0" w:space="0" w:color="auto"/>
        <w:left w:val="none" w:sz="0" w:space="0" w:color="auto"/>
        <w:bottom w:val="none" w:sz="0" w:space="0" w:color="auto"/>
        <w:right w:val="none" w:sz="0" w:space="0" w:color="auto"/>
      </w:divBdr>
    </w:div>
    <w:div w:id="533153213">
      <w:bodyDiv w:val="1"/>
      <w:marLeft w:val="0"/>
      <w:marRight w:val="0"/>
      <w:marTop w:val="0"/>
      <w:marBottom w:val="0"/>
      <w:divBdr>
        <w:top w:val="none" w:sz="0" w:space="0" w:color="auto"/>
        <w:left w:val="none" w:sz="0" w:space="0" w:color="auto"/>
        <w:bottom w:val="none" w:sz="0" w:space="0" w:color="auto"/>
        <w:right w:val="none" w:sz="0" w:space="0" w:color="auto"/>
      </w:divBdr>
    </w:div>
    <w:div w:id="565797760">
      <w:bodyDiv w:val="1"/>
      <w:marLeft w:val="0"/>
      <w:marRight w:val="0"/>
      <w:marTop w:val="0"/>
      <w:marBottom w:val="0"/>
      <w:divBdr>
        <w:top w:val="none" w:sz="0" w:space="0" w:color="auto"/>
        <w:left w:val="none" w:sz="0" w:space="0" w:color="auto"/>
        <w:bottom w:val="none" w:sz="0" w:space="0" w:color="auto"/>
        <w:right w:val="none" w:sz="0" w:space="0" w:color="auto"/>
      </w:divBdr>
    </w:div>
    <w:div w:id="639265129">
      <w:bodyDiv w:val="1"/>
      <w:marLeft w:val="0"/>
      <w:marRight w:val="0"/>
      <w:marTop w:val="0"/>
      <w:marBottom w:val="0"/>
      <w:divBdr>
        <w:top w:val="none" w:sz="0" w:space="0" w:color="auto"/>
        <w:left w:val="none" w:sz="0" w:space="0" w:color="auto"/>
        <w:bottom w:val="none" w:sz="0" w:space="0" w:color="auto"/>
        <w:right w:val="none" w:sz="0" w:space="0" w:color="auto"/>
      </w:divBdr>
    </w:div>
    <w:div w:id="752749537">
      <w:bodyDiv w:val="1"/>
      <w:marLeft w:val="0"/>
      <w:marRight w:val="0"/>
      <w:marTop w:val="0"/>
      <w:marBottom w:val="0"/>
      <w:divBdr>
        <w:top w:val="none" w:sz="0" w:space="0" w:color="auto"/>
        <w:left w:val="none" w:sz="0" w:space="0" w:color="auto"/>
        <w:bottom w:val="none" w:sz="0" w:space="0" w:color="auto"/>
        <w:right w:val="none" w:sz="0" w:space="0" w:color="auto"/>
      </w:divBdr>
    </w:div>
    <w:div w:id="784999996">
      <w:bodyDiv w:val="1"/>
      <w:marLeft w:val="0"/>
      <w:marRight w:val="0"/>
      <w:marTop w:val="0"/>
      <w:marBottom w:val="0"/>
      <w:divBdr>
        <w:top w:val="none" w:sz="0" w:space="0" w:color="auto"/>
        <w:left w:val="none" w:sz="0" w:space="0" w:color="auto"/>
        <w:bottom w:val="none" w:sz="0" w:space="0" w:color="auto"/>
        <w:right w:val="none" w:sz="0" w:space="0" w:color="auto"/>
      </w:divBdr>
    </w:div>
    <w:div w:id="801265449">
      <w:bodyDiv w:val="1"/>
      <w:marLeft w:val="0"/>
      <w:marRight w:val="0"/>
      <w:marTop w:val="0"/>
      <w:marBottom w:val="0"/>
      <w:divBdr>
        <w:top w:val="none" w:sz="0" w:space="0" w:color="auto"/>
        <w:left w:val="none" w:sz="0" w:space="0" w:color="auto"/>
        <w:bottom w:val="none" w:sz="0" w:space="0" w:color="auto"/>
        <w:right w:val="none" w:sz="0" w:space="0" w:color="auto"/>
      </w:divBdr>
    </w:div>
    <w:div w:id="981157063">
      <w:bodyDiv w:val="1"/>
      <w:marLeft w:val="0"/>
      <w:marRight w:val="0"/>
      <w:marTop w:val="0"/>
      <w:marBottom w:val="0"/>
      <w:divBdr>
        <w:top w:val="none" w:sz="0" w:space="0" w:color="auto"/>
        <w:left w:val="none" w:sz="0" w:space="0" w:color="auto"/>
        <w:bottom w:val="none" w:sz="0" w:space="0" w:color="auto"/>
        <w:right w:val="none" w:sz="0" w:space="0" w:color="auto"/>
      </w:divBdr>
    </w:div>
    <w:div w:id="1183277371">
      <w:bodyDiv w:val="1"/>
      <w:marLeft w:val="0"/>
      <w:marRight w:val="0"/>
      <w:marTop w:val="0"/>
      <w:marBottom w:val="0"/>
      <w:divBdr>
        <w:top w:val="none" w:sz="0" w:space="0" w:color="auto"/>
        <w:left w:val="none" w:sz="0" w:space="0" w:color="auto"/>
        <w:bottom w:val="none" w:sz="0" w:space="0" w:color="auto"/>
        <w:right w:val="none" w:sz="0" w:space="0" w:color="auto"/>
      </w:divBdr>
    </w:div>
    <w:div w:id="1188328175">
      <w:bodyDiv w:val="1"/>
      <w:marLeft w:val="0"/>
      <w:marRight w:val="0"/>
      <w:marTop w:val="0"/>
      <w:marBottom w:val="0"/>
      <w:divBdr>
        <w:top w:val="none" w:sz="0" w:space="0" w:color="auto"/>
        <w:left w:val="none" w:sz="0" w:space="0" w:color="auto"/>
        <w:bottom w:val="none" w:sz="0" w:space="0" w:color="auto"/>
        <w:right w:val="none" w:sz="0" w:space="0" w:color="auto"/>
      </w:divBdr>
    </w:div>
    <w:div w:id="1272929933">
      <w:bodyDiv w:val="1"/>
      <w:marLeft w:val="0"/>
      <w:marRight w:val="0"/>
      <w:marTop w:val="0"/>
      <w:marBottom w:val="0"/>
      <w:divBdr>
        <w:top w:val="none" w:sz="0" w:space="0" w:color="auto"/>
        <w:left w:val="none" w:sz="0" w:space="0" w:color="auto"/>
        <w:bottom w:val="none" w:sz="0" w:space="0" w:color="auto"/>
        <w:right w:val="none" w:sz="0" w:space="0" w:color="auto"/>
      </w:divBdr>
    </w:div>
    <w:div w:id="1379206823">
      <w:bodyDiv w:val="1"/>
      <w:marLeft w:val="0"/>
      <w:marRight w:val="0"/>
      <w:marTop w:val="0"/>
      <w:marBottom w:val="0"/>
      <w:divBdr>
        <w:top w:val="none" w:sz="0" w:space="0" w:color="auto"/>
        <w:left w:val="none" w:sz="0" w:space="0" w:color="auto"/>
        <w:bottom w:val="none" w:sz="0" w:space="0" w:color="auto"/>
        <w:right w:val="none" w:sz="0" w:space="0" w:color="auto"/>
      </w:divBdr>
    </w:div>
    <w:div w:id="1432161945">
      <w:bodyDiv w:val="1"/>
      <w:marLeft w:val="0"/>
      <w:marRight w:val="0"/>
      <w:marTop w:val="0"/>
      <w:marBottom w:val="0"/>
      <w:divBdr>
        <w:top w:val="none" w:sz="0" w:space="0" w:color="auto"/>
        <w:left w:val="none" w:sz="0" w:space="0" w:color="auto"/>
        <w:bottom w:val="none" w:sz="0" w:space="0" w:color="auto"/>
        <w:right w:val="none" w:sz="0" w:space="0" w:color="auto"/>
      </w:divBdr>
    </w:div>
    <w:div w:id="1494490561">
      <w:bodyDiv w:val="1"/>
      <w:marLeft w:val="0"/>
      <w:marRight w:val="0"/>
      <w:marTop w:val="0"/>
      <w:marBottom w:val="0"/>
      <w:divBdr>
        <w:top w:val="none" w:sz="0" w:space="0" w:color="auto"/>
        <w:left w:val="none" w:sz="0" w:space="0" w:color="auto"/>
        <w:bottom w:val="none" w:sz="0" w:space="0" w:color="auto"/>
        <w:right w:val="none" w:sz="0" w:space="0" w:color="auto"/>
      </w:divBdr>
    </w:div>
    <w:div w:id="2012176211">
      <w:bodyDiv w:val="1"/>
      <w:marLeft w:val="0"/>
      <w:marRight w:val="0"/>
      <w:marTop w:val="0"/>
      <w:marBottom w:val="0"/>
      <w:divBdr>
        <w:top w:val="none" w:sz="0" w:space="0" w:color="auto"/>
        <w:left w:val="none" w:sz="0" w:space="0" w:color="auto"/>
        <w:bottom w:val="none" w:sz="0" w:space="0" w:color="auto"/>
        <w:right w:val="none" w:sz="0" w:space="0" w:color="auto"/>
      </w:divBdr>
    </w:div>
    <w:div w:id="2082947913">
      <w:bodyDiv w:val="1"/>
      <w:marLeft w:val="0"/>
      <w:marRight w:val="0"/>
      <w:marTop w:val="0"/>
      <w:marBottom w:val="0"/>
      <w:divBdr>
        <w:top w:val="none" w:sz="0" w:space="0" w:color="auto"/>
        <w:left w:val="none" w:sz="0" w:space="0" w:color="auto"/>
        <w:bottom w:val="none" w:sz="0" w:space="0" w:color="auto"/>
        <w:right w:val="none" w:sz="0" w:space="0" w:color="auto"/>
      </w:divBdr>
    </w:div>
    <w:div w:id="2098557231">
      <w:bodyDiv w:val="1"/>
      <w:marLeft w:val="0"/>
      <w:marRight w:val="0"/>
      <w:marTop w:val="0"/>
      <w:marBottom w:val="0"/>
      <w:divBdr>
        <w:top w:val="none" w:sz="0" w:space="0" w:color="auto"/>
        <w:left w:val="none" w:sz="0" w:space="0" w:color="auto"/>
        <w:bottom w:val="none" w:sz="0" w:space="0" w:color="auto"/>
        <w:right w:val="none" w:sz="0" w:space="0" w:color="auto"/>
      </w:divBdr>
    </w:div>
    <w:div w:id="210418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mpcc@west-midlands.pnn.police.uk"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westmidlands-pcc.gov.uk/wp-content/uploads/2021/10/The-West-Midlands-Police-and-Crime-Plan-2021-25.pdf?x41638" TargetMode="External"/><Relationship Id="rId2" Type="http://schemas.openxmlformats.org/officeDocument/2006/relationships/numbering" Target="numbering.xml"/><Relationship Id="rId16" Type="http://schemas.openxmlformats.org/officeDocument/2006/relationships/hyperlink" Target="https://www.westmidlands-pcc.gov.uk/finance/annual-investment-strateg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C7C60-8A9D-4C03-BDE6-BA199684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8977</Words>
  <Characters>51175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Report to the West Midlands Police and Crime Panel</vt:lpstr>
    </vt:vector>
  </TitlesOfParts>
  <Company>Service Birmingham</Company>
  <LinksUpToDate>false</LinksUpToDate>
  <CharactersWithSpaces>60032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West Midlands Police and Crime Panel</dc:title>
  <dc:creator>Beth Tobitt</dc:creator>
  <cp:keywords>WMPCP;West Midlands Police and Crime Panel</cp:keywords>
  <cp:lastModifiedBy>Beth Tobitt</cp:lastModifiedBy>
  <cp:revision>4</cp:revision>
  <cp:lastPrinted>2023-02-14T09:32:00Z</cp:lastPrinted>
  <dcterms:created xsi:type="dcterms:W3CDTF">2023-02-16T07:56:00Z</dcterms:created>
  <dcterms:modified xsi:type="dcterms:W3CDTF">2023-03-10T09:05:00Z</dcterms:modified>
</cp:coreProperties>
</file>