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80AA26" w14:textId="0653A2C0" w:rsidR="00EC4835" w:rsidRDefault="003E0967" w:rsidP="00A64D64">
      <w:pPr>
        <w:tabs>
          <w:tab w:val="right" w:pos="9026"/>
        </w:tabs>
        <w:rPr>
          <w:b/>
          <w:sz w:val="28"/>
          <w:szCs w:val="28"/>
        </w:rPr>
      </w:pPr>
      <w:bookmarkStart w:id="0" w:name="_Hlk129854088"/>
      <w:bookmarkEnd w:id="0"/>
      <w:r>
        <w:rPr>
          <w:b/>
          <w:sz w:val="28"/>
          <w:szCs w:val="28"/>
        </w:rPr>
        <w:tab/>
      </w:r>
      <w:r w:rsidR="00B5731B">
        <w:rPr>
          <w:noProof/>
        </w:rPr>
        <w:drawing>
          <wp:inline distT="0" distB="0" distL="0" distR="0" wp14:anchorId="4E5FB0F3" wp14:editId="48144C51">
            <wp:extent cx="3276600" cy="10858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276600" cy="1085850"/>
                    </a:xfrm>
                    <a:prstGeom prst="rect">
                      <a:avLst/>
                    </a:prstGeom>
                    <a:noFill/>
                    <a:ln w="9525">
                      <a:noFill/>
                      <a:miter lim="800000"/>
                      <a:headEnd/>
                      <a:tailEnd/>
                    </a:ln>
                  </pic:spPr>
                </pic:pic>
              </a:graphicData>
            </a:graphic>
          </wp:inline>
        </w:drawing>
      </w:r>
      <w:r w:rsidR="00B5731B">
        <w:rPr>
          <w:noProof/>
        </w:rPr>
        <w:drawing>
          <wp:inline distT="0" distB="0" distL="0" distR="0" wp14:anchorId="4DC0AACC" wp14:editId="7365391C">
            <wp:extent cx="828675" cy="981075"/>
            <wp:effectExtent l="19050" t="0" r="9525" b="0"/>
            <wp:docPr id="2" name="Picture 2" descr="wmpco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mpcol~1"/>
                    <pic:cNvPicPr>
                      <a:picLocks noChangeAspect="1" noChangeArrowheads="1"/>
                    </pic:cNvPicPr>
                  </pic:nvPicPr>
                  <pic:blipFill>
                    <a:blip r:embed="rId9" cstate="print"/>
                    <a:srcRect/>
                    <a:stretch>
                      <a:fillRect/>
                    </a:stretch>
                  </pic:blipFill>
                  <pic:spPr bwMode="auto">
                    <a:xfrm>
                      <a:off x="0" y="0"/>
                      <a:ext cx="828675" cy="981075"/>
                    </a:xfrm>
                    <a:prstGeom prst="rect">
                      <a:avLst/>
                    </a:prstGeom>
                    <a:noFill/>
                    <a:ln w="9525">
                      <a:noFill/>
                      <a:miter lim="800000"/>
                      <a:headEnd/>
                      <a:tailEnd/>
                    </a:ln>
                  </pic:spPr>
                </pic:pic>
              </a:graphicData>
            </a:graphic>
          </wp:inline>
        </w:drawing>
      </w:r>
    </w:p>
    <w:p w14:paraId="1F0C69F8" w14:textId="25854FD0" w:rsidR="00EC4835" w:rsidRDefault="00EC4835" w:rsidP="00EC4835">
      <w:pPr>
        <w:jc w:val="center"/>
        <w:rPr>
          <w:b/>
          <w:sz w:val="28"/>
          <w:szCs w:val="28"/>
        </w:rPr>
      </w:pPr>
    </w:p>
    <w:p w14:paraId="3A4A13CE" w14:textId="77777777" w:rsidR="00A64D64" w:rsidRDefault="00A64D64" w:rsidP="00EC4835">
      <w:pPr>
        <w:jc w:val="right"/>
        <w:rPr>
          <w:b/>
          <w:sz w:val="28"/>
          <w:szCs w:val="28"/>
        </w:rPr>
      </w:pPr>
    </w:p>
    <w:p w14:paraId="46E68EF7" w14:textId="77777777" w:rsidR="00A64D64" w:rsidRDefault="00A64D64" w:rsidP="00EC4835">
      <w:pPr>
        <w:jc w:val="right"/>
        <w:rPr>
          <w:b/>
          <w:sz w:val="28"/>
          <w:szCs w:val="28"/>
        </w:rPr>
      </w:pPr>
    </w:p>
    <w:p w14:paraId="16077E5D" w14:textId="77777777" w:rsidR="00A64D64" w:rsidRDefault="00A64D64" w:rsidP="00EC4835">
      <w:pPr>
        <w:jc w:val="right"/>
        <w:rPr>
          <w:b/>
          <w:sz w:val="28"/>
          <w:szCs w:val="28"/>
        </w:rPr>
      </w:pPr>
    </w:p>
    <w:p w14:paraId="0ADFAAA7" w14:textId="77777777" w:rsidR="000C51CF" w:rsidRDefault="000C51CF" w:rsidP="007F2600">
      <w:pPr>
        <w:ind w:left="-284"/>
      </w:pPr>
    </w:p>
    <w:p w14:paraId="41A28C07" w14:textId="77777777" w:rsidR="00D05A86" w:rsidRDefault="00D05A86"/>
    <w:p w14:paraId="13E2CDB3" w14:textId="77777777" w:rsidR="00D05A86" w:rsidRDefault="00273F55">
      <w:r>
        <w:rPr>
          <w:noProof/>
        </w:rPr>
        <mc:AlternateContent>
          <mc:Choice Requires="wps">
            <w:drawing>
              <wp:anchor distT="0" distB="0" distL="114300" distR="114300" simplePos="0" relativeHeight="251657216" behindDoc="0" locked="0" layoutInCell="1" allowOverlap="1" wp14:anchorId="51C3876E" wp14:editId="552F5AF4">
                <wp:simplePos x="0" y="0"/>
                <wp:positionH relativeFrom="column">
                  <wp:align>center</wp:align>
                </wp:positionH>
                <wp:positionV relativeFrom="paragraph">
                  <wp:posOffset>0</wp:posOffset>
                </wp:positionV>
                <wp:extent cx="4121150" cy="1035685"/>
                <wp:effectExtent l="0" t="0" r="12700" b="1270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1150" cy="1035685"/>
                        </a:xfrm>
                        <a:prstGeom prst="rect">
                          <a:avLst/>
                        </a:prstGeom>
                        <a:solidFill>
                          <a:srgbClr val="FFFFFF"/>
                        </a:solidFill>
                        <a:ln w="9525">
                          <a:solidFill>
                            <a:srgbClr val="000000"/>
                          </a:solidFill>
                          <a:miter lim="800000"/>
                          <a:headEnd/>
                          <a:tailEnd/>
                        </a:ln>
                      </wps:spPr>
                      <wps:txbx>
                        <w:txbxContent>
                          <w:p w14:paraId="0FF9A46F" w14:textId="77777777" w:rsidR="00617B1A" w:rsidRDefault="00617B1A" w:rsidP="00D05A86">
                            <w:pPr>
                              <w:jc w:val="center"/>
                            </w:pPr>
                          </w:p>
                          <w:p w14:paraId="7725FC4E" w14:textId="51975E77" w:rsidR="00617B1A" w:rsidRPr="00671E32" w:rsidRDefault="00617B1A" w:rsidP="00194B10">
                            <w:pPr>
                              <w:pStyle w:val="Heading3"/>
                              <w:rPr>
                                <w:rFonts w:ascii="Arial" w:hAnsi="Arial" w:cs="Arial"/>
                                <w:b/>
                                <w:caps/>
                                <w:sz w:val="28"/>
                              </w:rPr>
                            </w:pPr>
                            <w:r>
                              <w:rPr>
                                <w:rFonts w:ascii="Arial" w:hAnsi="Arial" w:cs="Arial"/>
                                <w:b/>
                                <w:caps/>
                                <w:sz w:val="28"/>
                              </w:rPr>
                              <w:t xml:space="preserve">TREASURY MANAGEMENT STRATEGY 2023/24 </w:t>
                            </w:r>
                          </w:p>
                          <w:p w14:paraId="074D2F34" w14:textId="77777777" w:rsidR="00617B1A" w:rsidRDefault="00617B1A" w:rsidP="00D05A86">
                            <w:pPr>
                              <w:jc w:val="center"/>
                              <w:rPr>
                                <w:b/>
                                <w:sz w:val="28"/>
                                <w:szCs w:val="28"/>
                              </w:rPr>
                            </w:pPr>
                          </w:p>
                          <w:p w14:paraId="3718A2E7" w14:textId="77777777" w:rsidR="00617B1A" w:rsidRDefault="00617B1A" w:rsidP="00D05A86">
                            <w:pPr>
                              <w:jc w:val="cente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1C3876E" id="_x0000_t202" coordsize="21600,21600" o:spt="202" path="m,l,21600r21600,l21600,xe">
                <v:stroke joinstyle="miter"/>
                <v:path gradientshapeok="t" o:connecttype="rect"/>
              </v:shapetype>
              <v:shape id="Text Box 2" o:spid="_x0000_s1026" type="#_x0000_t202" style="position:absolute;margin-left:0;margin-top:0;width:324.5pt;height:81.55pt;z-index:251657216;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">
                <v:textbox style="mso-fit-shape-to-text:t">
                  <w:txbxContent>
                    <w:p w14:paraId="0FF9A46F" w14:textId="77777777" w:rsidR="00617B1A" w:rsidRDefault="00617B1A" w:rsidP="00D05A86">
                      <w:pPr>
                        <w:jc w:val="center"/>
                      </w:pPr>
                    </w:p>
                    <w:p w14:paraId="7725FC4E" w14:textId="51975E77" w:rsidR="00617B1A" w:rsidRPr="00671E32" w:rsidRDefault="00617B1A" w:rsidP="00194B10">
                      <w:pPr>
                        <w:pStyle w:val="Heading3"/>
                        <w:rPr>
                          <w:rFonts w:ascii="Arial" w:hAnsi="Arial" w:cs="Arial"/>
                          <w:b/>
                          <w:caps/>
                          <w:sz w:val="28"/>
                        </w:rPr>
                      </w:pPr>
                      <w:r>
                        <w:rPr>
                          <w:rFonts w:ascii="Arial" w:hAnsi="Arial" w:cs="Arial"/>
                          <w:b/>
                          <w:caps/>
                          <w:sz w:val="28"/>
                        </w:rPr>
                        <w:t xml:space="preserve">TREASURY MANAGEMENT STRATEGY 2023/24 </w:t>
                      </w:r>
                    </w:p>
                    <w:p w14:paraId="074D2F34" w14:textId="77777777" w:rsidR="00617B1A" w:rsidRDefault="00617B1A" w:rsidP="00D05A86">
                      <w:pPr>
                        <w:jc w:val="center"/>
                        <w:rPr>
                          <w:b/>
                          <w:sz w:val="28"/>
                          <w:szCs w:val="28"/>
                        </w:rPr>
                      </w:pPr>
                    </w:p>
                    <w:p w14:paraId="3718A2E7" w14:textId="77777777" w:rsidR="00617B1A" w:rsidRDefault="00617B1A" w:rsidP="00D05A86">
                      <w:pPr>
                        <w:jc w:val="center"/>
                      </w:pPr>
                    </w:p>
                  </w:txbxContent>
                </v:textbox>
              </v:shape>
            </w:pict>
          </mc:Fallback>
        </mc:AlternateContent>
      </w:r>
    </w:p>
    <w:p w14:paraId="7EFA07BE" w14:textId="77777777" w:rsidR="00D05A86" w:rsidRDefault="00D05A86"/>
    <w:p w14:paraId="5907FB4F" w14:textId="77777777" w:rsidR="00D05A86" w:rsidRDefault="00D05A86"/>
    <w:p w14:paraId="2240E622" w14:textId="77777777" w:rsidR="00D05A86" w:rsidRDefault="00D05A86"/>
    <w:p w14:paraId="2EC9776D" w14:textId="77777777" w:rsidR="00D05A86" w:rsidRDefault="00D05A86"/>
    <w:p w14:paraId="01F7589C" w14:textId="77777777" w:rsidR="00D05A86" w:rsidRDefault="00D05A86"/>
    <w:p w14:paraId="090EFB24" w14:textId="77777777" w:rsidR="00D05A86" w:rsidRDefault="00D05A86"/>
    <w:p w14:paraId="1EC55CD7" w14:textId="77777777" w:rsidR="00D05A86" w:rsidRDefault="00D05A86"/>
    <w:p w14:paraId="14875687" w14:textId="77777777" w:rsidR="007F2600" w:rsidRDefault="007F2600"/>
    <w:p w14:paraId="270F26A4" w14:textId="7AB03463" w:rsidR="00D05A86" w:rsidRPr="00544436" w:rsidRDefault="00833C2B" w:rsidP="00544436">
      <w:pPr>
        <w:pStyle w:val="Heading1"/>
        <w:ind w:left="426" w:hanging="426"/>
        <w:rPr>
          <w:b w:val="0"/>
        </w:rPr>
      </w:pPr>
      <w:r w:rsidRPr="00544436">
        <w:rPr>
          <w:rFonts w:ascii="Arial" w:hAnsi="Arial" w:cs="Arial"/>
          <w:sz w:val="22"/>
          <w:szCs w:val="22"/>
        </w:rPr>
        <w:t>1.</w:t>
      </w:r>
      <w:r w:rsidR="00544436">
        <w:rPr>
          <w:rFonts w:ascii="Arial" w:hAnsi="Arial" w:cs="Arial"/>
          <w:sz w:val="22"/>
          <w:szCs w:val="22"/>
        </w:rPr>
        <w:tab/>
      </w:r>
      <w:r w:rsidR="00D05A86" w:rsidRPr="00544436">
        <w:rPr>
          <w:rFonts w:ascii="Arial" w:hAnsi="Arial" w:cs="Arial"/>
          <w:sz w:val="22"/>
          <w:szCs w:val="22"/>
        </w:rPr>
        <w:t>PURPOSE OF REPORT</w:t>
      </w:r>
    </w:p>
    <w:p w14:paraId="0B4A1625" w14:textId="77777777" w:rsidR="00D05A86" w:rsidRDefault="00D05A86" w:rsidP="007F2600">
      <w:pPr>
        <w:ind w:right="543"/>
      </w:pPr>
    </w:p>
    <w:p w14:paraId="344039E2" w14:textId="1E5E1228" w:rsidR="00194B10" w:rsidRDefault="00FC02A7" w:rsidP="00C22B55">
      <w:pPr>
        <w:pStyle w:val="ListParagraph"/>
        <w:numPr>
          <w:ilvl w:val="1"/>
          <w:numId w:val="1"/>
        </w:numPr>
        <w:ind w:left="426" w:right="28" w:hanging="426"/>
        <w:jc w:val="both"/>
      </w:pPr>
      <w:r>
        <w:t>T</w:t>
      </w:r>
      <w:r w:rsidR="002441D4">
        <w:t>his</w:t>
      </w:r>
      <w:r w:rsidR="00194B10" w:rsidRPr="00194B10">
        <w:t xml:space="preserve"> </w:t>
      </w:r>
      <w:r w:rsidR="00194B10">
        <w:t xml:space="preserve">report </w:t>
      </w:r>
      <w:r w:rsidR="00B51208">
        <w:t>s</w:t>
      </w:r>
      <w:r w:rsidR="00194B10">
        <w:t xml:space="preserve">ets out the </w:t>
      </w:r>
      <w:r w:rsidR="00194B10" w:rsidRPr="002B038D">
        <w:t>Police and Crime Commissioner’s</w:t>
      </w:r>
      <w:r w:rsidR="00194B10">
        <w:t xml:space="preserve"> Treasury Strategy Statement </w:t>
      </w:r>
      <w:r w:rsidR="008D405A">
        <w:t xml:space="preserve">for </w:t>
      </w:r>
      <w:r w:rsidR="00DA5E50">
        <w:t>202</w:t>
      </w:r>
      <w:r w:rsidR="00276E9A">
        <w:t>3</w:t>
      </w:r>
      <w:r w:rsidR="00194B10">
        <w:t>/</w:t>
      </w:r>
      <w:r w:rsidR="00DA5E50">
        <w:t>2</w:t>
      </w:r>
      <w:r w:rsidR="00276E9A">
        <w:t>4</w:t>
      </w:r>
      <w:r w:rsidR="00194B10">
        <w:t xml:space="preserve"> and updates on debt management and investment activity during the financial year </w:t>
      </w:r>
      <w:r w:rsidR="00DA5E50">
        <w:t>20</w:t>
      </w:r>
      <w:r w:rsidR="00D61D2C">
        <w:t>2</w:t>
      </w:r>
      <w:r w:rsidR="00276E9A">
        <w:t>2</w:t>
      </w:r>
      <w:r w:rsidR="00D61D2C">
        <w:t>/2</w:t>
      </w:r>
      <w:r w:rsidR="00276E9A">
        <w:t>3</w:t>
      </w:r>
      <w:r w:rsidR="00194B10">
        <w:t>.</w:t>
      </w:r>
    </w:p>
    <w:p w14:paraId="1EF96A48" w14:textId="77777777" w:rsidR="00194B10" w:rsidRDefault="002441D4" w:rsidP="00A42023">
      <w:pPr>
        <w:pStyle w:val="ListParagraph"/>
        <w:ind w:left="360" w:right="28"/>
        <w:jc w:val="both"/>
      </w:pPr>
      <w:r>
        <w:t xml:space="preserve"> </w:t>
      </w:r>
    </w:p>
    <w:p w14:paraId="616F1FD0" w14:textId="090CD6AF" w:rsidR="002441D4" w:rsidRDefault="00572792" w:rsidP="00C22B55">
      <w:pPr>
        <w:pStyle w:val="ListParagraph"/>
        <w:numPr>
          <w:ilvl w:val="1"/>
          <w:numId w:val="1"/>
        </w:numPr>
        <w:ind w:left="426" w:right="28" w:hanging="426"/>
        <w:jc w:val="both"/>
      </w:pPr>
      <w:r>
        <w:t>This</w:t>
      </w:r>
      <w:r w:rsidR="00194B10">
        <w:t xml:space="preserve"> </w:t>
      </w:r>
      <w:r w:rsidR="002441D4">
        <w:t>rep</w:t>
      </w:r>
      <w:r w:rsidR="00FC02A7">
        <w:t>o</w:t>
      </w:r>
      <w:r w:rsidR="002441D4">
        <w:t>rt</w:t>
      </w:r>
      <w:r w:rsidR="00FC02A7">
        <w:t xml:space="preserve"> </w:t>
      </w:r>
      <w:r w:rsidR="00026930">
        <w:t>updates</w:t>
      </w:r>
      <w:r w:rsidR="002441D4" w:rsidRPr="00953C68">
        <w:t xml:space="preserve"> on recent Treasury Management activity, in line with recommended best practice and the revised CIPFA Code of Pra</w:t>
      </w:r>
      <w:r w:rsidR="002D5C10">
        <w:t>ctice for Treasury Management</w:t>
      </w:r>
      <w:r w:rsidR="00C2020D">
        <w:t xml:space="preserve"> 2021</w:t>
      </w:r>
      <w:r w:rsidR="002D5C10">
        <w:t>.</w:t>
      </w:r>
    </w:p>
    <w:p w14:paraId="7F2453F9" w14:textId="77777777" w:rsidR="002441D4" w:rsidRDefault="002441D4" w:rsidP="00A42023">
      <w:pPr>
        <w:pStyle w:val="ListParagraph"/>
        <w:ind w:left="360" w:right="28"/>
        <w:jc w:val="both"/>
      </w:pPr>
    </w:p>
    <w:p w14:paraId="2FB68513" w14:textId="1C298A9D" w:rsidR="00FC02A7" w:rsidRDefault="002441D4" w:rsidP="00C22B55">
      <w:pPr>
        <w:pStyle w:val="ListParagraph"/>
        <w:numPr>
          <w:ilvl w:val="1"/>
          <w:numId w:val="1"/>
        </w:numPr>
        <w:ind w:left="426" w:right="28" w:hanging="426"/>
        <w:jc w:val="both"/>
      </w:pPr>
      <w:r>
        <w:t>It</w:t>
      </w:r>
      <w:r w:rsidR="00FC02A7">
        <w:t xml:space="preserve"> </w:t>
      </w:r>
      <w:r w:rsidRPr="00953C68">
        <w:t xml:space="preserve">is important to note that financial information contained within this report should not be used by any individual or organisation as a basis for making investment or borrowing decisions. </w:t>
      </w:r>
      <w:r w:rsidR="00BA13EA">
        <w:t xml:space="preserve"> </w:t>
      </w:r>
      <w:r w:rsidRPr="00953C68">
        <w:t xml:space="preserve">The </w:t>
      </w:r>
      <w:r>
        <w:t>C</w:t>
      </w:r>
      <w:r w:rsidR="00194B10">
        <w:t>ommissioner</w:t>
      </w:r>
      <w:r w:rsidRPr="00953C68">
        <w:t xml:space="preserve"> and </w:t>
      </w:r>
      <w:r>
        <w:t>hi</w:t>
      </w:r>
      <w:r w:rsidR="00194B10">
        <w:t>s</w:t>
      </w:r>
      <w:r>
        <w:t xml:space="preserve"> </w:t>
      </w:r>
      <w:r w:rsidRPr="00953C68">
        <w:t>treasury advis</w:t>
      </w:r>
      <w:r>
        <w:t>e</w:t>
      </w:r>
      <w:r w:rsidRPr="00953C68">
        <w:t>rs will not accept any liability on behalf of any individual or organisation who seeks to act on the financial information contained within this report.</w:t>
      </w:r>
    </w:p>
    <w:p w14:paraId="31C90FBD" w14:textId="77777777" w:rsidR="00A64D64" w:rsidRDefault="00A64D64" w:rsidP="00FC02A7">
      <w:pPr>
        <w:ind w:right="28"/>
      </w:pPr>
    </w:p>
    <w:p w14:paraId="096D81FB" w14:textId="7944E11B" w:rsidR="007F2600" w:rsidRPr="00544436" w:rsidRDefault="00077F36" w:rsidP="00092976">
      <w:pPr>
        <w:pStyle w:val="Heading1"/>
        <w:ind w:left="426" w:hanging="426"/>
        <w:rPr>
          <w:b w:val="0"/>
        </w:rPr>
      </w:pPr>
      <w:r>
        <w:rPr>
          <w:rFonts w:ascii="Arial" w:hAnsi="Arial" w:cs="Arial"/>
          <w:sz w:val="22"/>
          <w:szCs w:val="22"/>
        </w:rPr>
        <w:t xml:space="preserve">2.    </w:t>
      </w:r>
      <w:r w:rsidR="00B21C24" w:rsidRPr="00544436">
        <w:rPr>
          <w:rFonts w:ascii="Arial" w:hAnsi="Arial" w:cs="Arial"/>
          <w:sz w:val="22"/>
          <w:szCs w:val="22"/>
        </w:rPr>
        <w:t>I</w:t>
      </w:r>
      <w:r w:rsidR="002441D4" w:rsidRPr="00544436">
        <w:rPr>
          <w:rFonts w:ascii="Arial" w:hAnsi="Arial" w:cs="Arial"/>
          <w:sz w:val="22"/>
          <w:szCs w:val="22"/>
        </w:rPr>
        <w:t>N</w:t>
      </w:r>
      <w:r w:rsidR="00B21C24" w:rsidRPr="00544436">
        <w:rPr>
          <w:rFonts w:ascii="Arial" w:hAnsi="Arial" w:cs="Arial"/>
          <w:sz w:val="22"/>
          <w:szCs w:val="22"/>
        </w:rPr>
        <w:t>TR</w:t>
      </w:r>
      <w:r w:rsidR="002441D4" w:rsidRPr="00544436">
        <w:rPr>
          <w:rFonts w:ascii="Arial" w:hAnsi="Arial" w:cs="Arial"/>
          <w:sz w:val="22"/>
          <w:szCs w:val="22"/>
        </w:rPr>
        <w:t>O</w:t>
      </w:r>
      <w:r w:rsidR="00B21C24" w:rsidRPr="00544436">
        <w:rPr>
          <w:rFonts w:ascii="Arial" w:hAnsi="Arial" w:cs="Arial"/>
          <w:sz w:val="22"/>
          <w:szCs w:val="22"/>
        </w:rPr>
        <w:t>DUCT</w:t>
      </w:r>
      <w:r w:rsidR="002441D4" w:rsidRPr="00544436">
        <w:rPr>
          <w:rFonts w:ascii="Arial" w:hAnsi="Arial" w:cs="Arial"/>
          <w:sz w:val="22"/>
          <w:szCs w:val="22"/>
        </w:rPr>
        <w:t>I</w:t>
      </w:r>
      <w:r w:rsidR="00B21C24" w:rsidRPr="00544436">
        <w:rPr>
          <w:rFonts w:ascii="Arial" w:hAnsi="Arial" w:cs="Arial"/>
          <w:sz w:val="22"/>
          <w:szCs w:val="22"/>
        </w:rPr>
        <w:t>ON AND</w:t>
      </w:r>
      <w:r w:rsidR="002441D4" w:rsidRPr="00544436">
        <w:rPr>
          <w:rFonts w:ascii="Arial" w:hAnsi="Arial" w:cs="Arial"/>
          <w:sz w:val="22"/>
          <w:szCs w:val="22"/>
        </w:rPr>
        <w:t xml:space="preserve"> </w:t>
      </w:r>
      <w:r w:rsidR="00FC02A7" w:rsidRPr="00544436">
        <w:rPr>
          <w:rFonts w:ascii="Arial" w:hAnsi="Arial" w:cs="Arial"/>
          <w:sz w:val="22"/>
          <w:szCs w:val="22"/>
        </w:rPr>
        <w:t>BACKG</w:t>
      </w:r>
      <w:r w:rsidR="007F2600" w:rsidRPr="00544436">
        <w:rPr>
          <w:rFonts w:ascii="Arial" w:hAnsi="Arial" w:cs="Arial"/>
          <w:sz w:val="22"/>
          <w:szCs w:val="22"/>
        </w:rPr>
        <w:t>ROUND</w:t>
      </w:r>
    </w:p>
    <w:p w14:paraId="49203620" w14:textId="77777777" w:rsidR="00B21C24" w:rsidRDefault="00B21C24" w:rsidP="00B21C24"/>
    <w:p w14:paraId="6A748EF6" w14:textId="1CAB6A51" w:rsidR="00B21C24" w:rsidRPr="00BD5CA1" w:rsidRDefault="00BA13EA" w:rsidP="00A42023">
      <w:pPr>
        <w:ind w:left="426" w:right="28" w:hanging="426"/>
        <w:jc w:val="both"/>
        <w:rPr>
          <w:b/>
        </w:rPr>
      </w:pPr>
      <w:r>
        <w:t>2.1</w:t>
      </w:r>
      <w:r>
        <w:tab/>
      </w:r>
      <w:r w:rsidR="00B21C24">
        <w:t>The Commissione</w:t>
      </w:r>
      <w:r w:rsidR="00061D4D">
        <w:t>r is legally required to produce</w:t>
      </w:r>
      <w:r w:rsidR="00B21C24">
        <w:t xml:space="preserve"> an Annual Investment Strategy.</w:t>
      </w:r>
      <w:r>
        <w:t xml:space="preserve">  </w:t>
      </w:r>
      <w:r w:rsidR="00B21C24">
        <w:t xml:space="preserve">Therefore, included is an Investment Strategy as part of the Treasury Strategy Statement shown in </w:t>
      </w:r>
      <w:r w:rsidR="00B21C24" w:rsidRPr="00BD5CA1">
        <w:rPr>
          <w:b/>
        </w:rPr>
        <w:t>Appendix B.</w:t>
      </w:r>
    </w:p>
    <w:p w14:paraId="149D651C" w14:textId="77777777" w:rsidR="00B21C24" w:rsidRDefault="00B21C24" w:rsidP="00A42023">
      <w:pPr>
        <w:jc w:val="both"/>
      </w:pPr>
    </w:p>
    <w:p w14:paraId="5C581651" w14:textId="15F5A881" w:rsidR="00B21C24" w:rsidRPr="00BD5CA1" w:rsidRDefault="00BA13EA" w:rsidP="00A42023">
      <w:pPr>
        <w:ind w:left="426" w:right="28" w:hanging="426"/>
        <w:jc w:val="both"/>
        <w:rPr>
          <w:b/>
        </w:rPr>
      </w:pPr>
      <w:r>
        <w:t>2.2</w:t>
      </w:r>
      <w:r>
        <w:tab/>
        <w:t>I</w:t>
      </w:r>
      <w:r w:rsidR="00247306" w:rsidRPr="00BA13EA">
        <w:t xml:space="preserve">n order to protect the </w:t>
      </w:r>
      <w:r w:rsidR="00B21C24" w:rsidRPr="00BA13EA">
        <w:t>C</w:t>
      </w:r>
      <w:r w:rsidR="00247306" w:rsidRPr="00BA13EA">
        <w:t>ommissioner</w:t>
      </w:r>
      <w:r w:rsidR="00B21C24" w:rsidRPr="00BA13EA">
        <w:t>’s position if an ind</w:t>
      </w:r>
      <w:r w:rsidR="00247306" w:rsidRPr="00BA13EA">
        <w:t>ividual or organisation were to</w:t>
      </w:r>
      <w:r w:rsidR="00B21C24" w:rsidRPr="00BA13EA">
        <w:t xml:space="preserve"> act upon this advice, it is deemed necessary to produce a disclaimer,</w:t>
      </w:r>
      <w:r w:rsidR="00247306" w:rsidRPr="00BA13EA">
        <w:t xml:space="preserve"> </w:t>
      </w:r>
      <w:r w:rsidR="00B21C24" w:rsidRPr="00BA13EA">
        <w:t>which is</w:t>
      </w:r>
      <w:r w:rsidR="00247306" w:rsidRPr="00BA13EA">
        <w:t xml:space="preserve"> </w:t>
      </w:r>
      <w:r w:rsidR="00B21C24" w:rsidRPr="00BA13EA">
        <w:t xml:space="preserve">shown as a note at the head of </w:t>
      </w:r>
      <w:r w:rsidR="00B21C24" w:rsidRPr="00BD5CA1">
        <w:rPr>
          <w:b/>
        </w:rPr>
        <w:t>Appendix B.</w:t>
      </w:r>
    </w:p>
    <w:p w14:paraId="3A5D08AD" w14:textId="77777777" w:rsidR="00247306" w:rsidRDefault="00247306" w:rsidP="00A42023">
      <w:pPr>
        <w:jc w:val="both"/>
        <w:rPr>
          <w:b/>
          <w:bCs/>
        </w:rPr>
      </w:pPr>
    </w:p>
    <w:p w14:paraId="35B35839" w14:textId="45352130" w:rsidR="00247306" w:rsidRDefault="00BA13EA" w:rsidP="00A42023">
      <w:pPr>
        <w:ind w:left="426" w:right="28" w:hanging="426"/>
        <w:jc w:val="both"/>
      </w:pPr>
      <w:r>
        <w:t>2.3</w:t>
      </w:r>
      <w:r>
        <w:tab/>
      </w:r>
      <w:r w:rsidR="00247306">
        <w:t>The C</w:t>
      </w:r>
      <w:r w:rsidR="002D5C10">
        <w:t>ommissioner</w:t>
      </w:r>
      <w:r w:rsidR="00247306">
        <w:t xml:space="preserve"> is responsible for administering a Capital Programme </w:t>
      </w:r>
      <w:r w:rsidR="00247306" w:rsidRPr="000F0B9C">
        <w:t xml:space="preserve">of </w:t>
      </w:r>
      <w:r w:rsidR="00247306" w:rsidRPr="008C5EA5">
        <w:t>£</w:t>
      </w:r>
      <w:r w:rsidR="007E5F7D" w:rsidRPr="008C5EA5">
        <w:t>1</w:t>
      </w:r>
      <w:r w:rsidR="008C5EA5" w:rsidRPr="008C5EA5">
        <w:t>90</w:t>
      </w:r>
      <w:r w:rsidR="007E5F7D" w:rsidRPr="008C5EA5">
        <w:t>.</w:t>
      </w:r>
      <w:r w:rsidR="008C5EA5" w:rsidRPr="008C5EA5">
        <w:t>9</w:t>
      </w:r>
      <w:r w:rsidR="005B52FE" w:rsidRPr="008C5EA5">
        <w:t>m</w:t>
      </w:r>
      <w:r w:rsidR="00BD5CA1">
        <w:t xml:space="preserve"> </w:t>
      </w:r>
      <w:r w:rsidR="002D5C10" w:rsidRPr="00BD5CA1">
        <w:t>b</w:t>
      </w:r>
      <w:r w:rsidR="00247306" w:rsidRPr="00BD5CA1">
        <w:t>etween</w:t>
      </w:r>
      <w:r w:rsidR="002D5C10">
        <w:t xml:space="preserve"> </w:t>
      </w:r>
      <w:r w:rsidR="00247306">
        <w:t>20</w:t>
      </w:r>
      <w:r w:rsidR="00A855F6">
        <w:t>2</w:t>
      </w:r>
      <w:r w:rsidR="007159D8">
        <w:t>3</w:t>
      </w:r>
      <w:r w:rsidR="00A855F6">
        <w:t>-2</w:t>
      </w:r>
      <w:r w:rsidR="007159D8">
        <w:t>4</w:t>
      </w:r>
      <w:r w:rsidR="00247306">
        <w:t xml:space="preserve"> and 20</w:t>
      </w:r>
      <w:r w:rsidR="00077606">
        <w:t>2</w:t>
      </w:r>
      <w:r w:rsidR="007159D8">
        <w:t>6</w:t>
      </w:r>
      <w:r w:rsidR="007E5F7D">
        <w:t>-2</w:t>
      </w:r>
      <w:r w:rsidR="007159D8">
        <w:t>7</w:t>
      </w:r>
      <w:r w:rsidR="00247306">
        <w:t xml:space="preserve">.  As far as possible all </w:t>
      </w:r>
      <w:r w:rsidR="007700A5">
        <w:t>surplus revenue money and other</w:t>
      </w:r>
      <w:r>
        <w:t xml:space="preserve"> r</w:t>
      </w:r>
      <w:r w:rsidR="00247306">
        <w:t>eserves are invested on a daily basis until they are required.</w:t>
      </w:r>
    </w:p>
    <w:p w14:paraId="3C4C6444" w14:textId="77777777" w:rsidR="00247306" w:rsidRDefault="00247306" w:rsidP="00A42023">
      <w:pPr>
        <w:ind w:left="720" w:hanging="720"/>
        <w:jc w:val="both"/>
      </w:pPr>
    </w:p>
    <w:p w14:paraId="032133B7" w14:textId="62078416" w:rsidR="00F90F81" w:rsidRDefault="00BA13EA" w:rsidP="00F90F81">
      <w:pPr>
        <w:rPr>
          <w:b/>
          <w:bCs/>
        </w:rPr>
      </w:pPr>
      <w:r>
        <w:lastRenderedPageBreak/>
        <w:t>2.4</w:t>
      </w:r>
      <w:r>
        <w:tab/>
      </w:r>
      <w:r w:rsidR="00247306">
        <w:t>The C</w:t>
      </w:r>
      <w:r w:rsidR="007700A5">
        <w:t>ommissioner</w:t>
      </w:r>
      <w:r w:rsidR="00247306">
        <w:t xml:space="preserve"> follows the Code of Practice for Treasury Management </w:t>
      </w:r>
      <w:r w:rsidR="007159D8">
        <w:t xml:space="preserve">and The Prudential Code </w:t>
      </w:r>
      <w:r w:rsidR="00247306">
        <w:t>p</w:t>
      </w:r>
      <w:r w:rsidR="003845EA">
        <w:t>roduced by</w:t>
      </w:r>
      <w:r>
        <w:t xml:space="preserve"> </w:t>
      </w:r>
      <w:r w:rsidR="00247306">
        <w:t>the Chartered Institute of Public Finance an</w:t>
      </w:r>
      <w:r w:rsidR="003845EA">
        <w:t xml:space="preserve">d Accountancy (CIPFA). </w:t>
      </w:r>
      <w:bookmarkStart w:id="1" w:name="_Toc120727204"/>
      <w:r w:rsidR="00F90F81" w:rsidRPr="00F90F81">
        <w:rPr>
          <w:bCs/>
        </w:rPr>
        <w:t xml:space="preserve">The </w:t>
      </w:r>
      <w:r w:rsidR="00F90F81">
        <w:rPr>
          <w:bCs/>
        </w:rPr>
        <w:t>2021</w:t>
      </w:r>
      <w:r w:rsidR="00F90F81" w:rsidRPr="00F90F81">
        <w:rPr>
          <w:bCs/>
        </w:rPr>
        <w:t xml:space="preserve"> Treasury Management Code will require </w:t>
      </w:r>
      <w:r w:rsidR="00C814DD">
        <w:rPr>
          <w:bCs/>
        </w:rPr>
        <w:t>the Commissioner</w:t>
      </w:r>
      <w:r w:rsidR="00F90F81" w:rsidRPr="00F90F81">
        <w:rPr>
          <w:bCs/>
        </w:rPr>
        <w:t xml:space="preserve"> to implement the following: -</w:t>
      </w:r>
      <w:bookmarkEnd w:id="1"/>
    </w:p>
    <w:p w14:paraId="2BC9AB1E" w14:textId="77777777" w:rsidR="00F90F81" w:rsidRPr="00E55A19" w:rsidRDefault="00F90F81" w:rsidP="00F90F81">
      <w:pPr>
        <w:rPr>
          <w:b/>
          <w:bCs/>
        </w:rPr>
      </w:pPr>
    </w:p>
    <w:p w14:paraId="72B65F7F" w14:textId="77777777" w:rsidR="00F90F81" w:rsidRDefault="00F90F81" w:rsidP="00F90F81">
      <w:pPr>
        <w:pStyle w:val="ListParagraph"/>
        <w:numPr>
          <w:ilvl w:val="0"/>
          <w:numId w:val="28"/>
        </w:numPr>
      </w:pPr>
      <w:bookmarkStart w:id="2" w:name="_Toc120727205"/>
      <w:r w:rsidRPr="00E55A19">
        <w:rPr>
          <w:b/>
          <w:bCs/>
        </w:rPr>
        <w:t>Adopt a new liability benchmark treasury indicator</w:t>
      </w:r>
      <w:r w:rsidRPr="00E55A19">
        <w:t xml:space="preserve"> to support the financing risk management of the capital financing requirement; this is to be shown in chart form for a minimum of ten years, with material differences between the liability benchmark and actual loans to be explained;</w:t>
      </w:r>
      <w:bookmarkEnd w:id="2"/>
    </w:p>
    <w:p w14:paraId="597A902C" w14:textId="77777777" w:rsidR="00F90F81" w:rsidRPr="00E55A19" w:rsidRDefault="00F90F81" w:rsidP="00F90F81">
      <w:pPr>
        <w:pStyle w:val="ListParagraph"/>
        <w:ind w:hanging="436"/>
      </w:pPr>
    </w:p>
    <w:p w14:paraId="4DF9C1F9" w14:textId="3A6945CD" w:rsidR="00F90F81" w:rsidRPr="00E55A19" w:rsidRDefault="00F90F81" w:rsidP="00F90F81">
      <w:pPr>
        <w:pStyle w:val="ListParagraph"/>
        <w:numPr>
          <w:ilvl w:val="0"/>
          <w:numId w:val="28"/>
        </w:numPr>
        <w:rPr>
          <w:b/>
          <w:bCs/>
        </w:rPr>
      </w:pPr>
      <w:bookmarkStart w:id="3" w:name="_Toc120727206"/>
      <w:r w:rsidRPr="00E55A19">
        <w:rPr>
          <w:b/>
          <w:bCs/>
        </w:rPr>
        <w:t>Long-term treasury investments</w:t>
      </w:r>
      <w:r w:rsidRPr="00E55A19">
        <w:t>, (including pooled funds), are to be classed as commercial investments unless justified by a cash flow business case;</w:t>
      </w:r>
      <w:bookmarkEnd w:id="3"/>
      <w:r w:rsidR="002A4ADD">
        <w:t xml:space="preserve"> </w:t>
      </w:r>
      <w:r w:rsidR="00E17573">
        <w:t xml:space="preserve">For the Commissioners investments this would mean the CCLA investment would be categorised as a commercial investment. </w:t>
      </w:r>
    </w:p>
    <w:p w14:paraId="01934D12" w14:textId="77777777" w:rsidR="00F90F81" w:rsidRPr="00E55A19" w:rsidRDefault="00F90F81" w:rsidP="00F90F81">
      <w:pPr>
        <w:ind w:hanging="436"/>
      </w:pPr>
    </w:p>
    <w:p w14:paraId="0B005654" w14:textId="77777777" w:rsidR="00F90F81" w:rsidRPr="00E55A19" w:rsidRDefault="00F90F81" w:rsidP="00F90F81">
      <w:pPr>
        <w:pStyle w:val="ListParagraph"/>
        <w:numPr>
          <w:ilvl w:val="0"/>
          <w:numId w:val="28"/>
        </w:numPr>
        <w:rPr>
          <w:b/>
          <w:bCs/>
        </w:rPr>
      </w:pPr>
      <w:bookmarkStart w:id="4" w:name="_Toc120727207"/>
      <w:r w:rsidRPr="00E55A19">
        <w:rPr>
          <w:b/>
          <w:bCs/>
        </w:rPr>
        <w:t xml:space="preserve">Pooled funds </w:t>
      </w:r>
      <w:r w:rsidRPr="00E55A19">
        <w:t>are to be included in the indicator for principal sums maturing in years beyond the initial budget year;</w:t>
      </w:r>
      <w:bookmarkEnd w:id="4"/>
    </w:p>
    <w:p w14:paraId="26FC7D21" w14:textId="77777777" w:rsidR="00F90F81" w:rsidRPr="00E55A19" w:rsidRDefault="00F90F81" w:rsidP="00F90F81">
      <w:pPr>
        <w:ind w:hanging="436"/>
        <w:rPr>
          <w:b/>
          <w:bCs/>
        </w:rPr>
      </w:pPr>
    </w:p>
    <w:p w14:paraId="3F592B33" w14:textId="77777777" w:rsidR="00F90F81" w:rsidRDefault="00F90F81" w:rsidP="00F90F81">
      <w:pPr>
        <w:pStyle w:val="ListParagraph"/>
        <w:numPr>
          <w:ilvl w:val="0"/>
          <w:numId w:val="28"/>
        </w:numPr>
      </w:pPr>
      <w:bookmarkStart w:id="5" w:name="_Toc120727208"/>
      <w:r w:rsidRPr="00E55A19">
        <w:t xml:space="preserve">Amendment to the </w:t>
      </w:r>
      <w:r w:rsidRPr="00E55A19">
        <w:rPr>
          <w:b/>
          <w:bCs/>
        </w:rPr>
        <w:t>knowledge and skills register</w:t>
      </w:r>
      <w:r w:rsidRPr="00E55A19">
        <w:t xml:space="preserve"> for officers and members involved in the treasury management function - to be proportionate to the size and complexity of the treasury management conducted by each authority;</w:t>
      </w:r>
      <w:bookmarkEnd w:id="5"/>
      <w:r w:rsidRPr="00E55A19">
        <w:t xml:space="preserve"> </w:t>
      </w:r>
    </w:p>
    <w:p w14:paraId="5ADB1B4E" w14:textId="77777777" w:rsidR="00F90F81" w:rsidRPr="00E55A19" w:rsidRDefault="00F90F81" w:rsidP="00F90F81">
      <w:pPr>
        <w:pStyle w:val="ListParagraph"/>
        <w:ind w:hanging="436"/>
      </w:pPr>
    </w:p>
    <w:p w14:paraId="22B36457" w14:textId="4DECAD15" w:rsidR="00F90F81" w:rsidRDefault="00F90F81" w:rsidP="00F90F81">
      <w:pPr>
        <w:pStyle w:val="ListParagraph"/>
        <w:numPr>
          <w:ilvl w:val="0"/>
          <w:numId w:val="28"/>
        </w:numPr>
      </w:pPr>
      <w:r w:rsidRPr="00E55A19">
        <w:rPr>
          <w:b/>
          <w:bCs/>
        </w:rPr>
        <w:t>Reporting to members is to be done quarterly.</w:t>
      </w:r>
      <w:r w:rsidRPr="00E55A19">
        <w:t xml:space="preserve">  Specifically, the Chief Finance Officer (CFO) is required to establish procedures to monitor and report performance against all forward-looking prudential indicators at least quarterly. The CFO is expected to establish a measurement and reporting process that highlights significant actual or forecast deviations from the approved indicators.  However, monitoring of prudential indicators, including forecast debt and investments</w:t>
      </w:r>
      <w:r>
        <w:t xml:space="preserve"> </w:t>
      </w:r>
      <w:r w:rsidRPr="00E55A19">
        <w:t>should be reported as part of the integrated revenue, capital and balance sheet monitoring;</w:t>
      </w:r>
      <w:r w:rsidR="003E09FB">
        <w:t xml:space="preserve"> and</w:t>
      </w:r>
    </w:p>
    <w:p w14:paraId="571D31C0" w14:textId="77777777" w:rsidR="00F90F81" w:rsidRPr="00E55A19" w:rsidRDefault="00F90F81" w:rsidP="00F90F81">
      <w:pPr>
        <w:ind w:hanging="436"/>
      </w:pPr>
    </w:p>
    <w:p w14:paraId="3C31FD2E" w14:textId="1D54B545" w:rsidR="00832F21" w:rsidRPr="00832F21" w:rsidRDefault="00F90F81" w:rsidP="00832F21">
      <w:pPr>
        <w:pStyle w:val="ListParagraph"/>
        <w:numPr>
          <w:ilvl w:val="0"/>
          <w:numId w:val="28"/>
        </w:numPr>
      </w:pPr>
      <w:bookmarkStart w:id="6" w:name="_Toc120727209"/>
      <w:r w:rsidRPr="00832F21">
        <w:rPr>
          <w:b/>
          <w:bCs/>
        </w:rPr>
        <w:t xml:space="preserve">Environmental, social and governance (ESG) </w:t>
      </w:r>
      <w:r w:rsidRPr="00E55A19">
        <w:t xml:space="preserve">issues to be addressed within </w:t>
      </w:r>
      <w:r w:rsidR="00C814DD">
        <w:t>the</w:t>
      </w:r>
      <w:r w:rsidRPr="00E55A19">
        <w:t xml:space="preserve"> </w:t>
      </w:r>
      <w:r w:rsidR="00C814DD">
        <w:t>Commissioner</w:t>
      </w:r>
      <w:r w:rsidRPr="00E55A19">
        <w:t>’s treasury management policies and practices</w:t>
      </w:r>
      <w:bookmarkEnd w:id="6"/>
      <w:r>
        <w:t>.</w:t>
      </w:r>
      <w:r w:rsidR="00832F21" w:rsidRPr="00832F21">
        <w:t xml:space="preserve"> This is a developing area, and it is not implied that the organisation’s ESG policy will currently include ESG scoring or other real-time ESG criteria at individual investment level. </w:t>
      </w:r>
      <w:r w:rsidR="002A4ADD">
        <w:t xml:space="preserve">The supporting guidance provides no further details. </w:t>
      </w:r>
    </w:p>
    <w:p w14:paraId="160A6BEB" w14:textId="198105FC" w:rsidR="00F90F81" w:rsidRPr="00E55A19" w:rsidRDefault="00F90F81" w:rsidP="00832F21">
      <w:pPr>
        <w:pStyle w:val="ListParagraph"/>
      </w:pPr>
    </w:p>
    <w:p w14:paraId="28DACFB1" w14:textId="77777777" w:rsidR="00F90F81" w:rsidRDefault="00F90F81" w:rsidP="00F90F81">
      <w:pPr>
        <w:rPr>
          <w:b/>
          <w:bCs/>
        </w:rPr>
      </w:pPr>
      <w:bookmarkStart w:id="7" w:name="_Toc120727210"/>
    </w:p>
    <w:p w14:paraId="6D5E916A" w14:textId="77777777" w:rsidR="00F90F81" w:rsidRDefault="00F90F81" w:rsidP="00F90F81">
      <w:pPr>
        <w:rPr>
          <w:b/>
          <w:bCs/>
        </w:rPr>
      </w:pPr>
      <w:r w:rsidRPr="00E55A19">
        <w:rPr>
          <w:b/>
          <w:bCs/>
        </w:rPr>
        <w:t>The main requirements of the Prudential Code relating to service and commercial investments are: -</w:t>
      </w:r>
      <w:bookmarkEnd w:id="7"/>
      <w:r w:rsidRPr="00E55A19">
        <w:rPr>
          <w:b/>
          <w:bCs/>
        </w:rPr>
        <w:t xml:space="preserve"> </w:t>
      </w:r>
    </w:p>
    <w:p w14:paraId="5FFD80B9" w14:textId="77777777" w:rsidR="00F90F81" w:rsidRPr="00E55A19" w:rsidRDefault="00F90F81" w:rsidP="00F90F81">
      <w:pPr>
        <w:rPr>
          <w:b/>
          <w:bCs/>
        </w:rPr>
      </w:pPr>
    </w:p>
    <w:p w14:paraId="1B4024BB" w14:textId="2AF0F0BB" w:rsidR="00F90F81" w:rsidRPr="00E55A19" w:rsidRDefault="00F90F81" w:rsidP="00F90F81">
      <w:pPr>
        <w:pStyle w:val="ListParagraph"/>
        <w:numPr>
          <w:ilvl w:val="0"/>
          <w:numId w:val="26"/>
        </w:numPr>
      </w:pPr>
      <w:bookmarkStart w:id="8" w:name="_Toc120727211"/>
      <w:r w:rsidRPr="00E55A19">
        <w:t>The risks associated with service and commercial investments should be proportionate to their financial capacity – i.e. that plausible losses could be absorbed in budgets or reserves without unmanageable detriment to services;</w:t>
      </w:r>
      <w:bookmarkEnd w:id="8"/>
    </w:p>
    <w:p w14:paraId="06CDE684" w14:textId="1AFBD6D5" w:rsidR="00F90F81" w:rsidRPr="00E55A19" w:rsidRDefault="00C814DD" w:rsidP="00F90F81">
      <w:pPr>
        <w:pStyle w:val="ListParagraph"/>
        <w:numPr>
          <w:ilvl w:val="0"/>
          <w:numId w:val="26"/>
        </w:numPr>
      </w:pPr>
      <w:bookmarkStart w:id="9" w:name="_Toc120727212"/>
      <w:r>
        <w:t>The Commissioner</w:t>
      </w:r>
      <w:r w:rsidR="00F90F81" w:rsidRPr="00E55A19">
        <w:t xml:space="preserve"> must not borrow to invest for the primary purpose of commercial return;</w:t>
      </w:r>
      <w:bookmarkEnd w:id="9"/>
    </w:p>
    <w:p w14:paraId="2410FB7F" w14:textId="77777777" w:rsidR="00F90F81" w:rsidRPr="00E55A19" w:rsidRDefault="00F90F81" w:rsidP="00F90F81">
      <w:pPr>
        <w:pStyle w:val="ListParagraph"/>
        <w:numPr>
          <w:ilvl w:val="0"/>
          <w:numId w:val="26"/>
        </w:numPr>
      </w:pPr>
      <w:bookmarkStart w:id="10" w:name="_Toc120727213"/>
      <w:r w:rsidRPr="00E55A19">
        <w:t>It is not prudent for local authorities to make any investment or spending decision that will increase the CFR, and so may lead to new borrowing, unless directly and primarily related to the functions of the authority, and where any commercial returns are either related to the financial viability of the project in question or otherwise incidental to the primary purpose;</w:t>
      </w:r>
      <w:bookmarkEnd w:id="10"/>
    </w:p>
    <w:p w14:paraId="3A8CEAB0" w14:textId="77777777" w:rsidR="00F90F81" w:rsidRPr="00E55A19" w:rsidRDefault="00F90F81" w:rsidP="00F90F81">
      <w:pPr>
        <w:pStyle w:val="ListParagraph"/>
        <w:numPr>
          <w:ilvl w:val="0"/>
          <w:numId w:val="26"/>
        </w:numPr>
      </w:pPr>
      <w:r w:rsidRPr="00E55A19">
        <w:t>An annual review should be conducted to evaluate whether commercial investments should be sold to release funds to finance new capital expenditure or refinance maturing debt;</w:t>
      </w:r>
    </w:p>
    <w:p w14:paraId="4B143A94" w14:textId="77777777" w:rsidR="00F90F81" w:rsidRPr="00E55A19" w:rsidRDefault="00F90F81" w:rsidP="00F90F81">
      <w:pPr>
        <w:pStyle w:val="ListParagraph"/>
        <w:numPr>
          <w:ilvl w:val="0"/>
          <w:numId w:val="26"/>
        </w:numPr>
      </w:pPr>
      <w:bookmarkStart w:id="11" w:name="_Toc120727214"/>
      <w:r w:rsidRPr="00E55A19">
        <w:lastRenderedPageBreak/>
        <w:t>A prudential indicator is required for the net income from commercial and service investments as a proportion of the net revenue stream;</w:t>
      </w:r>
      <w:bookmarkEnd w:id="11"/>
    </w:p>
    <w:p w14:paraId="62181508" w14:textId="77777777" w:rsidR="00F90F81" w:rsidRPr="00E55A19" w:rsidRDefault="00F90F81" w:rsidP="00F90F81">
      <w:pPr>
        <w:pStyle w:val="ListParagraph"/>
        <w:numPr>
          <w:ilvl w:val="0"/>
          <w:numId w:val="26"/>
        </w:numPr>
      </w:pPr>
      <w:bookmarkStart w:id="12" w:name="_Toc120727215"/>
      <w:r w:rsidRPr="00E55A19">
        <w:t>Create new Investment Management Practices to manage risks associated with non-treasury investments, (similar to the current Treasury Management Practices).</w:t>
      </w:r>
      <w:bookmarkEnd w:id="12"/>
    </w:p>
    <w:p w14:paraId="50EBC8DE" w14:textId="77777777" w:rsidR="00F90F81" w:rsidRDefault="00F90F81" w:rsidP="00F90F81">
      <w:pPr>
        <w:rPr>
          <w:b/>
          <w:bCs/>
        </w:rPr>
      </w:pPr>
      <w:bookmarkStart w:id="13" w:name="_Toc120727216"/>
    </w:p>
    <w:p w14:paraId="0085DB3F" w14:textId="7115D134" w:rsidR="00F90F81" w:rsidRDefault="00C814DD" w:rsidP="00F90F81">
      <w:pPr>
        <w:rPr>
          <w:b/>
          <w:bCs/>
        </w:rPr>
      </w:pPr>
      <w:r>
        <w:rPr>
          <w:b/>
          <w:bCs/>
        </w:rPr>
        <w:t>The</w:t>
      </w:r>
      <w:r w:rsidR="00F90F81" w:rsidRPr="00E55A19">
        <w:rPr>
          <w:b/>
          <w:bCs/>
        </w:rPr>
        <w:t xml:space="preserve"> Capital Strategy or Annual Investment Strategy should include: -</w:t>
      </w:r>
      <w:bookmarkEnd w:id="13"/>
    </w:p>
    <w:p w14:paraId="2A38B743" w14:textId="77777777" w:rsidR="00F90F81" w:rsidRPr="00E55A19" w:rsidRDefault="00F90F81" w:rsidP="00F90F81">
      <w:pPr>
        <w:rPr>
          <w:b/>
          <w:bCs/>
        </w:rPr>
      </w:pPr>
    </w:p>
    <w:p w14:paraId="5CDB41BB" w14:textId="0F8C52C2" w:rsidR="00F90F81" w:rsidRDefault="00F90F81" w:rsidP="003D4ADA">
      <w:pPr>
        <w:pStyle w:val="ListParagraph"/>
        <w:numPr>
          <w:ilvl w:val="0"/>
          <w:numId w:val="27"/>
        </w:numPr>
      </w:pPr>
      <w:bookmarkStart w:id="14" w:name="_Toc120727217"/>
      <w:r w:rsidRPr="00E55A19">
        <w:t xml:space="preserve">The approach to investments for service or commercial purposes (together referred to as non-treasury investments), including defining the </w:t>
      </w:r>
      <w:r w:rsidR="00C814DD">
        <w:t>Commissioner’s</w:t>
      </w:r>
      <w:r w:rsidRPr="00E55A19">
        <w:t xml:space="preserve"> objectives, risk appetite and risk management in respect of these investments, and processes ensuring effective due diligence;</w:t>
      </w:r>
      <w:bookmarkEnd w:id="14"/>
      <w:r w:rsidRPr="00E55A19">
        <w:t xml:space="preserve"> </w:t>
      </w:r>
    </w:p>
    <w:p w14:paraId="5449EB25" w14:textId="42329E55" w:rsidR="00F90F81" w:rsidRDefault="00F90F81" w:rsidP="003D4ADA">
      <w:pPr>
        <w:pStyle w:val="ListParagraph"/>
        <w:numPr>
          <w:ilvl w:val="0"/>
          <w:numId w:val="27"/>
        </w:numPr>
      </w:pPr>
      <w:bookmarkStart w:id="15" w:name="_Toc120727218"/>
      <w:r w:rsidRPr="001A4D09">
        <w:t xml:space="preserve">An assessment of affordability, prudence and proportionality in respect of the </w:t>
      </w:r>
      <w:r w:rsidR="00C814DD">
        <w:t>Commissioner</w:t>
      </w:r>
      <w:r w:rsidRPr="001A4D09">
        <w:t>’s overall financial capacity (i.e. whether plausible losses could be absorbed in budgets or reserves without unmanageable detriment to</w:t>
      </w:r>
      <w:r w:rsidR="000A1C5E">
        <w:t xml:space="preserve"> </w:t>
      </w:r>
      <w:r w:rsidRPr="001A4D09">
        <w:t>services);</w:t>
      </w:r>
      <w:bookmarkEnd w:id="15"/>
    </w:p>
    <w:p w14:paraId="43F3314F" w14:textId="77777777" w:rsidR="00F90F81" w:rsidRDefault="00F90F81" w:rsidP="003D4ADA">
      <w:pPr>
        <w:pStyle w:val="ListParagraph"/>
        <w:numPr>
          <w:ilvl w:val="0"/>
          <w:numId w:val="27"/>
        </w:numPr>
      </w:pPr>
      <w:bookmarkStart w:id="16" w:name="_Toc120727219"/>
      <w:r w:rsidRPr="001A4D09">
        <w:t>Details of financial and other risks of undertaking investments for service or commercial purposes and how these are managed;</w:t>
      </w:r>
      <w:bookmarkEnd w:id="16"/>
      <w:r w:rsidRPr="001A4D09">
        <w:t xml:space="preserve"> </w:t>
      </w:r>
    </w:p>
    <w:p w14:paraId="0F4140DD" w14:textId="77777777" w:rsidR="00F90F81" w:rsidRDefault="00F90F81" w:rsidP="003D4ADA">
      <w:pPr>
        <w:pStyle w:val="ListParagraph"/>
        <w:numPr>
          <w:ilvl w:val="0"/>
          <w:numId w:val="27"/>
        </w:numPr>
      </w:pPr>
      <w:bookmarkStart w:id="17" w:name="_Toc120727220"/>
      <w:r w:rsidRPr="001A4D09">
        <w:t>Limits on total investments for service purposes and for commercial purposes respectively (consistent with any limits required by other statutory guidance on investments);</w:t>
      </w:r>
      <w:bookmarkEnd w:id="17"/>
    </w:p>
    <w:p w14:paraId="2E223995" w14:textId="422C49C4" w:rsidR="00F90F81" w:rsidRDefault="00F90F81" w:rsidP="003D4ADA">
      <w:pPr>
        <w:pStyle w:val="ListParagraph"/>
        <w:numPr>
          <w:ilvl w:val="0"/>
          <w:numId w:val="27"/>
        </w:numPr>
      </w:pPr>
      <w:bookmarkStart w:id="18" w:name="_Toc120727221"/>
      <w:r w:rsidRPr="001A4D09">
        <w:t>Requirements for independent and expert advice and scrutiny arrangements</w:t>
      </w:r>
      <w:bookmarkEnd w:id="18"/>
      <w:r w:rsidR="000A1C5E">
        <w:t>;</w:t>
      </w:r>
    </w:p>
    <w:p w14:paraId="31EBE92A" w14:textId="151C262A" w:rsidR="00F90F81" w:rsidRPr="001A4D09" w:rsidRDefault="00C814DD" w:rsidP="003D4ADA">
      <w:pPr>
        <w:pStyle w:val="ListParagraph"/>
        <w:numPr>
          <w:ilvl w:val="0"/>
          <w:numId w:val="27"/>
        </w:numPr>
      </w:pPr>
      <w:bookmarkStart w:id="19" w:name="_Toc120727222"/>
      <w:r>
        <w:t>A s</w:t>
      </w:r>
      <w:r w:rsidR="00F90F81" w:rsidRPr="001A4D09">
        <w:t>tate</w:t>
      </w:r>
      <w:r>
        <w:t>ment of</w:t>
      </w:r>
      <w:r w:rsidR="00F90F81" w:rsidRPr="001A4D09">
        <w:t xml:space="preserve"> compliance with paragraph 51 of the Prudential Code in relation to investments for commercial purposes, in particular the requirement that </w:t>
      </w:r>
      <w:r w:rsidR="000A1C5E">
        <w:t>the Commissioner</w:t>
      </w:r>
      <w:r w:rsidR="00F90F81" w:rsidRPr="001A4D09">
        <w:t xml:space="preserve"> must not borrow to invest primarily for financial return;</w:t>
      </w:r>
      <w:bookmarkEnd w:id="19"/>
      <w:r w:rsidR="00F90F81" w:rsidRPr="001A4D09">
        <w:t xml:space="preserve"> </w:t>
      </w:r>
    </w:p>
    <w:p w14:paraId="44D15FF2" w14:textId="77777777" w:rsidR="007159D8" w:rsidRDefault="007159D8" w:rsidP="007159D8">
      <w:pPr>
        <w:ind w:left="426" w:right="28" w:hanging="426"/>
        <w:jc w:val="both"/>
      </w:pPr>
    </w:p>
    <w:p w14:paraId="0CE521D3" w14:textId="77777777" w:rsidR="00247306" w:rsidRPr="00247306" w:rsidRDefault="00247306" w:rsidP="00B21C24"/>
    <w:p w14:paraId="4D4F635C" w14:textId="244E3532" w:rsidR="00247306" w:rsidRPr="00247306" w:rsidRDefault="00BA13EA" w:rsidP="00A42023">
      <w:pPr>
        <w:ind w:left="426" w:hanging="426"/>
        <w:jc w:val="both"/>
        <w:rPr>
          <w:rFonts w:cs="Times New Roman"/>
          <w:lang w:eastAsia="en-US"/>
        </w:rPr>
      </w:pPr>
      <w:r>
        <w:t>2.5</w:t>
      </w:r>
      <w:r>
        <w:tab/>
      </w:r>
      <w:r w:rsidR="007700A5">
        <w:rPr>
          <w:rFonts w:cs="Times New Roman"/>
          <w:lang w:eastAsia="en-US"/>
        </w:rPr>
        <w:t xml:space="preserve">The </w:t>
      </w:r>
      <w:r w:rsidR="00247306" w:rsidRPr="00247306">
        <w:rPr>
          <w:rFonts w:cs="Times New Roman"/>
          <w:lang w:eastAsia="en-US"/>
        </w:rPr>
        <w:t>C</w:t>
      </w:r>
      <w:r w:rsidR="007700A5">
        <w:rPr>
          <w:rFonts w:cs="Times New Roman"/>
          <w:lang w:eastAsia="en-US"/>
        </w:rPr>
        <w:t>ommissioner</w:t>
      </w:r>
      <w:r w:rsidR="00247306" w:rsidRPr="00247306">
        <w:rPr>
          <w:rFonts w:cs="Times New Roman"/>
          <w:lang w:eastAsia="en-US"/>
        </w:rPr>
        <w:t>'s Treasury Management activ</w:t>
      </w:r>
      <w:r w:rsidR="007700A5">
        <w:rPr>
          <w:rFonts w:cs="Times New Roman"/>
          <w:lang w:eastAsia="en-US"/>
        </w:rPr>
        <w:t xml:space="preserve">ity is governed by the following </w:t>
      </w:r>
      <w:r w:rsidR="00247306" w:rsidRPr="00247306">
        <w:rPr>
          <w:rFonts w:cs="Times New Roman"/>
          <w:lang w:eastAsia="en-US"/>
        </w:rPr>
        <w:t>documents:</w:t>
      </w:r>
    </w:p>
    <w:p w14:paraId="79A393BD" w14:textId="77777777" w:rsidR="00247306" w:rsidRPr="00247306" w:rsidRDefault="00247306" w:rsidP="00A42023">
      <w:pPr>
        <w:spacing w:line="276" w:lineRule="auto"/>
        <w:ind w:left="720" w:hanging="720"/>
        <w:jc w:val="both"/>
        <w:rPr>
          <w:rFonts w:cs="Times New Roman"/>
          <w:lang w:eastAsia="en-US"/>
        </w:rPr>
      </w:pPr>
    </w:p>
    <w:p w14:paraId="0D3B2612" w14:textId="61EBB737" w:rsidR="00247306" w:rsidRPr="00BD5CA1" w:rsidRDefault="00247306" w:rsidP="00C22B55">
      <w:pPr>
        <w:numPr>
          <w:ilvl w:val="0"/>
          <w:numId w:val="5"/>
        </w:numPr>
        <w:spacing w:after="200" w:line="276" w:lineRule="auto"/>
        <w:jc w:val="both"/>
        <w:rPr>
          <w:rFonts w:cs="Times New Roman"/>
          <w:b/>
          <w:lang w:eastAsia="en-US"/>
        </w:rPr>
      </w:pPr>
      <w:r w:rsidRPr="00247306">
        <w:rPr>
          <w:rFonts w:cs="Times New Roman"/>
          <w:b/>
          <w:bCs/>
          <w:lang w:eastAsia="en-US"/>
        </w:rPr>
        <w:t>Treasury Policy Statement.</w:t>
      </w:r>
      <w:r w:rsidRPr="00247306">
        <w:rPr>
          <w:rFonts w:cs="Times New Roman"/>
          <w:lang w:eastAsia="en-US"/>
        </w:rPr>
        <w:t xml:space="preserve">  This is a statement, defining treasury management and the general approach to it.  It emphasises firstly the control of risk and secondly the pursuit of best value as the main factors defining the approach.  A copy is attached at </w:t>
      </w:r>
      <w:r w:rsidRPr="00BD5CA1">
        <w:rPr>
          <w:rFonts w:cs="Times New Roman"/>
          <w:b/>
          <w:lang w:eastAsia="en-US"/>
        </w:rPr>
        <w:t>Appendix A.</w:t>
      </w:r>
    </w:p>
    <w:p w14:paraId="21736D30" w14:textId="7BFF5E50" w:rsidR="00247306" w:rsidRPr="00077F36" w:rsidRDefault="00247306" w:rsidP="00C22B55">
      <w:pPr>
        <w:numPr>
          <w:ilvl w:val="0"/>
          <w:numId w:val="5"/>
        </w:numPr>
        <w:spacing w:after="200" w:line="276" w:lineRule="auto"/>
        <w:jc w:val="both"/>
        <w:rPr>
          <w:rFonts w:cs="Times New Roman"/>
          <w:lang w:eastAsia="en-US"/>
        </w:rPr>
      </w:pPr>
      <w:r w:rsidRPr="00247306">
        <w:rPr>
          <w:rFonts w:cs="Times New Roman"/>
          <w:b/>
          <w:bCs/>
          <w:lang w:eastAsia="en-US"/>
        </w:rPr>
        <w:t>Treasury Management Practices</w:t>
      </w:r>
      <w:r w:rsidRPr="00247306">
        <w:rPr>
          <w:rFonts w:cs="Times New Roman"/>
          <w:lang w:eastAsia="en-US"/>
        </w:rPr>
        <w:t xml:space="preserve"> (TMPs) and Schedules to TMPs. TMPs define the overall approach to various aspects of treasury management, including such things as risk management, performance monitoring and management, segregation of duties and dealing arrangements, cash flow management, money laundering and staff training. The Schedules to TMPs deal with the criteria for selecting third parties (banks and bui</w:t>
      </w:r>
      <w:r w:rsidR="007700A5">
        <w:rPr>
          <w:rFonts w:cs="Times New Roman"/>
          <w:lang w:eastAsia="en-US"/>
        </w:rPr>
        <w:t xml:space="preserve">lding societies) with whom the </w:t>
      </w:r>
      <w:r w:rsidRPr="00247306">
        <w:rPr>
          <w:rFonts w:cs="Times New Roman"/>
          <w:lang w:eastAsia="en-US"/>
        </w:rPr>
        <w:t>C</w:t>
      </w:r>
      <w:r w:rsidR="007700A5">
        <w:rPr>
          <w:rFonts w:cs="Times New Roman"/>
          <w:lang w:eastAsia="en-US"/>
        </w:rPr>
        <w:t>ommissioner</w:t>
      </w:r>
      <w:r w:rsidRPr="00247306">
        <w:rPr>
          <w:rFonts w:cs="Times New Roman"/>
          <w:lang w:eastAsia="en-US"/>
        </w:rPr>
        <w:t xml:space="preserve"> is prepared to deposit funds.  The TMPs and Schedules are reviewed regularly by the C</w:t>
      </w:r>
      <w:r w:rsidR="007700A5">
        <w:rPr>
          <w:rFonts w:cs="Times New Roman"/>
          <w:lang w:eastAsia="en-US"/>
        </w:rPr>
        <w:t>ommissioner</w:t>
      </w:r>
      <w:r w:rsidRPr="00247306">
        <w:rPr>
          <w:rFonts w:cs="Times New Roman"/>
          <w:lang w:eastAsia="en-US"/>
        </w:rPr>
        <w:t xml:space="preserve">’s CFO and </w:t>
      </w:r>
      <w:r w:rsidR="00E36B3A">
        <w:rPr>
          <w:rFonts w:cs="Times New Roman"/>
          <w:lang w:eastAsia="en-US"/>
        </w:rPr>
        <w:t xml:space="preserve">electronic </w:t>
      </w:r>
      <w:r w:rsidRPr="00247306">
        <w:rPr>
          <w:rFonts w:cs="Times New Roman"/>
          <w:lang w:eastAsia="en-US"/>
        </w:rPr>
        <w:t xml:space="preserve">copies are available on request. </w:t>
      </w:r>
    </w:p>
    <w:p w14:paraId="64308C5F" w14:textId="6AF60C1E" w:rsidR="00247306" w:rsidRPr="00C55CA8" w:rsidRDefault="00247306" w:rsidP="00C22B55">
      <w:pPr>
        <w:numPr>
          <w:ilvl w:val="0"/>
          <w:numId w:val="5"/>
        </w:numPr>
        <w:spacing w:after="200" w:line="276" w:lineRule="auto"/>
        <w:jc w:val="both"/>
        <w:rPr>
          <w:rFonts w:cs="Times New Roman"/>
          <w:b/>
          <w:bCs/>
          <w:lang w:eastAsia="en-US"/>
        </w:rPr>
      </w:pPr>
      <w:r w:rsidRPr="00247306">
        <w:rPr>
          <w:rFonts w:cs="Times New Roman"/>
          <w:b/>
          <w:bCs/>
          <w:lang w:eastAsia="en-US"/>
        </w:rPr>
        <w:t xml:space="preserve">Annual Treasury Strategy Statement </w:t>
      </w:r>
      <w:r w:rsidRPr="00247306">
        <w:rPr>
          <w:rFonts w:cs="Times New Roman"/>
          <w:lang w:eastAsia="en-US"/>
        </w:rPr>
        <w:t>details the expected activities of the treasury fu</w:t>
      </w:r>
      <w:r w:rsidR="002B0FB2">
        <w:rPr>
          <w:rFonts w:cs="Times New Roman"/>
          <w:lang w:eastAsia="en-US"/>
        </w:rPr>
        <w:t>nction in the financial year 202</w:t>
      </w:r>
      <w:r w:rsidR="00731995">
        <w:rPr>
          <w:rFonts w:cs="Times New Roman"/>
          <w:lang w:eastAsia="en-US"/>
        </w:rPr>
        <w:t>3</w:t>
      </w:r>
      <w:r w:rsidR="003E7D02">
        <w:rPr>
          <w:rFonts w:cs="Times New Roman"/>
          <w:lang w:eastAsia="en-US"/>
        </w:rPr>
        <w:t>-2</w:t>
      </w:r>
      <w:r w:rsidR="00731995">
        <w:rPr>
          <w:rFonts w:cs="Times New Roman"/>
          <w:lang w:eastAsia="en-US"/>
        </w:rPr>
        <w:t>4</w:t>
      </w:r>
      <w:r w:rsidRPr="00247306">
        <w:rPr>
          <w:rFonts w:cs="Times New Roman"/>
          <w:lang w:eastAsia="en-US"/>
        </w:rPr>
        <w:t xml:space="preserve">. A copy is attached at </w:t>
      </w:r>
      <w:r w:rsidRPr="00BD5CA1">
        <w:rPr>
          <w:rFonts w:cs="Times New Roman"/>
          <w:b/>
          <w:lang w:eastAsia="en-US"/>
        </w:rPr>
        <w:t>Appendix B.</w:t>
      </w:r>
    </w:p>
    <w:p w14:paraId="7C3BB8A1" w14:textId="370FD658" w:rsidR="00C55CA8" w:rsidRDefault="00C55CA8" w:rsidP="00C55CA8">
      <w:pPr>
        <w:spacing w:after="200" w:line="276" w:lineRule="auto"/>
        <w:jc w:val="both"/>
        <w:rPr>
          <w:rFonts w:cs="Times New Roman"/>
          <w:b/>
          <w:bCs/>
          <w:lang w:eastAsia="en-US"/>
        </w:rPr>
      </w:pPr>
    </w:p>
    <w:p w14:paraId="759EC302" w14:textId="77777777" w:rsidR="00850DE8" w:rsidRPr="00247306" w:rsidRDefault="00850DE8" w:rsidP="00C55CA8">
      <w:pPr>
        <w:spacing w:after="200" w:line="276" w:lineRule="auto"/>
        <w:jc w:val="both"/>
        <w:rPr>
          <w:rFonts w:cs="Times New Roman"/>
          <w:b/>
          <w:bCs/>
          <w:lang w:eastAsia="en-US"/>
        </w:rPr>
      </w:pPr>
    </w:p>
    <w:p w14:paraId="358612B9" w14:textId="1B4E3A4F" w:rsidR="005C4654" w:rsidRPr="00544436" w:rsidRDefault="005C4654" w:rsidP="00A42023">
      <w:pPr>
        <w:pStyle w:val="Heading1"/>
        <w:ind w:left="426" w:hanging="426"/>
        <w:jc w:val="both"/>
        <w:rPr>
          <w:b w:val="0"/>
        </w:rPr>
      </w:pPr>
      <w:r w:rsidRPr="00544436">
        <w:rPr>
          <w:rFonts w:ascii="Arial" w:hAnsi="Arial" w:cs="Arial"/>
          <w:sz w:val="22"/>
          <w:szCs w:val="22"/>
        </w:rPr>
        <w:lastRenderedPageBreak/>
        <w:t xml:space="preserve">3. </w:t>
      </w:r>
      <w:r w:rsidRPr="00544436">
        <w:rPr>
          <w:rFonts w:ascii="Arial" w:hAnsi="Arial" w:cs="Arial"/>
          <w:sz w:val="22"/>
          <w:szCs w:val="22"/>
        </w:rPr>
        <w:tab/>
      </w:r>
      <w:r w:rsidR="00701751" w:rsidRPr="00544436">
        <w:rPr>
          <w:rFonts w:ascii="Arial" w:hAnsi="Arial" w:cs="Arial"/>
          <w:sz w:val="22"/>
          <w:szCs w:val="22"/>
        </w:rPr>
        <w:t>DEB</w:t>
      </w:r>
      <w:r w:rsidR="0088767C" w:rsidRPr="00544436">
        <w:rPr>
          <w:rFonts w:ascii="Arial" w:hAnsi="Arial" w:cs="Arial"/>
          <w:sz w:val="22"/>
          <w:szCs w:val="22"/>
        </w:rPr>
        <w:t>T</w:t>
      </w:r>
      <w:r w:rsidR="00701751" w:rsidRPr="00544436">
        <w:rPr>
          <w:rFonts w:ascii="Arial" w:hAnsi="Arial" w:cs="Arial"/>
          <w:sz w:val="22"/>
          <w:szCs w:val="22"/>
        </w:rPr>
        <w:t xml:space="preserve"> MANAG</w:t>
      </w:r>
      <w:r w:rsidR="0088767C" w:rsidRPr="00544436">
        <w:rPr>
          <w:rFonts w:ascii="Arial" w:hAnsi="Arial" w:cs="Arial"/>
          <w:sz w:val="22"/>
          <w:szCs w:val="22"/>
        </w:rPr>
        <w:t>E</w:t>
      </w:r>
      <w:r w:rsidR="00701751" w:rsidRPr="00544436">
        <w:rPr>
          <w:rFonts w:ascii="Arial" w:hAnsi="Arial" w:cs="Arial"/>
          <w:sz w:val="22"/>
          <w:szCs w:val="22"/>
        </w:rPr>
        <w:t>M</w:t>
      </w:r>
      <w:r w:rsidR="0088767C" w:rsidRPr="00544436">
        <w:rPr>
          <w:rFonts w:ascii="Arial" w:hAnsi="Arial" w:cs="Arial"/>
          <w:sz w:val="22"/>
          <w:szCs w:val="22"/>
        </w:rPr>
        <w:t>E</w:t>
      </w:r>
      <w:r w:rsidR="00701751" w:rsidRPr="00544436">
        <w:rPr>
          <w:rFonts w:ascii="Arial" w:hAnsi="Arial" w:cs="Arial"/>
          <w:sz w:val="22"/>
          <w:szCs w:val="22"/>
        </w:rPr>
        <w:t>N</w:t>
      </w:r>
      <w:r w:rsidR="0088767C" w:rsidRPr="00544436">
        <w:rPr>
          <w:rFonts w:ascii="Arial" w:hAnsi="Arial" w:cs="Arial"/>
          <w:sz w:val="22"/>
          <w:szCs w:val="22"/>
        </w:rPr>
        <w:t>T A</w:t>
      </w:r>
      <w:r w:rsidR="00701751" w:rsidRPr="00544436">
        <w:rPr>
          <w:rFonts w:ascii="Arial" w:hAnsi="Arial" w:cs="Arial"/>
          <w:sz w:val="22"/>
          <w:szCs w:val="22"/>
        </w:rPr>
        <w:t>CTIVITY 20</w:t>
      </w:r>
      <w:r w:rsidR="003E7D02">
        <w:rPr>
          <w:rFonts w:ascii="Arial" w:hAnsi="Arial" w:cs="Arial"/>
          <w:sz w:val="22"/>
          <w:szCs w:val="22"/>
        </w:rPr>
        <w:t>2</w:t>
      </w:r>
      <w:r w:rsidR="00731995">
        <w:rPr>
          <w:rFonts w:ascii="Arial" w:hAnsi="Arial" w:cs="Arial"/>
          <w:sz w:val="22"/>
          <w:szCs w:val="22"/>
        </w:rPr>
        <w:t>2</w:t>
      </w:r>
      <w:r w:rsidR="003E7D02">
        <w:rPr>
          <w:rFonts w:ascii="Arial" w:hAnsi="Arial" w:cs="Arial"/>
          <w:sz w:val="22"/>
          <w:szCs w:val="22"/>
        </w:rPr>
        <w:t>/2</w:t>
      </w:r>
      <w:r w:rsidR="00731995">
        <w:rPr>
          <w:rFonts w:ascii="Arial" w:hAnsi="Arial" w:cs="Arial"/>
          <w:sz w:val="22"/>
          <w:szCs w:val="22"/>
        </w:rPr>
        <w:t>3</w:t>
      </w:r>
    </w:p>
    <w:p w14:paraId="7389007F" w14:textId="3C17B79A" w:rsidR="00FC02A7" w:rsidRDefault="00530FA2" w:rsidP="00A42023">
      <w:pPr>
        <w:tabs>
          <w:tab w:val="left" w:pos="2745"/>
        </w:tabs>
        <w:jc w:val="both"/>
      </w:pPr>
      <w:r>
        <w:tab/>
      </w:r>
    </w:p>
    <w:p w14:paraId="69E4F84D" w14:textId="3ECBD221" w:rsidR="0088767C" w:rsidRDefault="00701751" w:rsidP="00C22B55">
      <w:pPr>
        <w:pStyle w:val="ListParagraph"/>
        <w:numPr>
          <w:ilvl w:val="1"/>
          <w:numId w:val="2"/>
        </w:numPr>
        <w:ind w:left="426" w:hanging="426"/>
        <w:jc w:val="both"/>
      </w:pPr>
      <w:r>
        <w:t>Since April 1986, the Police Authority ha</w:t>
      </w:r>
      <w:r w:rsidR="00C82E51">
        <w:t>d</w:t>
      </w:r>
      <w:r>
        <w:t xml:space="preserve"> been incurring long term debt from the Public Works Loans Board</w:t>
      </w:r>
      <w:r w:rsidR="00C82E51">
        <w:t xml:space="preserve"> (PWLB)</w:t>
      </w:r>
      <w:r>
        <w:t xml:space="preserve"> to finance major cap</w:t>
      </w:r>
      <w:r w:rsidR="00606554">
        <w:t xml:space="preserve">ital expenditure. All the </w:t>
      </w:r>
      <w:r>
        <w:t xml:space="preserve">borrowing </w:t>
      </w:r>
      <w:r w:rsidR="00606554">
        <w:t>w</w:t>
      </w:r>
      <w:r>
        <w:t>as transferred to the Commissioner</w:t>
      </w:r>
      <w:r w:rsidR="00F110B9">
        <w:t xml:space="preserve"> in November 2012</w:t>
      </w:r>
      <w:r>
        <w:t>.</w:t>
      </w:r>
    </w:p>
    <w:p w14:paraId="10169F08" w14:textId="77777777" w:rsidR="0088767C" w:rsidRDefault="0088767C" w:rsidP="00A42023">
      <w:pPr>
        <w:pStyle w:val="ListParagraph"/>
        <w:ind w:left="426" w:hanging="426"/>
        <w:jc w:val="both"/>
      </w:pPr>
    </w:p>
    <w:p w14:paraId="4EDFAF73" w14:textId="6404097A" w:rsidR="00701751" w:rsidRDefault="00701751" w:rsidP="00C22B55">
      <w:pPr>
        <w:pStyle w:val="ListParagraph"/>
        <w:numPr>
          <w:ilvl w:val="1"/>
          <w:numId w:val="2"/>
        </w:numPr>
        <w:ind w:left="426" w:hanging="426"/>
        <w:jc w:val="both"/>
      </w:pPr>
      <w:r>
        <w:t>Borrowing at the 31</w:t>
      </w:r>
      <w:r w:rsidR="002B0FB2">
        <w:t xml:space="preserve"> March 202</w:t>
      </w:r>
      <w:r w:rsidR="00731995">
        <w:t>3</w:t>
      </w:r>
      <w:r>
        <w:t xml:space="preserve"> </w:t>
      </w:r>
      <w:r w:rsidR="000F0B9C">
        <w:t>is expected to</w:t>
      </w:r>
      <w:r>
        <w:t xml:space="preserve"> total </w:t>
      </w:r>
      <w:r w:rsidR="002B0FB2" w:rsidRPr="0020545F">
        <w:t>£</w:t>
      </w:r>
      <w:r w:rsidR="004C62EC" w:rsidRPr="0020545F">
        <w:t>10</w:t>
      </w:r>
      <w:r w:rsidR="00731995">
        <w:t>5</w:t>
      </w:r>
      <w:r w:rsidR="004C62EC" w:rsidRPr="0020545F">
        <w:t>.3</w:t>
      </w:r>
      <w:r w:rsidRPr="0020545F">
        <w:t>m</w:t>
      </w:r>
      <w:r w:rsidR="00077F36">
        <w:t>,</w:t>
      </w:r>
      <w:r>
        <w:t xml:space="preserve"> all at fixed rates and repayable over various periods up to 20</w:t>
      </w:r>
      <w:r w:rsidR="004C62EC">
        <w:t>72</w:t>
      </w:r>
      <w:r>
        <w:t>.</w:t>
      </w:r>
    </w:p>
    <w:p w14:paraId="765ABBCC" w14:textId="77777777" w:rsidR="00701751" w:rsidRPr="00BA13EA" w:rsidRDefault="00701751" w:rsidP="00A42023">
      <w:pPr>
        <w:ind w:left="426" w:hanging="426"/>
        <w:jc w:val="both"/>
        <w:rPr>
          <w:color w:val="000000"/>
        </w:rPr>
      </w:pPr>
    </w:p>
    <w:p w14:paraId="11E365F7" w14:textId="77777777" w:rsidR="00701751" w:rsidRDefault="00701751" w:rsidP="00C22B55">
      <w:pPr>
        <w:pStyle w:val="ListParagraph"/>
        <w:numPr>
          <w:ilvl w:val="1"/>
          <w:numId w:val="2"/>
        </w:numPr>
        <w:ind w:left="426" w:hanging="426"/>
        <w:jc w:val="both"/>
      </w:pPr>
      <w:r>
        <w:t>The Commissioner has the capacity to undertake variable rate borrowing (up to 20% of the total debt portfolio) should the need arise or to take advantage of favourable rates to fund identified need.</w:t>
      </w:r>
    </w:p>
    <w:p w14:paraId="5BCB7B16" w14:textId="77777777" w:rsidR="00701751" w:rsidRDefault="00701751" w:rsidP="00A42023">
      <w:pPr>
        <w:ind w:left="426" w:hanging="426"/>
        <w:jc w:val="both"/>
      </w:pPr>
    </w:p>
    <w:p w14:paraId="6E4212C3" w14:textId="51BC8E37" w:rsidR="00D3129D" w:rsidRDefault="00731995" w:rsidP="00C22B55">
      <w:pPr>
        <w:pStyle w:val="ListParagraph"/>
        <w:numPr>
          <w:ilvl w:val="1"/>
          <w:numId w:val="2"/>
        </w:numPr>
        <w:ind w:left="426" w:hanging="426"/>
        <w:jc w:val="both"/>
      </w:pPr>
      <w:r>
        <w:t>Two</w:t>
      </w:r>
      <w:r w:rsidR="00A82092" w:rsidRPr="0020545F">
        <w:t xml:space="preserve"> Loans matured during 202</w:t>
      </w:r>
      <w:r>
        <w:t>2</w:t>
      </w:r>
      <w:r w:rsidR="00A82092" w:rsidRPr="0020545F">
        <w:t>/2</w:t>
      </w:r>
      <w:r>
        <w:t>3 totalling</w:t>
      </w:r>
      <w:r w:rsidR="008F2F61">
        <w:t xml:space="preserve"> £3m (£2.4m and £0.6m at 6.125% on 31/03/23)</w:t>
      </w:r>
      <w:r w:rsidR="00A82092" w:rsidRPr="0020545F">
        <w:t xml:space="preserve"> and </w:t>
      </w:r>
      <w:r w:rsidR="004C62EC" w:rsidRPr="0020545F">
        <w:t xml:space="preserve">one new loan was taken out (£7m at </w:t>
      </w:r>
      <w:r w:rsidR="008F2F61">
        <w:t>3.99</w:t>
      </w:r>
      <w:r w:rsidR="004C62EC" w:rsidRPr="0020545F">
        <w:t>% for 5 years)</w:t>
      </w:r>
      <w:r w:rsidR="00A82092" w:rsidRPr="0020545F">
        <w:t xml:space="preserve">. </w:t>
      </w:r>
      <w:r w:rsidR="00DA7FC4" w:rsidRPr="0020545F">
        <w:t xml:space="preserve">PWLB rates </w:t>
      </w:r>
      <w:r w:rsidR="00A82092" w:rsidRPr="0020545F">
        <w:t>for 50 years are</w:t>
      </w:r>
      <w:r w:rsidR="00C82E51">
        <w:t xml:space="preserve"> currently</w:t>
      </w:r>
      <w:r w:rsidR="00A82092" w:rsidRPr="0020545F">
        <w:t xml:space="preserve"> </w:t>
      </w:r>
      <w:r w:rsidR="00905904" w:rsidRPr="00905904">
        <w:t>4.74</w:t>
      </w:r>
      <w:r w:rsidR="00A82092" w:rsidRPr="0020545F">
        <w:t>%.</w:t>
      </w:r>
      <w:r w:rsidR="00A82092">
        <w:t xml:space="preserve">  This </w:t>
      </w:r>
      <w:r w:rsidR="008F2F61">
        <w:t>has been increasing throughout</w:t>
      </w:r>
      <w:r w:rsidR="00A82092">
        <w:t xml:space="preserve"> 2022</w:t>
      </w:r>
      <w:r w:rsidR="008F2F61">
        <w:t>/23</w:t>
      </w:r>
      <w:r w:rsidR="00A82092">
        <w:t xml:space="preserve"> due to an increase in the </w:t>
      </w:r>
      <w:r w:rsidR="004C62EC">
        <w:t>B</w:t>
      </w:r>
      <w:r w:rsidR="00A82092">
        <w:t>ank of England base rate.</w:t>
      </w:r>
    </w:p>
    <w:p w14:paraId="77D6C057" w14:textId="77777777" w:rsidR="00D3129D" w:rsidRDefault="00D3129D" w:rsidP="00D3129D">
      <w:pPr>
        <w:pStyle w:val="ListParagraph"/>
      </w:pPr>
    </w:p>
    <w:p w14:paraId="6A53BBEF" w14:textId="465AF606" w:rsidR="00701751" w:rsidRDefault="00A82092" w:rsidP="00C22B55">
      <w:pPr>
        <w:pStyle w:val="ListParagraph"/>
        <w:numPr>
          <w:ilvl w:val="1"/>
          <w:numId w:val="2"/>
        </w:numPr>
        <w:ind w:left="426" w:hanging="426"/>
        <w:jc w:val="both"/>
      </w:pPr>
      <w:r>
        <w:t xml:space="preserve">The </w:t>
      </w:r>
      <w:r w:rsidR="009B1EA4">
        <w:t>average rate of interest</w:t>
      </w:r>
      <w:r w:rsidR="00C51316">
        <w:t xml:space="preserve"> payable</w:t>
      </w:r>
      <w:r w:rsidR="009B1EA4">
        <w:t xml:space="preserve"> on debt</w:t>
      </w:r>
      <w:r w:rsidR="00B3138D">
        <w:t xml:space="preserve"> </w:t>
      </w:r>
      <w:r w:rsidRPr="0020545F">
        <w:t xml:space="preserve">is </w:t>
      </w:r>
      <w:r w:rsidR="00853E2A" w:rsidRPr="0020545F">
        <w:t>3.</w:t>
      </w:r>
      <w:r w:rsidR="002F075A" w:rsidRPr="0020545F">
        <w:t>2</w:t>
      </w:r>
      <w:r w:rsidR="00B3138D" w:rsidRPr="0020545F">
        <w:t>%</w:t>
      </w:r>
      <w:r w:rsidR="009B1EA4" w:rsidRPr="0020545F">
        <w:t>.</w:t>
      </w:r>
      <w:r w:rsidR="009B1EA4">
        <w:t xml:space="preserve"> </w:t>
      </w:r>
      <w:r w:rsidR="00A31508">
        <w:t>Link Asset Services</w:t>
      </w:r>
      <w:r w:rsidR="00701751">
        <w:t>, the Commissioner’s treasury advisors, continue to advise on debt restructuring to enable the Commissioner to take advantage of opportunities to reduce the overall cost of debt, set in the context of the financial constraints and markets.</w:t>
      </w:r>
      <w:r w:rsidR="00E618D4">
        <w:t xml:space="preserve"> There were no opportunities for this during 20</w:t>
      </w:r>
      <w:r>
        <w:t>2</w:t>
      </w:r>
      <w:r w:rsidR="00FA7E0C">
        <w:t>2</w:t>
      </w:r>
      <w:r>
        <w:t>/2</w:t>
      </w:r>
      <w:r w:rsidR="00FA7E0C">
        <w:t>3</w:t>
      </w:r>
      <w:r w:rsidR="00E618D4">
        <w:t>.</w:t>
      </w:r>
      <w:r w:rsidR="006C5567">
        <w:t xml:space="preserve"> </w:t>
      </w:r>
      <w:r w:rsidR="00D3129D" w:rsidRPr="00D3129D">
        <w:rPr>
          <w:bCs/>
          <w:color w:val="000000"/>
        </w:rPr>
        <w:t>Rescheduling of</w:t>
      </w:r>
      <w:r w:rsidR="00D3129D">
        <w:rPr>
          <w:bCs/>
          <w:color w:val="000000"/>
        </w:rPr>
        <w:t xml:space="preserve"> current borrowing in the</w:t>
      </w:r>
      <w:r w:rsidR="00D3129D" w:rsidRPr="00D3129D">
        <w:rPr>
          <w:bCs/>
          <w:color w:val="000000"/>
        </w:rPr>
        <w:t xml:space="preserve"> debt portfolio is unlikely to occur as there is still a very large difference between premature redemption rates and new borrowing rates</w:t>
      </w:r>
      <w:r w:rsidR="00FA7E0C">
        <w:rPr>
          <w:bCs/>
          <w:color w:val="000000"/>
        </w:rPr>
        <w:t>.</w:t>
      </w:r>
    </w:p>
    <w:p w14:paraId="00D4ADF3" w14:textId="194770EF" w:rsidR="00D3129D" w:rsidRDefault="00D3129D" w:rsidP="00D3129D">
      <w:pPr>
        <w:jc w:val="both"/>
      </w:pPr>
    </w:p>
    <w:p w14:paraId="295D9FBC" w14:textId="36D27CEF" w:rsidR="00334557" w:rsidRDefault="002351B2" w:rsidP="00C22B55">
      <w:pPr>
        <w:pStyle w:val="ListParagraph"/>
        <w:numPr>
          <w:ilvl w:val="1"/>
          <w:numId w:val="2"/>
        </w:numPr>
        <w:ind w:left="426" w:hanging="426"/>
        <w:jc w:val="both"/>
      </w:pPr>
      <w:r>
        <w:t xml:space="preserve">The table below shows </w:t>
      </w:r>
      <w:r w:rsidR="00701751">
        <w:t xml:space="preserve">the level of borrowing </w:t>
      </w:r>
      <w:r w:rsidR="00A678DE">
        <w:t>and the average interest rate payable</w:t>
      </w:r>
      <w:r w:rsidR="008A694A">
        <w:t>.</w:t>
      </w:r>
      <w:r w:rsidR="00AD3838">
        <w:t xml:space="preserve">  </w:t>
      </w:r>
    </w:p>
    <w:p w14:paraId="07C5B5F5" w14:textId="77777777" w:rsidR="00A13863" w:rsidRDefault="00A13863" w:rsidP="00A42023">
      <w:pPr>
        <w:pStyle w:val="ListParagraph"/>
        <w:jc w:val="both"/>
      </w:pPr>
    </w:p>
    <w:p w14:paraId="4F211D76" w14:textId="2FDC48B2" w:rsidR="004330F8" w:rsidRDefault="00A13863" w:rsidP="00A42023">
      <w:pPr>
        <w:jc w:val="both"/>
      </w:pPr>
      <w:r>
        <w:rPr>
          <w:b/>
        </w:rPr>
        <w:t>P</w:t>
      </w:r>
      <w:r w:rsidR="00D246FB">
        <w:rPr>
          <w:b/>
        </w:rPr>
        <w:t>ublic Works Loan Board (P</w:t>
      </w:r>
      <w:r>
        <w:rPr>
          <w:b/>
        </w:rPr>
        <w:t>WLB</w:t>
      </w:r>
      <w:r w:rsidR="00D246FB">
        <w:rPr>
          <w:b/>
        </w:rPr>
        <w:t>)</w:t>
      </w:r>
      <w:r>
        <w:rPr>
          <w:b/>
        </w:rPr>
        <w:t xml:space="preserve"> Borrowing</w:t>
      </w:r>
      <w:r>
        <w:t xml:space="preserve">   </w:t>
      </w:r>
    </w:p>
    <w:p w14:paraId="46E2367E" w14:textId="447417ED" w:rsidR="00A13863" w:rsidRDefault="00A13863" w:rsidP="00A42023">
      <w:pPr>
        <w:jc w:val="both"/>
      </w:pPr>
      <w:r>
        <w:t xml:space="preserve">                                </w:t>
      </w:r>
    </w:p>
    <w:tbl>
      <w:tblPr>
        <w:tblStyle w:val="ListTable4-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64"/>
        <w:gridCol w:w="1433"/>
        <w:gridCol w:w="1270"/>
        <w:gridCol w:w="2132"/>
        <w:gridCol w:w="1701"/>
      </w:tblGrid>
      <w:tr w:rsidR="00A13863" w14:paraId="01B3F65D" w14:textId="77777777" w:rsidTr="008F0C00">
        <w:trPr>
          <w:cnfStyle w:val="000000100000" w:firstRow="0" w:lastRow="0" w:firstColumn="0" w:lastColumn="0" w:oddVBand="0" w:evenVBand="0" w:oddHBand="1" w:evenHBand="0" w:firstRowFirstColumn="0" w:firstRowLastColumn="0" w:lastRowFirstColumn="0" w:lastRowLastColumn="0"/>
          <w:trHeight w:val="262"/>
        </w:trPr>
        <w:tc>
          <w:tcPr>
            <w:cnfStyle w:val="000010000000" w:firstRow="0" w:lastRow="0" w:firstColumn="0" w:lastColumn="0" w:oddVBand="1" w:evenVBand="0" w:oddHBand="0" w:evenHBand="0" w:firstRowFirstColumn="0" w:firstRowLastColumn="0" w:lastRowFirstColumn="0" w:lastRowLastColumn="0"/>
            <w:tcW w:w="1964" w:type="dxa"/>
            <w:shd w:val="clear" w:color="auto" w:fill="B4C6E7" w:themeFill="accent1" w:themeFillTint="66"/>
          </w:tcPr>
          <w:p w14:paraId="6F516C58" w14:textId="77777777" w:rsidR="00A13863" w:rsidRPr="008F0C00" w:rsidRDefault="00A13863" w:rsidP="00A42023">
            <w:pPr>
              <w:pStyle w:val="Heading2"/>
              <w:jc w:val="both"/>
              <w:outlineLvl w:val="1"/>
              <w:rPr>
                <w:rFonts w:ascii="Arial" w:hAnsi="Arial"/>
                <w:sz w:val="22"/>
              </w:rPr>
            </w:pPr>
            <w:r w:rsidRPr="008F0C00">
              <w:rPr>
                <w:rFonts w:ascii="Arial" w:hAnsi="Arial"/>
                <w:color w:val="auto"/>
                <w:sz w:val="22"/>
              </w:rPr>
              <w:t xml:space="preserve">Loan Type   </w:t>
            </w:r>
          </w:p>
        </w:tc>
        <w:tc>
          <w:tcPr>
            <w:tcW w:w="2703" w:type="dxa"/>
            <w:gridSpan w:val="2"/>
            <w:shd w:val="clear" w:color="auto" w:fill="B4C6E7" w:themeFill="accent1" w:themeFillTint="66"/>
          </w:tcPr>
          <w:p w14:paraId="21B64D61" w14:textId="4A4F3BC0" w:rsidR="00A13863" w:rsidRPr="00023FBD" w:rsidRDefault="00251C8A" w:rsidP="004E5898">
            <w:pPr>
              <w:pStyle w:val="Heading8"/>
              <w:jc w:val="both"/>
              <w:outlineLvl w:val="7"/>
              <w:cnfStyle w:val="000000100000" w:firstRow="0" w:lastRow="0" w:firstColumn="0" w:lastColumn="0" w:oddVBand="0" w:evenVBand="0" w:oddHBand="1" w:evenHBand="0" w:firstRowFirstColumn="0" w:firstRowLastColumn="0" w:lastRowFirstColumn="0" w:lastRowLastColumn="0"/>
              <w:rPr>
                <w:rFonts w:ascii="Arial" w:hAnsi="Arial"/>
                <w:b/>
                <w:sz w:val="22"/>
              </w:rPr>
            </w:pPr>
            <w:r>
              <w:rPr>
                <w:rFonts w:ascii="Arial" w:hAnsi="Arial"/>
                <w:b/>
                <w:sz w:val="22"/>
              </w:rPr>
              <w:t xml:space="preserve">     </w:t>
            </w:r>
            <w:r w:rsidR="00A13863" w:rsidRPr="00023FBD">
              <w:rPr>
                <w:rFonts w:ascii="Arial" w:hAnsi="Arial"/>
                <w:b/>
                <w:sz w:val="22"/>
              </w:rPr>
              <w:t>Borrowing £’m</w:t>
            </w:r>
          </w:p>
        </w:tc>
        <w:tc>
          <w:tcPr>
            <w:cnfStyle w:val="000010000000" w:firstRow="0" w:lastRow="0" w:firstColumn="0" w:lastColumn="0" w:oddVBand="1" w:evenVBand="0" w:oddHBand="0" w:evenHBand="0" w:firstRowFirstColumn="0" w:firstRowLastColumn="0" w:lastRowFirstColumn="0" w:lastRowLastColumn="0"/>
            <w:tcW w:w="3833" w:type="dxa"/>
            <w:gridSpan w:val="2"/>
            <w:shd w:val="clear" w:color="auto" w:fill="B4C6E7" w:themeFill="accent1" w:themeFillTint="66"/>
          </w:tcPr>
          <w:p w14:paraId="69C33ACF" w14:textId="4876CD4F" w:rsidR="00A13863" w:rsidRPr="00023FBD" w:rsidRDefault="00251C8A" w:rsidP="00A42023">
            <w:pPr>
              <w:pStyle w:val="Heading8"/>
              <w:jc w:val="both"/>
              <w:outlineLvl w:val="7"/>
              <w:rPr>
                <w:rFonts w:ascii="Arial" w:hAnsi="Arial"/>
                <w:b/>
                <w:sz w:val="22"/>
              </w:rPr>
            </w:pPr>
            <w:r>
              <w:rPr>
                <w:rFonts w:ascii="Arial" w:hAnsi="Arial"/>
                <w:b/>
                <w:sz w:val="22"/>
              </w:rPr>
              <w:t xml:space="preserve">           </w:t>
            </w:r>
            <w:r w:rsidR="00A13863" w:rsidRPr="00023FBD">
              <w:rPr>
                <w:rFonts w:ascii="Arial" w:hAnsi="Arial"/>
                <w:b/>
                <w:sz w:val="22"/>
              </w:rPr>
              <w:t>Average Interest Rates %</w:t>
            </w:r>
          </w:p>
        </w:tc>
      </w:tr>
      <w:tr w:rsidR="00FA7E0C" w14:paraId="57018A07" w14:textId="77777777" w:rsidTr="008F0C00">
        <w:trPr>
          <w:trHeight w:val="262"/>
        </w:trPr>
        <w:tc>
          <w:tcPr>
            <w:cnfStyle w:val="000010000000" w:firstRow="0" w:lastRow="0" w:firstColumn="0" w:lastColumn="0" w:oddVBand="1" w:evenVBand="0" w:oddHBand="0" w:evenHBand="0" w:firstRowFirstColumn="0" w:firstRowLastColumn="0" w:lastRowFirstColumn="0" w:lastRowLastColumn="0"/>
            <w:tcW w:w="1964" w:type="dxa"/>
            <w:shd w:val="clear" w:color="auto" w:fill="B4C6E7" w:themeFill="accent1" w:themeFillTint="66"/>
          </w:tcPr>
          <w:p w14:paraId="6FFEF51F" w14:textId="77777777" w:rsidR="00FA7E0C" w:rsidRPr="00023FBD" w:rsidRDefault="00FA7E0C" w:rsidP="00FA7E0C">
            <w:pPr>
              <w:jc w:val="both"/>
              <w:rPr>
                <w:b/>
                <w:snapToGrid w:val="0"/>
                <w:color w:val="000000"/>
              </w:rPr>
            </w:pPr>
          </w:p>
        </w:tc>
        <w:tc>
          <w:tcPr>
            <w:tcW w:w="1433" w:type="dxa"/>
            <w:shd w:val="clear" w:color="auto" w:fill="B4C6E7" w:themeFill="accent1" w:themeFillTint="66"/>
          </w:tcPr>
          <w:p w14:paraId="230E8DF8" w14:textId="55629BB9" w:rsidR="00FA7E0C" w:rsidRPr="00023FBD" w:rsidRDefault="00905904" w:rsidP="00FA7E0C">
            <w:pPr>
              <w:jc w:val="center"/>
              <w:cnfStyle w:val="000000000000" w:firstRow="0" w:lastRow="0" w:firstColumn="0" w:lastColumn="0" w:oddVBand="0" w:evenVBand="0" w:oddHBand="0" w:evenHBand="0" w:firstRowFirstColumn="0" w:firstRowLastColumn="0" w:lastRowFirstColumn="0" w:lastRowLastColumn="0"/>
              <w:rPr>
                <w:b/>
                <w:snapToGrid w:val="0"/>
                <w:color w:val="000000"/>
              </w:rPr>
            </w:pPr>
            <w:r w:rsidRPr="00023FBD">
              <w:rPr>
                <w:b/>
                <w:snapToGrid w:val="0"/>
                <w:color w:val="000000"/>
              </w:rPr>
              <w:t>31/03/</w:t>
            </w:r>
            <w:r w:rsidR="00FA7E0C" w:rsidRPr="00023FBD">
              <w:rPr>
                <w:b/>
                <w:snapToGrid w:val="0"/>
                <w:color w:val="000000"/>
              </w:rPr>
              <w:t>22</w:t>
            </w:r>
          </w:p>
        </w:tc>
        <w:tc>
          <w:tcPr>
            <w:cnfStyle w:val="000010000000" w:firstRow="0" w:lastRow="0" w:firstColumn="0" w:lastColumn="0" w:oddVBand="1" w:evenVBand="0" w:oddHBand="0" w:evenHBand="0" w:firstRowFirstColumn="0" w:firstRowLastColumn="0" w:lastRowFirstColumn="0" w:lastRowLastColumn="0"/>
            <w:tcW w:w="1270" w:type="dxa"/>
            <w:shd w:val="clear" w:color="auto" w:fill="B4C6E7" w:themeFill="accent1" w:themeFillTint="66"/>
          </w:tcPr>
          <w:p w14:paraId="00691646" w14:textId="6FAD0957" w:rsidR="00FA7E0C" w:rsidRPr="00023FBD" w:rsidRDefault="00905904" w:rsidP="00FA7E0C">
            <w:pPr>
              <w:jc w:val="center"/>
              <w:rPr>
                <w:b/>
                <w:snapToGrid w:val="0"/>
                <w:color w:val="000000"/>
              </w:rPr>
            </w:pPr>
            <w:r w:rsidRPr="00023FBD">
              <w:rPr>
                <w:b/>
                <w:snapToGrid w:val="0"/>
                <w:color w:val="000000"/>
              </w:rPr>
              <w:t>31/03/</w:t>
            </w:r>
            <w:r w:rsidR="00FA7E0C" w:rsidRPr="00023FBD">
              <w:rPr>
                <w:b/>
                <w:snapToGrid w:val="0"/>
                <w:color w:val="000000"/>
              </w:rPr>
              <w:t>23</w:t>
            </w:r>
          </w:p>
        </w:tc>
        <w:tc>
          <w:tcPr>
            <w:tcW w:w="2132" w:type="dxa"/>
            <w:shd w:val="clear" w:color="auto" w:fill="B4C6E7" w:themeFill="accent1" w:themeFillTint="66"/>
          </w:tcPr>
          <w:p w14:paraId="5A88313A" w14:textId="3D0A017D" w:rsidR="00FA7E0C" w:rsidRPr="00023FBD" w:rsidRDefault="00FA7E0C" w:rsidP="00FA7E0C">
            <w:pPr>
              <w:jc w:val="center"/>
              <w:cnfStyle w:val="000000000000" w:firstRow="0" w:lastRow="0" w:firstColumn="0" w:lastColumn="0" w:oddVBand="0" w:evenVBand="0" w:oddHBand="0" w:evenHBand="0" w:firstRowFirstColumn="0" w:firstRowLastColumn="0" w:lastRowFirstColumn="0" w:lastRowLastColumn="0"/>
              <w:rPr>
                <w:b/>
                <w:snapToGrid w:val="0"/>
                <w:color w:val="000000"/>
              </w:rPr>
            </w:pPr>
            <w:r w:rsidRPr="00023FBD">
              <w:rPr>
                <w:b/>
                <w:snapToGrid w:val="0"/>
                <w:color w:val="000000"/>
              </w:rPr>
              <w:t>2021/22</w:t>
            </w:r>
          </w:p>
        </w:tc>
        <w:tc>
          <w:tcPr>
            <w:cnfStyle w:val="000010000000" w:firstRow="0" w:lastRow="0" w:firstColumn="0" w:lastColumn="0" w:oddVBand="1" w:evenVBand="0" w:oddHBand="0" w:evenHBand="0" w:firstRowFirstColumn="0" w:firstRowLastColumn="0" w:lastRowFirstColumn="0" w:lastRowLastColumn="0"/>
            <w:tcW w:w="1701" w:type="dxa"/>
            <w:shd w:val="clear" w:color="auto" w:fill="B4C6E7" w:themeFill="accent1" w:themeFillTint="66"/>
          </w:tcPr>
          <w:p w14:paraId="35D567F2" w14:textId="139DDCB7" w:rsidR="00FA7E0C" w:rsidRDefault="00FA7E0C" w:rsidP="00FA7E0C">
            <w:pPr>
              <w:jc w:val="center"/>
              <w:rPr>
                <w:b/>
                <w:snapToGrid w:val="0"/>
                <w:color w:val="000000"/>
              </w:rPr>
            </w:pPr>
            <w:r>
              <w:rPr>
                <w:b/>
                <w:snapToGrid w:val="0"/>
                <w:color w:val="000000"/>
              </w:rPr>
              <w:t>2022/23</w:t>
            </w:r>
          </w:p>
        </w:tc>
      </w:tr>
      <w:tr w:rsidR="00251C8A" w14:paraId="7554961F" w14:textId="77777777" w:rsidTr="00251C8A">
        <w:trPr>
          <w:cnfStyle w:val="000000100000" w:firstRow="0" w:lastRow="0" w:firstColumn="0" w:lastColumn="0" w:oddVBand="0" w:evenVBand="0" w:oddHBand="1" w:evenHBand="0" w:firstRowFirstColumn="0" w:firstRowLastColumn="0" w:lastRowFirstColumn="0" w:lastRowLastColumn="0"/>
          <w:trHeight w:val="262"/>
        </w:trPr>
        <w:tc>
          <w:tcPr>
            <w:cnfStyle w:val="000010000000" w:firstRow="0" w:lastRow="0" w:firstColumn="0" w:lastColumn="0" w:oddVBand="1" w:evenVBand="0" w:oddHBand="0" w:evenHBand="0" w:firstRowFirstColumn="0" w:firstRowLastColumn="0" w:lastRowFirstColumn="0" w:lastRowLastColumn="0"/>
            <w:tcW w:w="1964" w:type="dxa"/>
            <w:shd w:val="clear" w:color="auto" w:fill="B4C6E7" w:themeFill="accent1" w:themeFillTint="66"/>
          </w:tcPr>
          <w:p w14:paraId="71190395" w14:textId="77777777" w:rsidR="00FA7E0C" w:rsidRPr="004E5898" w:rsidRDefault="00FA7E0C" w:rsidP="00FA7E0C">
            <w:pPr>
              <w:jc w:val="both"/>
              <w:rPr>
                <w:snapToGrid w:val="0"/>
                <w:color w:val="000000"/>
              </w:rPr>
            </w:pPr>
            <w:r w:rsidRPr="004E5898">
              <w:rPr>
                <w:snapToGrid w:val="0"/>
                <w:color w:val="000000"/>
              </w:rPr>
              <w:t>Fixed</w:t>
            </w:r>
          </w:p>
        </w:tc>
        <w:tc>
          <w:tcPr>
            <w:tcW w:w="1433" w:type="dxa"/>
            <w:shd w:val="clear" w:color="auto" w:fill="B4C6E7" w:themeFill="accent1" w:themeFillTint="66"/>
          </w:tcPr>
          <w:p w14:paraId="67AB718C" w14:textId="33250C82" w:rsidR="00FA7E0C" w:rsidRPr="004E5898" w:rsidRDefault="00FA7E0C" w:rsidP="00FA7E0C">
            <w:pPr>
              <w:jc w:val="center"/>
              <w:cnfStyle w:val="000000100000" w:firstRow="0" w:lastRow="0" w:firstColumn="0" w:lastColumn="0" w:oddVBand="0" w:evenVBand="0" w:oddHBand="1" w:evenHBand="0" w:firstRowFirstColumn="0" w:firstRowLastColumn="0" w:lastRowFirstColumn="0" w:lastRowLastColumn="0"/>
              <w:rPr>
                <w:snapToGrid w:val="0"/>
                <w:color w:val="000000"/>
              </w:rPr>
            </w:pPr>
            <w:r w:rsidRPr="0020545F">
              <w:rPr>
                <w:snapToGrid w:val="0"/>
                <w:color w:val="000000"/>
              </w:rPr>
              <w:t>101.3</w:t>
            </w:r>
          </w:p>
        </w:tc>
        <w:tc>
          <w:tcPr>
            <w:cnfStyle w:val="000010000000" w:firstRow="0" w:lastRow="0" w:firstColumn="0" w:lastColumn="0" w:oddVBand="1" w:evenVBand="0" w:oddHBand="0" w:evenHBand="0" w:firstRowFirstColumn="0" w:firstRowLastColumn="0" w:lastRowFirstColumn="0" w:lastRowLastColumn="0"/>
            <w:tcW w:w="1270" w:type="dxa"/>
            <w:shd w:val="clear" w:color="auto" w:fill="B4C6E7" w:themeFill="accent1" w:themeFillTint="66"/>
          </w:tcPr>
          <w:p w14:paraId="373002F8" w14:textId="05D60F7F" w:rsidR="00FA7E0C" w:rsidRPr="0020545F" w:rsidRDefault="00FA7E0C" w:rsidP="00FA7E0C">
            <w:pPr>
              <w:jc w:val="center"/>
              <w:rPr>
                <w:snapToGrid w:val="0"/>
                <w:color w:val="000000"/>
              </w:rPr>
            </w:pPr>
            <w:r w:rsidRPr="0020545F">
              <w:rPr>
                <w:snapToGrid w:val="0"/>
                <w:color w:val="000000"/>
              </w:rPr>
              <w:t>10</w:t>
            </w:r>
            <w:r>
              <w:rPr>
                <w:snapToGrid w:val="0"/>
                <w:color w:val="000000"/>
              </w:rPr>
              <w:t>5</w:t>
            </w:r>
            <w:r w:rsidRPr="0020545F">
              <w:rPr>
                <w:snapToGrid w:val="0"/>
                <w:color w:val="000000"/>
              </w:rPr>
              <w:t>.3</w:t>
            </w:r>
          </w:p>
        </w:tc>
        <w:tc>
          <w:tcPr>
            <w:tcW w:w="2132" w:type="dxa"/>
            <w:shd w:val="clear" w:color="auto" w:fill="B4C6E7" w:themeFill="accent1" w:themeFillTint="66"/>
          </w:tcPr>
          <w:p w14:paraId="47EEA847" w14:textId="34C98CF9" w:rsidR="00FA7E0C" w:rsidRPr="004E5898" w:rsidRDefault="00FA7E0C" w:rsidP="00FA7E0C">
            <w:pPr>
              <w:jc w:val="center"/>
              <w:cnfStyle w:val="000000100000" w:firstRow="0" w:lastRow="0" w:firstColumn="0" w:lastColumn="0" w:oddVBand="0" w:evenVBand="0" w:oddHBand="1" w:evenHBand="0" w:firstRowFirstColumn="0" w:firstRowLastColumn="0" w:lastRowFirstColumn="0" w:lastRowLastColumn="0"/>
              <w:rPr>
                <w:snapToGrid w:val="0"/>
                <w:color w:val="000000"/>
              </w:rPr>
            </w:pPr>
            <w:r w:rsidRPr="0020545F">
              <w:rPr>
                <w:snapToGrid w:val="0"/>
                <w:color w:val="000000"/>
              </w:rPr>
              <w:t>3.2</w:t>
            </w:r>
            <w:r>
              <w:rPr>
                <w:snapToGrid w:val="0"/>
                <w:color w:val="000000"/>
              </w:rPr>
              <w:t>0</w:t>
            </w:r>
          </w:p>
        </w:tc>
        <w:tc>
          <w:tcPr>
            <w:cnfStyle w:val="000010000000" w:firstRow="0" w:lastRow="0" w:firstColumn="0" w:lastColumn="0" w:oddVBand="1" w:evenVBand="0" w:oddHBand="0" w:evenHBand="0" w:firstRowFirstColumn="0" w:firstRowLastColumn="0" w:lastRowFirstColumn="0" w:lastRowLastColumn="0"/>
            <w:tcW w:w="1701" w:type="dxa"/>
            <w:shd w:val="clear" w:color="auto" w:fill="B4C6E7" w:themeFill="accent1" w:themeFillTint="66"/>
          </w:tcPr>
          <w:p w14:paraId="29BA90DF" w14:textId="0EC39EAC" w:rsidR="00FA7E0C" w:rsidRPr="0020545F" w:rsidRDefault="00FA7E0C" w:rsidP="00FA7E0C">
            <w:pPr>
              <w:jc w:val="center"/>
              <w:rPr>
                <w:snapToGrid w:val="0"/>
                <w:color w:val="000000"/>
              </w:rPr>
            </w:pPr>
            <w:r w:rsidRPr="0020545F">
              <w:rPr>
                <w:snapToGrid w:val="0"/>
                <w:color w:val="000000"/>
              </w:rPr>
              <w:t>3.2</w:t>
            </w:r>
            <w:r>
              <w:rPr>
                <w:snapToGrid w:val="0"/>
                <w:color w:val="000000"/>
              </w:rPr>
              <w:t>0</w:t>
            </w:r>
          </w:p>
        </w:tc>
      </w:tr>
      <w:tr w:rsidR="00FA7E0C" w14:paraId="1A4A4B88" w14:textId="77777777" w:rsidTr="008F0C00">
        <w:trPr>
          <w:trHeight w:val="262"/>
        </w:trPr>
        <w:tc>
          <w:tcPr>
            <w:cnfStyle w:val="000010000000" w:firstRow="0" w:lastRow="0" w:firstColumn="0" w:lastColumn="0" w:oddVBand="1" w:evenVBand="0" w:oddHBand="0" w:evenHBand="0" w:firstRowFirstColumn="0" w:firstRowLastColumn="0" w:lastRowFirstColumn="0" w:lastRowLastColumn="0"/>
            <w:tcW w:w="1964" w:type="dxa"/>
            <w:shd w:val="clear" w:color="auto" w:fill="B4C6E7" w:themeFill="accent1" w:themeFillTint="66"/>
          </w:tcPr>
          <w:p w14:paraId="49101EAB" w14:textId="77777777" w:rsidR="00FA7E0C" w:rsidRPr="004E5898" w:rsidRDefault="00FA7E0C" w:rsidP="00FA7E0C">
            <w:pPr>
              <w:jc w:val="both"/>
              <w:rPr>
                <w:snapToGrid w:val="0"/>
                <w:color w:val="000000"/>
              </w:rPr>
            </w:pPr>
            <w:r w:rsidRPr="004E5898">
              <w:rPr>
                <w:snapToGrid w:val="0"/>
                <w:color w:val="000000"/>
              </w:rPr>
              <w:t>Variable</w:t>
            </w:r>
          </w:p>
        </w:tc>
        <w:tc>
          <w:tcPr>
            <w:tcW w:w="1433" w:type="dxa"/>
            <w:shd w:val="clear" w:color="auto" w:fill="B4C6E7" w:themeFill="accent1" w:themeFillTint="66"/>
          </w:tcPr>
          <w:p w14:paraId="0A756642" w14:textId="348D56D2" w:rsidR="00FA7E0C" w:rsidRPr="004E5898" w:rsidRDefault="00FA7E0C" w:rsidP="00FA7E0C">
            <w:pPr>
              <w:jc w:val="center"/>
              <w:cnfStyle w:val="000000000000" w:firstRow="0" w:lastRow="0" w:firstColumn="0" w:lastColumn="0" w:oddVBand="0" w:evenVBand="0" w:oddHBand="0" w:evenHBand="0" w:firstRowFirstColumn="0" w:firstRowLastColumn="0" w:lastRowFirstColumn="0" w:lastRowLastColumn="0"/>
              <w:rPr>
                <w:snapToGrid w:val="0"/>
                <w:color w:val="000000"/>
              </w:rPr>
            </w:pPr>
            <w:r w:rsidRPr="0020545F">
              <w:rPr>
                <w:snapToGrid w:val="0"/>
                <w:color w:val="000000"/>
              </w:rPr>
              <w:t>0.0</w:t>
            </w:r>
          </w:p>
        </w:tc>
        <w:tc>
          <w:tcPr>
            <w:cnfStyle w:val="000010000000" w:firstRow="0" w:lastRow="0" w:firstColumn="0" w:lastColumn="0" w:oddVBand="1" w:evenVBand="0" w:oddHBand="0" w:evenHBand="0" w:firstRowFirstColumn="0" w:firstRowLastColumn="0" w:lastRowFirstColumn="0" w:lastRowLastColumn="0"/>
            <w:tcW w:w="1270" w:type="dxa"/>
            <w:shd w:val="clear" w:color="auto" w:fill="B4C6E7" w:themeFill="accent1" w:themeFillTint="66"/>
          </w:tcPr>
          <w:p w14:paraId="54E0A72D" w14:textId="64202AE2" w:rsidR="00FA7E0C" w:rsidRPr="0020545F" w:rsidRDefault="00FA7E0C" w:rsidP="00FA7E0C">
            <w:pPr>
              <w:jc w:val="center"/>
              <w:rPr>
                <w:snapToGrid w:val="0"/>
                <w:color w:val="000000"/>
              </w:rPr>
            </w:pPr>
            <w:r w:rsidRPr="0020545F">
              <w:rPr>
                <w:snapToGrid w:val="0"/>
                <w:color w:val="000000"/>
              </w:rPr>
              <w:t>0.0</w:t>
            </w:r>
          </w:p>
        </w:tc>
        <w:tc>
          <w:tcPr>
            <w:tcW w:w="2132" w:type="dxa"/>
            <w:shd w:val="clear" w:color="auto" w:fill="B4C6E7" w:themeFill="accent1" w:themeFillTint="66"/>
          </w:tcPr>
          <w:p w14:paraId="497A41D6" w14:textId="216D602E" w:rsidR="00FA7E0C" w:rsidRPr="004E5898" w:rsidRDefault="00FA7E0C" w:rsidP="00FA7E0C">
            <w:pPr>
              <w:jc w:val="center"/>
              <w:cnfStyle w:val="000000000000" w:firstRow="0" w:lastRow="0" w:firstColumn="0" w:lastColumn="0" w:oddVBand="0" w:evenVBand="0" w:oddHBand="0" w:evenHBand="0" w:firstRowFirstColumn="0" w:firstRowLastColumn="0" w:lastRowFirstColumn="0" w:lastRowLastColumn="0"/>
              <w:rPr>
                <w:snapToGrid w:val="0"/>
                <w:color w:val="000000"/>
              </w:rPr>
            </w:pPr>
            <w:r w:rsidRPr="0020545F">
              <w:rPr>
                <w:snapToGrid w:val="0"/>
                <w:color w:val="000000"/>
              </w:rPr>
              <w:t>0.0</w:t>
            </w:r>
          </w:p>
        </w:tc>
        <w:tc>
          <w:tcPr>
            <w:cnfStyle w:val="000010000000" w:firstRow="0" w:lastRow="0" w:firstColumn="0" w:lastColumn="0" w:oddVBand="1" w:evenVBand="0" w:oddHBand="0" w:evenHBand="0" w:firstRowFirstColumn="0" w:firstRowLastColumn="0" w:lastRowFirstColumn="0" w:lastRowLastColumn="0"/>
            <w:tcW w:w="1701" w:type="dxa"/>
            <w:shd w:val="clear" w:color="auto" w:fill="B4C6E7" w:themeFill="accent1" w:themeFillTint="66"/>
          </w:tcPr>
          <w:p w14:paraId="723C9C6F" w14:textId="77777777" w:rsidR="00FA7E0C" w:rsidRPr="0020545F" w:rsidRDefault="00FA7E0C" w:rsidP="00FA7E0C">
            <w:pPr>
              <w:jc w:val="center"/>
              <w:rPr>
                <w:snapToGrid w:val="0"/>
                <w:color w:val="000000"/>
              </w:rPr>
            </w:pPr>
            <w:r w:rsidRPr="0020545F">
              <w:rPr>
                <w:snapToGrid w:val="0"/>
                <w:color w:val="000000"/>
              </w:rPr>
              <w:t>0.0</w:t>
            </w:r>
          </w:p>
        </w:tc>
      </w:tr>
      <w:tr w:rsidR="00FA7E0C" w14:paraId="0A2DA029" w14:textId="77777777" w:rsidTr="008F0C00">
        <w:trPr>
          <w:cnfStyle w:val="000000100000" w:firstRow="0" w:lastRow="0" w:firstColumn="0" w:lastColumn="0" w:oddVBand="0" w:evenVBand="0" w:oddHBand="1" w:evenHBand="0" w:firstRowFirstColumn="0" w:firstRowLastColumn="0" w:lastRowFirstColumn="0" w:lastRowLastColumn="0"/>
          <w:trHeight w:val="262"/>
        </w:trPr>
        <w:tc>
          <w:tcPr>
            <w:cnfStyle w:val="000010000000" w:firstRow="0" w:lastRow="0" w:firstColumn="0" w:lastColumn="0" w:oddVBand="1" w:evenVBand="0" w:oddHBand="0" w:evenHBand="0" w:firstRowFirstColumn="0" w:firstRowLastColumn="0" w:lastRowFirstColumn="0" w:lastRowLastColumn="0"/>
            <w:tcW w:w="1964" w:type="dxa"/>
            <w:shd w:val="clear" w:color="auto" w:fill="B4C6E7" w:themeFill="accent1" w:themeFillTint="66"/>
          </w:tcPr>
          <w:p w14:paraId="2F4067F7" w14:textId="77777777" w:rsidR="00FA7E0C" w:rsidRDefault="00FA7E0C" w:rsidP="00FA7E0C">
            <w:pPr>
              <w:jc w:val="both"/>
              <w:rPr>
                <w:b/>
                <w:snapToGrid w:val="0"/>
                <w:color w:val="000000"/>
              </w:rPr>
            </w:pPr>
            <w:r>
              <w:rPr>
                <w:b/>
                <w:snapToGrid w:val="0"/>
                <w:color w:val="000000"/>
              </w:rPr>
              <w:t>Total</w:t>
            </w:r>
          </w:p>
        </w:tc>
        <w:tc>
          <w:tcPr>
            <w:tcW w:w="1433" w:type="dxa"/>
            <w:shd w:val="clear" w:color="auto" w:fill="B4C6E7" w:themeFill="accent1" w:themeFillTint="66"/>
          </w:tcPr>
          <w:p w14:paraId="54E1341D" w14:textId="3B48379A" w:rsidR="00FA7E0C" w:rsidRDefault="00FA7E0C" w:rsidP="00FA7E0C">
            <w:pPr>
              <w:jc w:val="center"/>
              <w:cnfStyle w:val="000000100000" w:firstRow="0" w:lastRow="0" w:firstColumn="0" w:lastColumn="0" w:oddVBand="0" w:evenVBand="0" w:oddHBand="1" w:evenHBand="0" w:firstRowFirstColumn="0" w:firstRowLastColumn="0" w:lastRowFirstColumn="0" w:lastRowLastColumn="0"/>
              <w:rPr>
                <w:b/>
                <w:snapToGrid w:val="0"/>
                <w:color w:val="000000"/>
              </w:rPr>
            </w:pPr>
            <w:r w:rsidRPr="0020545F">
              <w:rPr>
                <w:b/>
                <w:snapToGrid w:val="0"/>
                <w:color w:val="000000"/>
              </w:rPr>
              <w:t>101.3</w:t>
            </w:r>
          </w:p>
        </w:tc>
        <w:tc>
          <w:tcPr>
            <w:cnfStyle w:val="000010000000" w:firstRow="0" w:lastRow="0" w:firstColumn="0" w:lastColumn="0" w:oddVBand="1" w:evenVBand="0" w:oddHBand="0" w:evenHBand="0" w:firstRowFirstColumn="0" w:firstRowLastColumn="0" w:lastRowFirstColumn="0" w:lastRowLastColumn="0"/>
            <w:tcW w:w="1270" w:type="dxa"/>
            <w:shd w:val="clear" w:color="auto" w:fill="B4C6E7" w:themeFill="accent1" w:themeFillTint="66"/>
          </w:tcPr>
          <w:p w14:paraId="5E991E04" w14:textId="79FF754D" w:rsidR="00FA7E0C" w:rsidRPr="0020545F" w:rsidRDefault="00FA7E0C" w:rsidP="00FA7E0C">
            <w:pPr>
              <w:jc w:val="center"/>
              <w:rPr>
                <w:b/>
                <w:snapToGrid w:val="0"/>
                <w:color w:val="000000"/>
              </w:rPr>
            </w:pPr>
            <w:r w:rsidRPr="0020545F">
              <w:rPr>
                <w:b/>
                <w:snapToGrid w:val="0"/>
                <w:color w:val="000000"/>
              </w:rPr>
              <w:t>10</w:t>
            </w:r>
            <w:r>
              <w:rPr>
                <w:b/>
                <w:snapToGrid w:val="0"/>
                <w:color w:val="000000"/>
              </w:rPr>
              <w:t>5</w:t>
            </w:r>
            <w:r w:rsidRPr="0020545F">
              <w:rPr>
                <w:b/>
                <w:snapToGrid w:val="0"/>
                <w:color w:val="000000"/>
              </w:rPr>
              <w:t>.3</w:t>
            </w:r>
          </w:p>
        </w:tc>
        <w:tc>
          <w:tcPr>
            <w:tcW w:w="2132" w:type="dxa"/>
            <w:shd w:val="clear" w:color="auto" w:fill="B4C6E7" w:themeFill="accent1" w:themeFillTint="66"/>
          </w:tcPr>
          <w:p w14:paraId="3321655B" w14:textId="7ADE3FF3" w:rsidR="00FA7E0C" w:rsidRDefault="00FA7E0C" w:rsidP="00FA7E0C">
            <w:pPr>
              <w:jc w:val="center"/>
              <w:cnfStyle w:val="000000100000" w:firstRow="0" w:lastRow="0" w:firstColumn="0" w:lastColumn="0" w:oddVBand="0" w:evenVBand="0" w:oddHBand="1" w:evenHBand="0" w:firstRowFirstColumn="0" w:firstRowLastColumn="0" w:lastRowFirstColumn="0" w:lastRowLastColumn="0"/>
              <w:rPr>
                <w:b/>
                <w:snapToGrid w:val="0"/>
                <w:color w:val="000000"/>
              </w:rPr>
            </w:pPr>
            <w:r w:rsidRPr="0020545F">
              <w:rPr>
                <w:b/>
                <w:snapToGrid w:val="0"/>
                <w:color w:val="000000"/>
              </w:rPr>
              <w:t>3.2</w:t>
            </w:r>
            <w:r>
              <w:rPr>
                <w:b/>
                <w:snapToGrid w:val="0"/>
                <w:color w:val="000000"/>
              </w:rPr>
              <w:t>0</w:t>
            </w:r>
          </w:p>
        </w:tc>
        <w:tc>
          <w:tcPr>
            <w:cnfStyle w:val="000010000000" w:firstRow="0" w:lastRow="0" w:firstColumn="0" w:lastColumn="0" w:oddVBand="1" w:evenVBand="0" w:oddHBand="0" w:evenHBand="0" w:firstRowFirstColumn="0" w:firstRowLastColumn="0" w:lastRowFirstColumn="0" w:lastRowLastColumn="0"/>
            <w:tcW w:w="1701" w:type="dxa"/>
            <w:shd w:val="clear" w:color="auto" w:fill="B4C6E7" w:themeFill="accent1" w:themeFillTint="66"/>
          </w:tcPr>
          <w:p w14:paraId="233A2F19" w14:textId="1CFF71F6" w:rsidR="00FA7E0C" w:rsidRPr="0020545F" w:rsidRDefault="00FA7E0C" w:rsidP="00FA7E0C">
            <w:pPr>
              <w:jc w:val="center"/>
              <w:rPr>
                <w:b/>
                <w:snapToGrid w:val="0"/>
                <w:color w:val="000000"/>
              </w:rPr>
            </w:pPr>
            <w:r w:rsidRPr="0020545F">
              <w:rPr>
                <w:b/>
                <w:snapToGrid w:val="0"/>
                <w:color w:val="000000"/>
              </w:rPr>
              <w:t>3.2</w:t>
            </w:r>
            <w:r>
              <w:rPr>
                <w:b/>
                <w:snapToGrid w:val="0"/>
                <w:color w:val="000000"/>
              </w:rPr>
              <w:t>0</w:t>
            </w:r>
          </w:p>
        </w:tc>
      </w:tr>
    </w:tbl>
    <w:p w14:paraId="02211CCC" w14:textId="5EEDB5AE" w:rsidR="00540F51" w:rsidRDefault="00540F51" w:rsidP="00EB4A0B">
      <w:pPr>
        <w:jc w:val="both"/>
      </w:pPr>
    </w:p>
    <w:p w14:paraId="605FB04C" w14:textId="23B6B3CA" w:rsidR="00EB4A0B" w:rsidRDefault="00EB4A0B" w:rsidP="0020545F">
      <w:pPr>
        <w:jc w:val="both"/>
      </w:pPr>
      <w:r>
        <w:t>3.7</w:t>
      </w:r>
      <w:r>
        <w:tab/>
      </w:r>
      <w:r w:rsidRPr="003E09FB">
        <w:rPr>
          <w:b/>
        </w:rPr>
        <w:t>Appendix E</w:t>
      </w:r>
      <w:r w:rsidRPr="0020545F">
        <w:t xml:space="preserve"> shows the maturity profile of the Loan portfolio</w:t>
      </w:r>
    </w:p>
    <w:p w14:paraId="0B976561" w14:textId="77777777" w:rsidR="00B01B2C" w:rsidRDefault="00B01B2C" w:rsidP="00A42023">
      <w:pPr>
        <w:pStyle w:val="Heading1"/>
        <w:ind w:left="426" w:hanging="426"/>
        <w:jc w:val="both"/>
        <w:rPr>
          <w:rFonts w:ascii="Arial" w:hAnsi="Arial" w:cs="Arial"/>
          <w:sz w:val="22"/>
          <w:szCs w:val="22"/>
        </w:rPr>
      </w:pPr>
    </w:p>
    <w:p w14:paraId="4B82D456" w14:textId="54D83F57" w:rsidR="00876379" w:rsidRPr="00544436" w:rsidRDefault="00876379" w:rsidP="00A42023">
      <w:pPr>
        <w:pStyle w:val="Heading1"/>
        <w:ind w:left="426" w:hanging="426"/>
        <w:jc w:val="both"/>
        <w:rPr>
          <w:b w:val="0"/>
          <w:bCs w:val="0"/>
        </w:rPr>
      </w:pPr>
      <w:r w:rsidRPr="00544436">
        <w:rPr>
          <w:rFonts w:ascii="Arial" w:hAnsi="Arial" w:cs="Arial"/>
          <w:sz w:val="22"/>
          <w:szCs w:val="22"/>
        </w:rPr>
        <w:t xml:space="preserve">4. </w:t>
      </w:r>
      <w:r w:rsidRPr="00544436">
        <w:rPr>
          <w:rFonts w:ascii="Arial" w:hAnsi="Arial" w:cs="Arial"/>
          <w:sz w:val="22"/>
          <w:szCs w:val="22"/>
        </w:rPr>
        <w:tab/>
        <w:t xml:space="preserve">INVESTMENT </w:t>
      </w:r>
      <w:r w:rsidR="00A13863" w:rsidRPr="00544436">
        <w:rPr>
          <w:rFonts w:ascii="Arial" w:hAnsi="Arial" w:cs="Arial"/>
          <w:sz w:val="22"/>
          <w:szCs w:val="22"/>
        </w:rPr>
        <w:t>AC</w:t>
      </w:r>
      <w:r w:rsidRPr="00544436">
        <w:rPr>
          <w:rFonts w:ascii="Arial" w:hAnsi="Arial" w:cs="Arial"/>
          <w:sz w:val="22"/>
          <w:szCs w:val="22"/>
        </w:rPr>
        <w:t>T</w:t>
      </w:r>
      <w:r w:rsidR="00A13863" w:rsidRPr="00544436">
        <w:rPr>
          <w:rFonts w:ascii="Arial" w:hAnsi="Arial" w:cs="Arial"/>
          <w:sz w:val="22"/>
          <w:szCs w:val="22"/>
        </w:rPr>
        <w:t>IVITY 20</w:t>
      </w:r>
      <w:r w:rsidR="00B05371">
        <w:rPr>
          <w:rFonts w:ascii="Arial" w:hAnsi="Arial" w:cs="Arial"/>
          <w:sz w:val="22"/>
          <w:szCs w:val="22"/>
        </w:rPr>
        <w:t>2</w:t>
      </w:r>
      <w:r w:rsidR="00911983">
        <w:rPr>
          <w:rFonts w:ascii="Arial" w:hAnsi="Arial" w:cs="Arial"/>
          <w:sz w:val="22"/>
          <w:szCs w:val="22"/>
        </w:rPr>
        <w:t>2</w:t>
      </w:r>
      <w:r w:rsidR="00B05371">
        <w:rPr>
          <w:rFonts w:ascii="Arial" w:hAnsi="Arial" w:cs="Arial"/>
          <w:sz w:val="22"/>
          <w:szCs w:val="22"/>
        </w:rPr>
        <w:t>/2</w:t>
      </w:r>
      <w:r w:rsidR="00911983">
        <w:rPr>
          <w:rFonts w:ascii="Arial" w:hAnsi="Arial" w:cs="Arial"/>
          <w:sz w:val="22"/>
          <w:szCs w:val="22"/>
        </w:rPr>
        <w:t>3</w:t>
      </w:r>
    </w:p>
    <w:p w14:paraId="7518C75F" w14:textId="77777777" w:rsidR="0088767C" w:rsidRDefault="0088767C" w:rsidP="00A42023">
      <w:pPr>
        <w:jc w:val="both"/>
      </w:pPr>
    </w:p>
    <w:p w14:paraId="52A58970" w14:textId="799E160F" w:rsidR="00A13863" w:rsidRDefault="00A13863" w:rsidP="00C22B55">
      <w:pPr>
        <w:pStyle w:val="ListParagraph"/>
        <w:numPr>
          <w:ilvl w:val="1"/>
          <w:numId w:val="3"/>
        </w:numPr>
        <w:ind w:left="426" w:hanging="426"/>
        <w:jc w:val="both"/>
      </w:pPr>
      <w:r>
        <w:t>A</w:t>
      </w:r>
      <w:r w:rsidR="009B1EA4">
        <w:t>ny</w:t>
      </w:r>
      <w:r>
        <w:t xml:space="preserve"> surplus funds have been invested on a daily basis. The</w:t>
      </w:r>
      <w:r w:rsidR="00D3129D">
        <w:t xml:space="preserve"> PCC uses an investment benchmark to assess the investment performance of its investment portfolio of</w:t>
      </w:r>
      <w:r w:rsidR="005C7DEB">
        <w:t xml:space="preserve"> Sterling overnight Index average (SONIA)</w:t>
      </w:r>
      <w:r>
        <w:t>.</w:t>
      </w:r>
      <w:r w:rsidR="006F58DD" w:rsidRPr="00953C68">
        <w:t xml:space="preserve"> </w:t>
      </w:r>
    </w:p>
    <w:p w14:paraId="33966654" w14:textId="77777777" w:rsidR="00A13863" w:rsidRDefault="00A13863" w:rsidP="00A42023">
      <w:pPr>
        <w:pStyle w:val="ListParagraph"/>
        <w:ind w:left="426" w:hanging="426"/>
        <w:jc w:val="both"/>
      </w:pPr>
    </w:p>
    <w:p w14:paraId="2BE079C9" w14:textId="654FF003" w:rsidR="00A13863" w:rsidRDefault="00A13863" w:rsidP="00C22B55">
      <w:pPr>
        <w:pStyle w:val="ListParagraph"/>
        <w:numPr>
          <w:ilvl w:val="1"/>
          <w:numId w:val="3"/>
        </w:numPr>
        <w:ind w:left="426" w:hanging="426"/>
        <w:jc w:val="both"/>
      </w:pPr>
      <w:r>
        <w:t xml:space="preserve">Interest </w:t>
      </w:r>
      <w:r w:rsidRPr="00161B7A">
        <w:t xml:space="preserve">earned on </w:t>
      </w:r>
      <w:r w:rsidR="00E90259">
        <w:t xml:space="preserve">fixed term </w:t>
      </w:r>
      <w:r w:rsidRPr="00161B7A">
        <w:t>investments up to the end of March</w:t>
      </w:r>
      <w:r w:rsidR="00487368">
        <w:t xml:space="preserve"> 202</w:t>
      </w:r>
      <w:r w:rsidR="00E55C01">
        <w:t>3</w:t>
      </w:r>
      <w:r w:rsidRPr="00161B7A">
        <w:t xml:space="preserve"> is predicted to average </w:t>
      </w:r>
      <w:r w:rsidR="009E7F6D">
        <w:t>1.91</w:t>
      </w:r>
      <w:r w:rsidRPr="000972DD">
        <w:t>%</w:t>
      </w:r>
      <w:r w:rsidR="009E7F6D">
        <w:t>.  T</w:t>
      </w:r>
      <w:r w:rsidR="005C5E99">
        <w:t>he SONIA rate</w:t>
      </w:r>
      <w:r w:rsidR="009E7F6D">
        <w:t xml:space="preserve"> to mid-Feb averages 1.97%</w:t>
      </w:r>
      <w:r w:rsidR="00E90259">
        <w:t xml:space="preserve"> but is calculated daily and has been increasing in line with Bank of England interest rates</w:t>
      </w:r>
      <w:r w:rsidRPr="00161B7A">
        <w:t xml:space="preserve">. </w:t>
      </w:r>
      <w:r w:rsidR="005C5E99">
        <w:t xml:space="preserve">Although the interest earned is lined with the benchmark it must be remembered that the primary objective of the PCC’s treasury management strategy is security and liquidity so it </w:t>
      </w:r>
      <w:r w:rsidR="00656BBB">
        <w:t xml:space="preserve">is </w:t>
      </w:r>
      <w:r w:rsidR="005C5E99">
        <w:t>these factors that will be pursued ahead of yield.</w:t>
      </w:r>
    </w:p>
    <w:p w14:paraId="5DACE29E" w14:textId="77777777" w:rsidR="00A13863" w:rsidRDefault="00A13863" w:rsidP="00A42023">
      <w:pPr>
        <w:pStyle w:val="ListParagraph"/>
        <w:ind w:left="426" w:hanging="426"/>
        <w:jc w:val="both"/>
      </w:pPr>
    </w:p>
    <w:p w14:paraId="4C7EB5FE" w14:textId="2CEF126A" w:rsidR="00A13863" w:rsidRPr="0020545F" w:rsidRDefault="009B32C8" w:rsidP="00C22B55">
      <w:pPr>
        <w:pStyle w:val="ListParagraph"/>
        <w:numPr>
          <w:ilvl w:val="1"/>
          <w:numId w:val="3"/>
        </w:numPr>
        <w:ind w:left="426" w:hanging="426"/>
        <w:jc w:val="both"/>
      </w:pPr>
      <w:r w:rsidRPr="0020545F">
        <w:lastRenderedPageBreak/>
        <w:t>The</w:t>
      </w:r>
      <w:r w:rsidR="00A13863" w:rsidRPr="0020545F">
        <w:t xml:space="preserve"> </w:t>
      </w:r>
      <w:r w:rsidR="00634A38" w:rsidRPr="0020545F">
        <w:t>Commissioner</w:t>
      </w:r>
      <w:r w:rsidRPr="0020545F">
        <w:t xml:space="preserve"> approved a </w:t>
      </w:r>
      <w:r w:rsidR="00A13863" w:rsidRPr="0020545F">
        <w:t>list of counter parties with whom investments could be placed</w:t>
      </w:r>
      <w:r w:rsidRPr="0020545F">
        <w:t xml:space="preserve"> for 20</w:t>
      </w:r>
      <w:r w:rsidR="00F35E10" w:rsidRPr="0020545F">
        <w:t>2</w:t>
      </w:r>
      <w:r w:rsidR="00E90259">
        <w:t>2</w:t>
      </w:r>
      <w:r w:rsidR="00F35E10" w:rsidRPr="0020545F">
        <w:t>/2</w:t>
      </w:r>
      <w:r w:rsidR="00E90259">
        <w:t>3</w:t>
      </w:r>
      <w:r w:rsidR="00A13863" w:rsidRPr="0020545F">
        <w:t xml:space="preserve">. </w:t>
      </w:r>
      <w:r w:rsidR="00E402D8" w:rsidRPr="0020545F">
        <w:t xml:space="preserve"> </w:t>
      </w:r>
      <w:r w:rsidRPr="00B610DC">
        <w:t>At</w:t>
      </w:r>
      <w:r w:rsidR="00B01B2C" w:rsidRPr="00B610DC">
        <w:t xml:space="preserve"> </w:t>
      </w:r>
      <w:r w:rsidR="00C95948" w:rsidRPr="00B610DC">
        <w:t>6</w:t>
      </w:r>
      <w:r w:rsidRPr="00B610DC">
        <w:t xml:space="preserve"> </w:t>
      </w:r>
      <w:r w:rsidR="00B01B2C" w:rsidRPr="00B610DC">
        <w:t>March</w:t>
      </w:r>
      <w:r w:rsidRPr="00B610DC">
        <w:t xml:space="preserve"> 202</w:t>
      </w:r>
      <w:r w:rsidR="00C95948" w:rsidRPr="00B610DC">
        <w:t>3</w:t>
      </w:r>
      <w:r w:rsidR="00A13863" w:rsidRPr="00B610DC">
        <w:t>, the C</w:t>
      </w:r>
      <w:r w:rsidR="00634A38" w:rsidRPr="00B610DC">
        <w:t>ommissioner</w:t>
      </w:r>
      <w:r w:rsidR="00A13863" w:rsidRPr="00B610DC">
        <w:t xml:space="preserve"> had £</w:t>
      </w:r>
      <w:r w:rsidR="00B610DC" w:rsidRPr="00B610DC">
        <w:t>1</w:t>
      </w:r>
      <w:r w:rsidR="00B610DC">
        <w:t>12</w:t>
      </w:r>
      <w:r w:rsidR="00A13863" w:rsidRPr="00B610DC">
        <w:t xml:space="preserve">m invested with a range of maturity dates between </w:t>
      </w:r>
      <w:r w:rsidR="00640300" w:rsidRPr="00B610DC">
        <w:t>instant access</w:t>
      </w:r>
      <w:r w:rsidR="00A13863" w:rsidRPr="00B610DC">
        <w:t xml:space="preserve"> and </w:t>
      </w:r>
      <w:r w:rsidR="00640300" w:rsidRPr="00B610DC">
        <w:t>two</w:t>
      </w:r>
      <w:r w:rsidR="0069496C" w:rsidRPr="00B610DC">
        <w:t xml:space="preserve"> </w:t>
      </w:r>
      <w:r w:rsidR="00634A38" w:rsidRPr="00B610DC">
        <w:t>y</w:t>
      </w:r>
      <w:r w:rsidR="00795235" w:rsidRPr="00B610DC">
        <w:t>ears</w:t>
      </w:r>
      <w:r w:rsidRPr="00B610DC">
        <w:t>,</w:t>
      </w:r>
      <w:r w:rsidRPr="0020545F">
        <w:t xml:space="preserve"> and a further £5m with CCLA</w:t>
      </w:r>
      <w:r w:rsidR="00640300" w:rsidRPr="0020545F">
        <w:t xml:space="preserve"> property fund</w:t>
      </w:r>
      <w:r w:rsidRPr="0020545F">
        <w:t xml:space="preserve"> with no maturity date</w:t>
      </w:r>
      <w:r w:rsidR="00A13863" w:rsidRPr="0020545F">
        <w:t>.</w:t>
      </w:r>
    </w:p>
    <w:p w14:paraId="3418AF03" w14:textId="77777777" w:rsidR="00532DCE" w:rsidRDefault="00532DCE" w:rsidP="00A42023">
      <w:pPr>
        <w:pStyle w:val="ListParagraph"/>
        <w:ind w:left="426" w:hanging="426"/>
        <w:jc w:val="both"/>
      </w:pPr>
    </w:p>
    <w:p w14:paraId="274FE7AC" w14:textId="09D264E0" w:rsidR="00A56FBF" w:rsidRPr="002A4ADD" w:rsidRDefault="00A13863" w:rsidP="00C22B55">
      <w:pPr>
        <w:pStyle w:val="ListParagraph"/>
        <w:numPr>
          <w:ilvl w:val="1"/>
          <w:numId w:val="3"/>
        </w:numPr>
        <w:ind w:left="426" w:hanging="426"/>
        <w:jc w:val="both"/>
        <w:rPr>
          <w:b/>
        </w:rPr>
      </w:pPr>
      <w:r w:rsidRPr="00D33AC9">
        <w:t>All of the C</w:t>
      </w:r>
      <w:r w:rsidR="00634A38" w:rsidRPr="00D33AC9">
        <w:t>ommissioner</w:t>
      </w:r>
      <w:r w:rsidRPr="00D33AC9">
        <w:t>’s investments are with UK based entities</w:t>
      </w:r>
      <w:r w:rsidR="00A56FBF">
        <w:t>. The split of these investments is as follows</w:t>
      </w:r>
      <w:r w:rsidR="00AD3838">
        <w:t xml:space="preserve"> and detailed in </w:t>
      </w:r>
      <w:r w:rsidR="00AD3838" w:rsidRPr="002A4ADD">
        <w:rPr>
          <w:b/>
        </w:rPr>
        <w:t>Appendix D</w:t>
      </w:r>
      <w:r w:rsidR="00A56FBF" w:rsidRPr="002A4ADD">
        <w:rPr>
          <w:b/>
        </w:rPr>
        <w:t>:</w:t>
      </w:r>
      <w:r w:rsidRPr="002A4ADD">
        <w:rPr>
          <w:b/>
        </w:rPr>
        <w:t xml:space="preserve"> </w:t>
      </w:r>
    </w:p>
    <w:p w14:paraId="3F778255" w14:textId="77777777" w:rsidR="00A56FBF" w:rsidRDefault="00A56FBF" w:rsidP="00A56FBF">
      <w:pPr>
        <w:pStyle w:val="ListParagraph"/>
      </w:pPr>
    </w:p>
    <w:p w14:paraId="33171F31" w14:textId="0FDC2739" w:rsidR="00A56FBF" w:rsidRPr="00B610DC" w:rsidRDefault="00B610DC" w:rsidP="00C22B55">
      <w:pPr>
        <w:pStyle w:val="ListParagraph"/>
        <w:numPr>
          <w:ilvl w:val="0"/>
          <w:numId w:val="17"/>
        </w:numPr>
        <w:jc w:val="both"/>
      </w:pPr>
      <w:r w:rsidRPr="00B610DC">
        <w:t>36</w:t>
      </w:r>
      <w:r w:rsidR="00A13863" w:rsidRPr="00B610DC">
        <w:t>% British Banks</w:t>
      </w:r>
      <w:r w:rsidR="00D60AE3" w:rsidRPr="00B610DC">
        <w:t>/Building Societies</w:t>
      </w:r>
      <w:r w:rsidR="00A13863" w:rsidRPr="00B610DC">
        <w:t xml:space="preserve">, </w:t>
      </w:r>
    </w:p>
    <w:p w14:paraId="26B78439" w14:textId="2778425E" w:rsidR="00A56FBF" w:rsidRPr="00B610DC" w:rsidRDefault="00B610DC" w:rsidP="00C22B55">
      <w:pPr>
        <w:pStyle w:val="ListParagraph"/>
        <w:numPr>
          <w:ilvl w:val="0"/>
          <w:numId w:val="17"/>
        </w:numPr>
        <w:jc w:val="both"/>
      </w:pPr>
      <w:r w:rsidRPr="00B610DC">
        <w:t>51</w:t>
      </w:r>
      <w:r w:rsidR="00A56FBF" w:rsidRPr="00B610DC">
        <w:t>% Money Market Funds (MMF’s)</w:t>
      </w:r>
    </w:p>
    <w:p w14:paraId="289D2107" w14:textId="2A2B8B3A" w:rsidR="00A56FBF" w:rsidRPr="00B610DC" w:rsidRDefault="00B610DC" w:rsidP="00C22B55">
      <w:pPr>
        <w:pStyle w:val="ListParagraph"/>
        <w:numPr>
          <w:ilvl w:val="0"/>
          <w:numId w:val="17"/>
        </w:numPr>
        <w:jc w:val="both"/>
      </w:pPr>
      <w:r w:rsidRPr="00B610DC">
        <w:t>9</w:t>
      </w:r>
      <w:r w:rsidR="00A56FBF" w:rsidRPr="00B610DC">
        <w:t xml:space="preserve">% Local Authorities, </w:t>
      </w:r>
    </w:p>
    <w:p w14:paraId="7E667CE2" w14:textId="1A0EEFAD" w:rsidR="00AD3838" w:rsidRPr="00B610DC" w:rsidRDefault="00B610DC" w:rsidP="0020545F">
      <w:pPr>
        <w:pStyle w:val="ListParagraph"/>
        <w:numPr>
          <w:ilvl w:val="0"/>
          <w:numId w:val="17"/>
        </w:numPr>
        <w:jc w:val="both"/>
      </w:pPr>
      <w:r w:rsidRPr="00B610DC">
        <w:t>4</w:t>
      </w:r>
      <w:r w:rsidR="002C6419" w:rsidRPr="00B610DC">
        <w:t>% CCLA</w:t>
      </w:r>
      <w:r w:rsidR="00732C95" w:rsidRPr="00B610DC">
        <w:t xml:space="preserve"> </w:t>
      </w:r>
    </w:p>
    <w:p w14:paraId="30BE85B6" w14:textId="5E1AE9B7" w:rsidR="007F3264" w:rsidRDefault="002A4ADD" w:rsidP="00A56FBF">
      <w:pPr>
        <w:ind w:left="426"/>
        <w:jc w:val="both"/>
      </w:pPr>
      <w:r>
        <w:t>T</w:t>
      </w:r>
      <w:r w:rsidR="007F3264">
        <w:t>he</w:t>
      </w:r>
      <w:r w:rsidR="00532DCE">
        <w:t xml:space="preserve"> C</w:t>
      </w:r>
      <w:r w:rsidR="007F3264">
        <w:t>ommissioner</w:t>
      </w:r>
      <w:r w:rsidR="0089556D">
        <w:t xml:space="preserve"> has held no investments with foreign banks</w:t>
      </w:r>
      <w:r w:rsidR="00440206">
        <w:t xml:space="preserve">, all money market funds are UK based funds. </w:t>
      </w:r>
    </w:p>
    <w:p w14:paraId="181C6B90" w14:textId="77777777" w:rsidR="00532DCE" w:rsidRDefault="00532DCE" w:rsidP="00A42023">
      <w:pPr>
        <w:pStyle w:val="ListParagraph"/>
        <w:ind w:left="426" w:hanging="426"/>
        <w:jc w:val="both"/>
      </w:pPr>
    </w:p>
    <w:p w14:paraId="467ED8DE" w14:textId="678F32FD" w:rsidR="0030682C" w:rsidRDefault="0030682C" w:rsidP="00C22B55">
      <w:pPr>
        <w:pStyle w:val="ListParagraph"/>
        <w:numPr>
          <w:ilvl w:val="1"/>
          <w:numId w:val="3"/>
        </w:numPr>
        <w:ind w:left="426" w:hanging="426"/>
        <w:jc w:val="both"/>
      </w:pPr>
      <w:r>
        <w:t xml:space="preserve">MMF’s </w:t>
      </w:r>
      <w:r w:rsidR="00C96ED7">
        <w:t>have been</w:t>
      </w:r>
      <w:r>
        <w:t xml:space="preserve"> used </w:t>
      </w:r>
      <w:r w:rsidR="00C96ED7">
        <w:t xml:space="preserve">to hold up to £60m throughout 2022/23 as they provide liquidity </w:t>
      </w:r>
      <w:r w:rsidR="009314A8">
        <w:t>as well as yield rates which are reviewed daily</w:t>
      </w:r>
      <w:r>
        <w:t xml:space="preserve">.  This will </w:t>
      </w:r>
      <w:r w:rsidR="00905904">
        <w:t xml:space="preserve">have </w:t>
      </w:r>
      <w:r>
        <w:t>generate</w:t>
      </w:r>
      <w:r w:rsidR="00905904">
        <w:t>d</w:t>
      </w:r>
      <w:r>
        <w:t xml:space="preserve"> approximately </w:t>
      </w:r>
      <w:r w:rsidR="00046EC8">
        <w:t>£1</w:t>
      </w:r>
      <w:r w:rsidR="009314A8">
        <w:t>.2m</w:t>
      </w:r>
      <w:r w:rsidR="00046EC8">
        <w:t xml:space="preserve"> of additional income</w:t>
      </w:r>
      <w:r w:rsidR="00656BBB">
        <w:t xml:space="preserve"> in the 2</w:t>
      </w:r>
      <w:r w:rsidR="009314A8">
        <w:t>2</w:t>
      </w:r>
      <w:r w:rsidR="00656BBB">
        <w:t>/2</w:t>
      </w:r>
      <w:r w:rsidR="009314A8">
        <w:t>3</w:t>
      </w:r>
      <w:r w:rsidR="00656BBB">
        <w:t xml:space="preserve"> financial year</w:t>
      </w:r>
      <w:r w:rsidR="00046EC8">
        <w:t>.</w:t>
      </w:r>
    </w:p>
    <w:p w14:paraId="19B60937" w14:textId="77777777" w:rsidR="00046EC8" w:rsidRDefault="00046EC8" w:rsidP="00046EC8">
      <w:pPr>
        <w:pStyle w:val="ListParagraph"/>
        <w:ind w:left="426"/>
        <w:jc w:val="both"/>
      </w:pPr>
    </w:p>
    <w:p w14:paraId="155741FD" w14:textId="182EBB3E" w:rsidR="00532DCE" w:rsidRDefault="00532DCE" w:rsidP="00C22B55">
      <w:pPr>
        <w:pStyle w:val="ListParagraph"/>
        <w:numPr>
          <w:ilvl w:val="1"/>
          <w:numId w:val="3"/>
        </w:numPr>
        <w:ind w:left="426" w:hanging="426"/>
        <w:jc w:val="both"/>
      </w:pPr>
      <w:r>
        <w:t xml:space="preserve">Based on market information provided by </w:t>
      </w:r>
      <w:r w:rsidR="00A31508">
        <w:t>L</w:t>
      </w:r>
      <w:r w:rsidR="009B32C8">
        <w:t>ink</w:t>
      </w:r>
      <w:r w:rsidR="00E82E1E">
        <w:t xml:space="preserve"> Asset Services</w:t>
      </w:r>
      <w:r>
        <w:t>, the counter party list has been</w:t>
      </w:r>
      <w:r w:rsidRPr="006A2EC2">
        <w:t xml:space="preserve"> </w:t>
      </w:r>
      <w:r>
        <w:t>fully reviewed to reflect: current market conditions, credit ratings of sovereign nations, and the impact of Government support for the banking sector. As a consequence</w:t>
      </w:r>
      <w:r w:rsidR="00D60AE3">
        <w:t>,</w:t>
      </w:r>
      <w:r>
        <w:t xml:space="preserve"> </w:t>
      </w:r>
      <w:r w:rsidR="00EC6284">
        <w:t xml:space="preserve">the limits, both financial and </w:t>
      </w:r>
      <w:r>
        <w:t xml:space="preserve">duration, have been adjusted for some institutions. </w:t>
      </w:r>
      <w:r w:rsidR="006E7568">
        <w:t>T</w:t>
      </w:r>
      <w:r>
        <w:t xml:space="preserve">he </w:t>
      </w:r>
      <w:r w:rsidRPr="00F070A0">
        <w:t xml:space="preserve">group </w:t>
      </w:r>
      <w:r w:rsidR="0089556D">
        <w:t xml:space="preserve">and individual </w:t>
      </w:r>
      <w:r w:rsidRPr="00F070A0">
        <w:t>limits (£</w:t>
      </w:r>
      <w:r w:rsidR="00C44F01">
        <w:t>6</w:t>
      </w:r>
      <w:r w:rsidR="003A5282">
        <w:t>5</w:t>
      </w:r>
      <w:r w:rsidRPr="00F070A0">
        <w:t>m) for the part government owned institutions (National Westminster Bank, Royal Bank of Scotland)</w:t>
      </w:r>
      <w:r>
        <w:t xml:space="preserve"> </w:t>
      </w:r>
      <w:r w:rsidR="006E7568">
        <w:t>remain the same as in 202</w:t>
      </w:r>
      <w:r w:rsidR="00F10674">
        <w:t>2</w:t>
      </w:r>
      <w:r w:rsidR="006E7568">
        <w:t>-2</w:t>
      </w:r>
      <w:r w:rsidR="00F10674">
        <w:t>3</w:t>
      </w:r>
      <w:r w:rsidR="006E7568">
        <w:t xml:space="preserve">. </w:t>
      </w:r>
      <w:r w:rsidR="00D60AE3">
        <w:t>(The Nat</w:t>
      </w:r>
      <w:r w:rsidR="005433F4">
        <w:t>W</w:t>
      </w:r>
      <w:r w:rsidR="00D60AE3">
        <w:t>est group are the bankers for the PCC</w:t>
      </w:r>
      <w:r w:rsidR="006E7568">
        <w:t xml:space="preserve"> and any uninvested funds reside here</w:t>
      </w:r>
      <w:r w:rsidR="00D60AE3">
        <w:t>)</w:t>
      </w:r>
      <w:r w:rsidR="00E21FD4">
        <w:t>. During 202</w:t>
      </w:r>
      <w:r w:rsidR="00F10674">
        <w:t>2</w:t>
      </w:r>
      <w:r w:rsidR="00E21FD4">
        <w:t>-2</w:t>
      </w:r>
      <w:r w:rsidR="00F10674">
        <w:t>3</w:t>
      </w:r>
      <w:r w:rsidR="00E21FD4">
        <w:t xml:space="preserve"> there were a </w:t>
      </w:r>
      <w:r w:rsidR="00355A49">
        <w:t>number of</w:t>
      </w:r>
      <w:r w:rsidR="00E21FD4">
        <w:t xml:space="preserve"> times where the cash held in the </w:t>
      </w:r>
      <w:r w:rsidR="00355A49">
        <w:t>NatWest</w:t>
      </w:r>
      <w:r w:rsidR="00E21FD4">
        <w:t xml:space="preserve"> account exceeded £65m.  This was due to </w:t>
      </w:r>
      <w:r w:rsidR="00712D01">
        <w:t xml:space="preserve">peaks in grant payments received and </w:t>
      </w:r>
      <w:r w:rsidR="00E21FD4">
        <w:t xml:space="preserve">the lack of suitable counterparties to invest in given the </w:t>
      </w:r>
      <w:r w:rsidR="00712D01">
        <w:t>reluctance to enter into investments with other Local Authorities.</w:t>
      </w:r>
      <w:r w:rsidR="00E21FD4">
        <w:t xml:space="preserve"> </w:t>
      </w:r>
      <w:r w:rsidR="00712D01">
        <w:t>I</w:t>
      </w:r>
      <w:r w:rsidR="00E21FD4">
        <w:t xml:space="preserve">t was deemed more prudent to keep money residing in the </w:t>
      </w:r>
      <w:r w:rsidR="00355A49">
        <w:t>NatWest</w:t>
      </w:r>
      <w:r w:rsidR="00E21FD4">
        <w:t xml:space="preserve"> account. </w:t>
      </w:r>
    </w:p>
    <w:p w14:paraId="07EEBE56" w14:textId="77777777" w:rsidR="0053673A" w:rsidRDefault="0053673A" w:rsidP="00A42023">
      <w:pPr>
        <w:pStyle w:val="ListParagraph"/>
        <w:ind w:left="426" w:hanging="426"/>
        <w:jc w:val="both"/>
      </w:pPr>
    </w:p>
    <w:p w14:paraId="3E4C15D7" w14:textId="09D30FC3" w:rsidR="0053673A" w:rsidRDefault="00355A49" w:rsidP="00C22B55">
      <w:pPr>
        <w:pStyle w:val="ListParagraph"/>
        <w:numPr>
          <w:ilvl w:val="1"/>
          <w:numId w:val="3"/>
        </w:numPr>
        <w:ind w:left="426" w:hanging="426"/>
        <w:jc w:val="both"/>
      </w:pPr>
      <w:r>
        <w:t>Similarly,</w:t>
      </w:r>
      <w:r w:rsidR="0053673A">
        <w:t xml:space="preserve"> all Local Authorities</w:t>
      </w:r>
      <w:r w:rsidR="00CE490C">
        <w:t xml:space="preserve"> are eligible for inclusion on the counter party list because </w:t>
      </w:r>
      <w:r>
        <w:t>ultimately,</w:t>
      </w:r>
      <w:r w:rsidR="00CE490C">
        <w:t xml:space="preserve"> they have the support of the national government. </w:t>
      </w:r>
      <w:r w:rsidR="00D60AE3">
        <w:t>However, during 2020</w:t>
      </w:r>
      <w:r w:rsidR="006E7568">
        <w:t>/21</w:t>
      </w:r>
      <w:r w:rsidR="00D60AE3">
        <w:t xml:space="preserve"> it became know</w:t>
      </w:r>
      <w:r w:rsidR="008B67C2">
        <w:t>n</w:t>
      </w:r>
      <w:r w:rsidR="00D60AE3">
        <w:t xml:space="preserve"> that some Local Authorities issued </w:t>
      </w:r>
      <w:r w:rsidR="005433F4">
        <w:t>S</w:t>
      </w:r>
      <w:r w:rsidR="00D60AE3">
        <w:t>ection 114 notices, effectively stating they</w:t>
      </w:r>
      <w:r w:rsidR="008B67C2">
        <w:t xml:space="preserve"> cannot balance the budget for the year and placing a freeze on any non-essential spending. (It should be noted that the repayment of investments </w:t>
      </w:r>
      <w:r>
        <w:t>falls</w:t>
      </w:r>
      <w:r w:rsidR="008B67C2">
        <w:t xml:space="preserve"> outside the scope of this as it is a legal obligation).  As a result of this, additional due diligence is now carried out on any Local Authority investments to ensure that investments are secure and to avoid any adverse publicity. </w:t>
      </w:r>
    </w:p>
    <w:p w14:paraId="4F8B561C" w14:textId="77777777" w:rsidR="00532DCE" w:rsidRDefault="00532DCE" w:rsidP="00A42023">
      <w:pPr>
        <w:pStyle w:val="ListParagraph"/>
        <w:ind w:left="426" w:hanging="426"/>
        <w:jc w:val="both"/>
      </w:pPr>
    </w:p>
    <w:p w14:paraId="2F7349CA" w14:textId="77777777" w:rsidR="00532DCE" w:rsidRDefault="00532DCE" w:rsidP="00C22B55">
      <w:pPr>
        <w:pStyle w:val="ListParagraph"/>
        <w:numPr>
          <w:ilvl w:val="1"/>
          <w:numId w:val="3"/>
        </w:numPr>
        <w:ind w:left="426" w:hanging="426"/>
        <w:jc w:val="both"/>
      </w:pPr>
      <w:r>
        <w:t>If institutions now fall below the set criteria they have been removed from the list and added if they become eligible. A copy of the latest list, which will be kept under review by the C</w:t>
      </w:r>
      <w:r w:rsidR="00722A2D">
        <w:t>ommissioner</w:t>
      </w:r>
      <w:r>
        <w:t xml:space="preserve">’s CFO, in accordance with the TMP Statements, is attached at </w:t>
      </w:r>
      <w:r w:rsidRPr="00BD5CA1">
        <w:rPr>
          <w:b/>
        </w:rPr>
        <w:t>Appendix C</w:t>
      </w:r>
      <w:r>
        <w:t xml:space="preserve">. Details of the criteria are contained within the annual investment </w:t>
      </w:r>
      <w:r w:rsidRPr="008C37C0">
        <w:t xml:space="preserve">strategy </w:t>
      </w:r>
      <w:r w:rsidRPr="0020545F">
        <w:t>in</w:t>
      </w:r>
      <w:r w:rsidRPr="00BD5CA1">
        <w:rPr>
          <w:b/>
        </w:rPr>
        <w:t xml:space="preserve"> Appendix B.</w:t>
      </w:r>
    </w:p>
    <w:p w14:paraId="74E28726" w14:textId="77777777" w:rsidR="00532DCE" w:rsidRDefault="00532DCE" w:rsidP="00A42023">
      <w:pPr>
        <w:pStyle w:val="ListParagraph"/>
        <w:ind w:left="426" w:hanging="426"/>
        <w:jc w:val="both"/>
      </w:pPr>
    </w:p>
    <w:p w14:paraId="6FD41533" w14:textId="03C03026" w:rsidR="00FC02A7" w:rsidRDefault="00532DCE" w:rsidP="00C22B55">
      <w:pPr>
        <w:pStyle w:val="ListParagraph"/>
        <w:numPr>
          <w:ilvl w:val="1"/>
          <w:numId w:val="3"/>
        </w:numPr>
        <w:ind w:left="426" w:hanging="426"/>
        <w:jc w:val="both"/>
      </w:pPr>
      <w:r>
        <w:t xml:space="preserve">The day to day work of Treasury Management is carried out in the Finance Department with oversight from the Director of </w:t>
      </w:r>
      <w:r w:rsidR="00281EB2">
        <w:t>Commercial S</w:t>
      </w:r>
      <w:r>
        <w:t>e</w:t>
      </w:r>
      <w:r w:rsidR="00281EB2">
        <w:t>rvice</w:t>
      </w:r>
      <w:r>
        <w:t>s</w:t>
      </w:r>
      <w:r w:rsidR="00281EB2">
        <w:t>.</w:t>
      </w:r>
      <w:r>
        <w:t xml:space="preserve"> The Treasury Management Strategy is therefore managed using appropriate delegations and periodic management reporting to the Direct</w:t>
      </w:r>
      <w:r w:rsidR="00722A2D">
        <w:t xml:space="preserve">or of </w:t>
      </w:r>
      <w:r w:rsidR="00281EB2">
        <w:t>Commercial S</w:t>
      </w:r>
      <w:r w:rsidR="00722A2D">
        <w:t>e</w:t>
      </w:r>
      <w:r w:rsidR="00281EB2">
        <w:t xml:space="preserve">rvices and </w:t>
      </w:r>
      <w:r w:rsidR="00722A2D">
        <w:t xml:space="preserve">the </w:t>
      </w:r>
      <w:r>
        <w:t>C</w:t>
      </w:r>
      <w:r w:rsidR="00722A2D">
        <w:t>ommissioner’s CFO. T</w:t>
      </w:r>
      <w:r>
        <w:t>his will continue for the next financial year.</w:t>
      </w:r>
    </w:p>
    <w:p w14:paraId="2960B447" w14:textId="67A0A986" w:rsidR="00BA13EA" w:rsidRPr="004F024C" w:rsidRDefault="001121F2" w:rsidP="00A42023">
      <w:pPr>
        <w:pStyle w:val="Heading1"/>
        <w:ind w:left="426" w:hanging="426"/>
        <w:jc w:val="both"/>
        <w:rPr>
          <w:rFonts w:ascii="Arial" w:hAnsi="Arial" w:cs="Arial"/>
          <w:sz w:val="22"/>
          <w:szCs w:val="22"/>
        </w:rPr>
      </w:pPr>
      <w:r w:rsidRPr="004F024C">
        <w:rPr>
          <w:rFonts w:ascii="Arial" w:hAnsi="Arial" w:cs="Arial"/>
          <w:sz w:val="22"/>
          <w:szCs w:val="22"/>
        </w:rPr>
        <w:lastRenderedPageBreak/>
        <w:t>5</w:t>
      </w:r>
      <w:r w:rsidR="00BA13EA" w:rsidRPr="004F024C">
        <w:rPr>
          <w:rFonts w:ascii="Arial" w:hAnsi="Arial" w:cs="Arial"/>
          <w:sz w:val="22"/>
          <w:szCs w:val="22"/>
        </w:rPr>
        <w:tab/>
      </w:r>
      <w:r w:rsidR="002A528A" w:rsidRPr="004F024C">
        <w:rPr>
          <w:rFonts w:ascii="Arial" w:hAnsi="Arial" w:cs="Arial"/>
          <w:sz w:val="22"/>
          <w:szCs w:val="22"/>
        </w:rPr>
        <w:t>T</w:t>
      </w:r>
      <w:r w:rsidRPr="004F024C">
        <w:rPr>
          <w:rFonts w:ascii="Arial" w:hAnsi="Arial" w:cs="Arial"/>
          <w:sz w:val="22"/>
          <w:szCs w:val="22"/>
        </w:rPr>
        <w:t>RE</w:t>
      </w:r>
      <w:r w:rsidR="002A528A" w:rsidRPr="004F024C">
        <w:rPr>
          <w:rFonts w:ascii="Arial" w:hAnsi="Arial" w:cs="Arial"/>
          <w:sz w:val="22"/>
          <w:szCs w:val="22"/>
        </w:rPr>
        <w:t>ASURY S</w:t>
      </w:r>
      <w:r w:rsidRPr="004F024C">
        <w:rPr>
          <w:rFonts w:ascii="Arial" w:hAnsi="Arial" w:cs="Arial"/>
          <w:sz w:val="22"/>
          <w:szCs w:val="22"/>
        </w:rPr>
        <w:t>T</w:t>
      </w:r>
      <w:r w:rsidR="00537023" w:rsidRPr="004F024C">
        <w:rPr>
          <w:rFonts w:ascii="Arial" w:hAnsi="Arial" w:cs="Arial"/>
          <w:sz w:val="22"/>
          <w:szCs w:val="22"/>
        </w:rPr>
        <w:t>RATEGY STATEMENT 202</w:t>
      </w:r>
      <w:r w:rsidR="00D47784">
        <w:rPr>
          <w:rFonts w:ascii="Arial" w:hAnsi="Arial" w:cs="Arial"/>
          <w:sz w:val="22"/>
          <w:szCs w:val="22"/>
        </w:rPr>
        <w:t>3</w:t>
      </w:r>
      <w:r w:rsidR="00801741" w:rsidRPr="004F024C">
        <w:rPr>
          <w:rFonts w:ascii="Arial" w:hAnsi="Arial" w:cs="Arial"/>
          <w:sz w:val="22"/>
          <w:szCs w:val="22"/>
        </w:rPr>
        <w:t>/2</w:t>
      </w:r>
      <w:r w:rsidR="00D47784">
        <w:rPr>
          <w:rFonts w:ascii="Arial" w:hAnsi="Arial" w:cs="Arial"/>
          <w:sz w:val="22"/>
          <w:szCs w:val="22"/>
        </w:rPr>
        <w:t>4</w:t>
      </w:r>
    </w:p>
    <w:p w14:paraId="1A9FF176" w14:textId="77777777" w:rsidR="00BA13EA" w:rsidRDefault="00BA13EA" w:rsidP="00A42023">
      <w:pPr>
        <w:ind w:left="426" w:right="543" w:hanging="426"/>
        <w:jc w:val="both"/>
        <w:rPr>
          <w:b/>
        </w:rPr>
      </w:pPr>
    </w:p>
    <w:p w14:paraId="0A4753C9" w14:textId="143618DF" w:rsidR="002A528A" w:rsidRPr="00AD508F" w:rsidRDefault="001121F2" w:rsidP="00A42023">
      <w:pPr>
        <w:ind w:left="426" w:right="95" w:hanging="426"/>
        <w:jc w:val="both"/>
        <w:rPr>
          <w:b/>
        </w:rPr>
      </w:pPr>
      <w:r>
        <w:t>5</w:t>
      </w:r>
      <w:r w:rsidR="00ED039D">
        <w:t>.1</w:t>
      </w:r>
      <w:r w:rsidR="00ED039D">
        <w:tab/>
      </w:r>
      <w:r w:rsidR="002A528A">
        <w:t>The Treasury Strategy Statement covers the C</w:t>
      </w:r>
      <w:r w:rsidR="00722A2D">
        <w:t>ommissioner</w:t>
      </w:r>
      <w:r w:rsidR="003845EA">
        <w:t>’s latest capital funding</w:t>
      </w:r>
      <w:r w:rsidR="00BA13EA">
        <w:t xml:space="preserve"> </w:t>
      </w:r>
      <w:r w:rsidR="002A528A">
        <w:t>requirements, view of interest rate movements,</w:t>
      </w:r>
      <w:r w:rsidR="003845EA">
        <w:t xml:space="preserve"> and strategy for borrowing and</w:t>
      </w:r>
      <w:r w:rsidR="00BA13EA">
        <w:t xml:space="preserve"> </w:t>
      </w:r>
      <w:r w:rsidR="002A528A">
        <w:t xml:space="preserve">investment in the light of that view.  As such, it needs to be reviewed annually. </w:t>
      </w:r>
      <w:r w:rsidR="00BA13EA">
        <w:t xml:space="preserve"> </w:t>
      </w:r>
      <w:r w:rsidR="002A528A">
        <w:t>The</w:t>
      </w:r>
      <w:r w:rsidR="003845EA">
        <w:t xml:space="preserve"> </w:t>
      </w:r>
      <w:r w:rsidR="002A528A">
        <w:t>Tre</w:t>
      </w:r>
      <w:r w:rsidR="006A11FB">
        <w:t>asury Strategy Statement for 202</w:t>
      </w:r>
      <w:r w:rsidR="00D47784">
        <w:t>3</w:t>
      </w:r>
      <w:r w:rsidR="0088248D">
        <w:t>/2</w:t>
      </w:r>
      <w:r w:rsidR="00D47784">
        <w:t>4</w:t>
      </w:r>
      <w:r w:rsidR="002A528A">
        <w:t xml:space="preserve"> is attached at </w:t>
      </w:r>
      <w:r w:rsidR="002A528A" w:rsidRPr="00BD5CA1">
        <w:rPr>
          <w:b/>
        </w:rPr>
        <w:t>Appendix B.</w:t>
      </w:r>
    </w:p>
    <w:p w14:paraId="6D66069B" w14:textId="77777777" w:rsidR="002A528A" w:rsidRDefault="002A528A" w:rsidP="00A42023">
      <w:pPr>
        <w:ind w:left="426" w:hanging="426"/>
        <w:jc w:val="both"/>
      </w:pPr>
    </w:p>
    <w:p w14:paraId="06FB9789" w14:textId="69B8766D" w:rsidR="002A528A" w:rsidRPr="00D246FB" w:rsidRDefault="002A528A" w:rsidP="00A42023">
      <w:pPr>
        <w:ind w:left="426" w:right="95" w:hanging="426"/>
        <w:jc w:val="both"/>
      </w:pPr>
      <w:r w:rsidRPr="002A528A">
        <w:t>5.2</w:t>
      </w:r>
      <w:r w:rsidR="00ED039D">
        <w:tab/>
      </w:r>
      <w:r w:rsidR="00656BBB" w:rsidRPr="00D246FB">
        <w:t>Following on from recent Bank of England rate rises</w:t>
      </w:r>
      <w:r w:rsidR="00D42D49">
        <w:t>,</w:t>
      </w:r>
      <w:r w:rsidR="00656BBB" w:rsidRPr="00D246FB">
        <w:t xml:space="preserve"> </w:t>
      </w:r>
      <w:r w:rsidR="00D246FB" w:rsidRPr="00D246FB">
        <w:t>future interest rate expectations can be found below.  These a</w:t>
      </w:r>
      <w:r w:rsidR="004C283A">
        <w:t>r</w:t>
      </w:r>
      <w:r w:rsidR="00D246FB" w:rsidRPr="00D246FB">
        <w:t>e important for the PCC as these determine the rate at which the PCC can borrow and invest</w:t>
      </w:r>
      <w:r w:rsidRPr="00D246FB">
        <w:t>:</w:t>
      </w:r>
    </w:p>
    <w:p w14:paraId="7CF10682" w14:textId="77777777" w:rsidR="002A528A" w:rsidRPr="00D246FB" w:rsidRDefault="002A528A" w:rsidP="00A42023">
      <w:pPr>
        <w:pStyle w:val="BodyTextIndent3"/>
        <w:ind w:left="426" w:hanging="426"/>
        <w:jc w:val="both"/>
      </w:pPr>
    </w:p>
    <w:p w14:paraId="45939BB8" w14:textId="77777777" w:rsidR="002A528A" w:rsidRPr="00D246FB" w:rsidRDefault="002A528A" w:rsidP="00A42023">
      <w:pPr>
        <w:ind w:left="426" w:hanging="426"/>
        <w:jc w:val="both"/>
        <w:rPr>
          <w:b/>
        </w:rPr>
      </w:pPr>
      <w:r w:rsidRPr="00D246FB">
        <w:rPr>
          <w:b/>
        </w:rPr>
        <w:t>Short-term rates.</w:t>
      </w:r>
    </w:p>
    <w:p w14:paraId="45C19FC4" w14:textId="5564CB65" w:rsidR="00B75DCE" w:rsidRPr="00D246FB" w:rsidRDefault="00D246FB" w:rsidP="00C22B55">
      <w:pPr>
        <w:pStyle w:val="ListParagraph"/>
        <w:numPr>
          <w:ilvl w:val="0"/>
          <w:numId w:val="23"/>
        </w:numPr>
        <w:jc w:val="both"/>
      </w:pPr>
      <w:r w:rsidRPr="00D246FB">
        <w:t xml:space="preserve">The </w:t>
      </w:r>
      <w:r w:rsidR="00355A49" w:rsidRPr="00D246FB">
        <w:t>short-term</w:t>
      </w:r>
      <w:r w:rsidRPr="00D246FB">
        <w:t xml:space="preserve"> Bank of England base rate is expected to </w:t>
      </w:r>
      <w:r w:rsidR="00A13167">
        <w:t>peak at 4.5</w:t>
      </w:r>
      <w:r w:rsidRPr="00D246FB">
        <w:t xml:space="preserve">% </w:t>
      </w:r>
      <w:r w:rsidR="0069669A">
        <w:t>mid-2023/24</w:t>
      </w:r>
      <w:r w:rsidR="0037098E">
        <w:t xml:space="preserve"> before starting to come down before the end of the financial year</w:t>
      </w:r>
      <w:r w:rsidRPr="00D246FB">
        <w:t>.</w:t>
      </w:r>
    </w:p>
    <w:p w14:paraId="4ED934B7" w14:textId="13996781" w:rsidR="002A528A" w:rsidRPr="00D246FB" w:rsidRDefault="002A528A" w:rsidP="00A42023">
      <w:pPr>
        <w:ind w:left="426" w:hanging="426"/>
        <w:jc w:val="both"/>
        <w:rPr>
          <w:b/>
        </w:rPr>
      </w:pPr>
    </w:p>
    <w:p w14:paraId="7DC826DF" w14:textId="77777777" w:rsidR="002A528A" w:rsidRPr="00D246FB" w:rsidRDefault="002A528A" w:rsidP="00A42023">
      <w:pPr>
        <w:ind w:left="426" w:hanging="426"/>
        <w:jc w:val="both"/>
      </w:pPr>
      <w:r w:rsidRPr="00D246FB">
        <w:rPr>
          <w:b/>
        </w:rPr>
        <w:t>Long-term rates.</w:t>
      </w:r>
      <w:r w:rsidRPr="00D246FB">
        <w:t xml:space="preserve"> </w:t>
      </w:r>
    </w:p>
    <w:p w14:paraId="3765296B" w14:textId="21F06103" w:rsidR="0095393C" w:rsidRPr="00D246FB" w:rsidRDefault="002A528A" w:rsidP="0068676D">
      <w:pPr>
        <w:numPr>
          <w:ilvl w:val="0"/>
          <w:numId w:val="6"/>
        </w:numPr>
        <w:ind w:left="851" w:hanging="426"/>
        <w:jc w:val="both"/>
      </w:pPr>
      <w:r w:rsidRPr="00D246FB">
        <w:t xml:space="preserve">Very </w:t>
      </w:r>
      <w:r w:rsidR="00355A49" w:rsidRPr="00D246FB">
        <w:t>long-term</w:t>
      </w:r>
      <w:r w:rsidRPr="00D246FB">
        <w:t xml:space="preserve"> rates (</w:t>
      </w:r>
      <w:r w:rsidR="00355A49" w:rsidRPr="00D246FB">
        <w:t>50-year</w:t>
      </w:r>
      <w:r w:rsidRPr="00D246FB">
        <w:t xml:space="preserve"> PWLB rate) are</w:t>
      </w:r>
      <w:r w:rsidR="005B0BFE" w:rsidRPr="00D246FB">
        <w:t xml:space="preserve"> </w:t>
      </w:r>
      <w:r w:rsidR="0037098E">
        <w:t>4.</w:t>
      </w:r>
      <w:r w:rsidR="00905904">
        <w:t>7</w:t>
      </w:r>
      <w:r w:rsidR="00C55CA8">
        <w:t>1</w:t>
      </w:r>
      <w:r w:rsidR="00355A49" w:rsidRPr="00D246FB">
        <w:t>%.</w:t>
      </w:r>
      <w:r w:rsidR="005365A1" w:rsidRPr="00D246FB">
        <w:t xml:space="preserve"> </w:t>
      </w:r>
    </w:p>
    <w:p w14:paraId="49E014E3" w14:textId="388E7E4C" w:rsidR="006409A6" w:rsidRPr="00D246FB" w:rsidRDefault="00D246FB" w:rsidP="000A1A5B">
      <w:pPr>
        <w:numPr>
          <w:ilvl w:val="0"/>
          <w:numId w:val="6"/>
        </w:numPr>
        <w:ind w:left="851" w:hanging="426"/>
        <w:jc w:val="both"/>
      </w:pPr>
      <w:r w:rsidRPr="00D246FB">
        <w:t xml:space="preserve">PWLB is the Government organisation from whom the </w:t>
      </w:r>
      <w:r w:rsidR="00355A49" w:rsidRPr="00D246FB">
        <w:t>PCC borrows</w:t>
      </w:r>
      <w:r w:rsidRPr="00D246FB">
        <w:t xml:space="preserve"> its money for</w:t>
      </w:r>
      <w:r w:rsidR="000A1A5B">
        <w:t xml:space="preserve"> </w:t>
      </w:r>
      <w:r w:rsidRPr="00D246FB">
        <w:t>capital expenditure</w:t>
      </w:r>
      <w:r w:rsidR="008C37C0">
        <w:t>.</w:t>
      </w:r>
    </w:p>
    <w:p w14:paraId="73C43988" w14:textId="77777777" w:rsidR="006409A6" w:rsidRDefault="006409A6" w:rsidP="00A42023">
      <w:pPr>
        <w:ind w:left="426"/>
        <w:jc w:val="both"/>
      </w:pPr>
    </w:p>
    <w:p w14:paraId="1487AA58" w14:textId="00BC7C94" w:rsidR="002A528A" w:rsidRDefault="001121F2" w:rsidP="00A42023">
      <w:pPr>
        <w:ind w:left="426" w:hanging="426"/>
        <w:jc w:val="both"/>
      </w:pPr>
      <w:r>
        <w:t>5.</w:t>
      </w:r>
      <w:r w:rsidR="002A528A">
        <w:t>3</w:t>
      </w:r>
      <w:r w:rsidR="00ED039D">
        <w:tab/>
      </w:r>
      <w:r w:rsidR="002A528A">
        <w:t>The Local Government Act 2003 introduced a new system of “prudenti</w:t>
      </w:r>
      <w:r w:rsidR="003E30A9">
        <w:t>al borrowing”</w:t>
      </w:r>
      <w:r w:rsidR="00ED039D">
        <w:t xml:space="preserve"> </w:t>
      </w:r>
      <w:r w:rsidR="00722A2D">
        <w:t xml:space="preserve">which allows the </w:t>
      </w:r>
      <w:r w:rsidR="002A528A">
        <w:t>C</w:t>
      </w:r>
      <w:r w:rsidR="00722A2D">
        <w:t>ommissioner</w:t>
      </w:r>
      <w:r w:rsidR="002A528A">
        <w:t xml:space="preserve"> to set borrowing limits subject to criteria of prudence and affordability. These criteria are set out in more detail in the CIPFA Prudential Code that specifically requires a number of prudential indicators are set. The full range of prudential indica</w:t>
      </w:r>
      <w:r w:rsidR="006A11FB">
        <w:t>tors was considered when the 202</w:t>
      </w:r>
      <w:r w:rsidR="0037098E">
        <w:t>3</w:t>
      </w:r>
      <w:r w:rsidR="006A11FB">
        <w:t>/2</w:t>
      </w:r>
      <w:r w:rsidR="0037098E">
        <w:t>4</w:t>
      </w:r>
      <w:r w:rsidR="002A528A">
        <w:t xml:space="preserve"> Bu</w:t>
      </w:r>
      <w:r w:rsidR="003E30A9">
        <w:t xml:space="preserve">dget and Precept were agreed in </w:t>
      </w:r>
      <w:r w:rsidR="006A11FB">
        <w:t>February 202</w:t>
      </w:r>
      <w:r w:rsidR="0037098E">
        <w:t>3</w:t>
      </w:r>
      <w:r w:rsidR="00526F89">
        <w:t>.</w:t>
      </w:r>
      <w:r w:rsidR="002A528A">
        <w:t xml:space="preserve"> This is particularly relevant when set in the context of the overall limitation of planned capital resources and therefore a potential increase in prudential borrowing across the </w:t>
      </w:r>
      <w:r w:rsidR="00355A49">
        <w:t>medium-term</w:t>
      </w:r>
      <w:r w:rsidR="002A528A">
        <w:t xml:space="preserve"> plan. The proposed indicators that relate to treasury management</w:t>
      </w:r>
      <w:r w:rsidR="00D75F25">
        <w:t xml:space="preserve">, </w:t>
      </w:r>
      <w:r w:rsidR="002C6419">
        <w:t xml:space="preserve">including the </w:t>
      </w:r>
      <w:r w:rsidR="00D75F25">
        <w:t>Estates Strategy,</w:t>
      </w:r>
      <w:r w:rsidR="002A528A">
        <w:t xml:space="preserve"> are s</w:t>
      </w:r>
      <w:r w:rsidR="00D75F25">
        <w:t xml:space="preserve">et out in the Treasury Strategy </w:t>
      </w:r>
      <w:r w:rsidR="002A528A">
        <w:t>Statement.</w:t>
      </w:r>
    </w:p>
    <w:p w14:paraId="339EA6A5" w14:textId="77777777" w:rsidR="002A528A" w:rsidRDefault="002A528A" w:rsidP="00A42023">
      <w:pPr>
        <w:ind w:left="426" w:hanging="426"/>
        <w:jc w:val="both"/>
      </w:pPr>
    </w:p>
    <w:p w14:paraId="4B5A7C00" w14:textId="1745187F" w:rsidR="00540F51" w:rsidRDefault="002A528A" w:rsidP="00A42023">
      <w:pPr>
        <w:ind w:left="426" w:hanging="426"/>
        <w:jc w:val="both"/>
      </w:pPr>
      <w:r w:rsidRPr="002A528A">
        <w:t>5.4</w:t>
      </w:r>
      <w:r w:rsidR="00ED039D">
        <w:tab/>
      </w:r>
      <w:r>
        <w:t>The Local Government Act 2003 also</w:t>
      </w:r>
      <w:r w:rsidRPr="00BD1911">
        <w:t xml:space="preserve"> </w:t>
      </w:r>
      <w:r w:rsidRPr="001667B9">
        <w:t xml:space="preserve">requires the </w:t>
      </w:r>
      <w:r>
        <w:t>C</w:t>
      </w:r>
      <w:r w:rsidR="0044651B">
        <w:t>ommissioner</w:t>
      </w:r>
      <w:r w:rsidRPr="001667B9">
        <w:t xml:space="preserve"> to set out </w:t>
      </w:r>
      <w:r>
        <w:t>a</w:t>
      </w:r>
      <w:r w:rsidRPr="001667B9">
        <w:t xml:space="preserve"> treasury</w:t>
      </w:r>
      <w:r w:rsidR="00ED039D">
        <w:t xml:space="preserve"> </w:t>
      </w:r>
      <w:r w:rsidR="0044651B">
        <w:t>s</w:t>
      </w:r>
      <w:r w:rsidRPr="001667B9">
        <w:t>trategy</w:t>
      </w:r>
      <w:r w:rsidR="0044651B">
        <w:t xml:space="preserve"> </w:t>
      </w:r>
      <w:r w:rsidRPr="001667B9">
        <w:t xml:space="preserve">for borrowing and to prepare an Annual Investment Strategy (as required by Investment </w:t>
      </w:r>
      <w:r>
        <w:t>G</w:t>
      </w:r>
      <w:r w:rsidRPr="001667B9">
        <w:t xml:space="preserve">uidance issued subsequent to the Act); this sets out the </w:t>
      </w:r>
      <w:r>
        <w:t>C</w:t>
      </w:r>
      <w:r w:rsidR="0044651B">
        <w:t>ommissioner</w:t>
      </w:r>
      <w:r w:rsidRPr="001667B9">
        <w:t xml:space="preserve">’s </w:t>
      </w:r>
      <w:r w:rsidR="0044651B">
        <w:t>p</w:t>
      </w:r>
      <w:r w:rsidRPr="001667B9">
        <w:t>olicies</w:t>
      </w:r>
      <w:r w:rsidR="0044651B">
        <w:t xml:space="preserve"> </w:t>
      </w:r>
      <w:r w:rsidRPr="001667B9">
        <w:t>for managing investments and for giving priority to the security and liquidity of those</w:t>
      </w:r>
      <w:r w:rsidR="0044651B">
        <w:t xml:space="preserve"> </w:t>
      </w:r>
      <w:r w:rsidRPr="008876A2">
        <w:t>investments.</w:t>
      </w:r>
    </w:p>
    <w:p w14:paraId="50C96FA4" w14:textId="77777777" w:rsidR="009D56DD" w:rsidRDefault="009D56DD" w:rsidP="00A42023">
      <w:pPr>
        <w:ind w:left="426" w:hanging="426"/>
        <w:jc w:val="both"/>
      </w:pPr>
    </w:p>
    <w:p w14:paraId="18D95DE3" w14:textId="651DC2BB" w:rsidR="002A528A" w:rsidRPr="00411BE3" w:rsidRDefault="002A528A" w:rsidP="00A42023">
      <w:pPr>
        <w:pStyle w:val="Heading1"/>
        <w:ind w:left="426" w:hanging="426"/>
        <w:jc w:val="both"/>
        <w:rPr>
          <w:rFonts w:ascii="Arial" w:hAnsi="Arial" w:cs="Arial"/>
          <w:sz w:val="22"/>
          <w:szCs w:val="22"/>
        </w:rPr>
      </w:pPr>
      <w:r w:rsidRPr="00411BE3">
        <w:rPr>
          <w:rFonts w:ascii="Arial" w:hAnsi="Arial" w:cs="Arial"/>
          <w:sz w:val="22"/>
          <w:szCs w:val="22"/>
        </w:rPr>
        <w:t>6</w:t>
      </w:r>
      <w:r w:rsidR="00E402D8" w:rsidRPr="00411BE3">
        <w:rPr>
          <w:rFonts w:ascii="Arial" w:hAnsi="Arial" w:cs="Arial"/>
          <w:sz w:val="22"/>
          <w:szCs w:val="22"/>
        </w:rPr>
        <w:t>.</w:t>
      </w:r>
      <w:r w:rsidR="00E402D8" w:rsidRPr="00411BE3">
        <w:rPr>
          <w:rFonts w:ascii="Arial" w:hAnsi="Arial" w:cs="Arial"/>
          <w:sz w:val="22"/>
          <w:szCs w:val="22"/>
        </w:rPr>
        <w:tab/>
      </w:r>
      <w:r w:rsidRPr="00411BE3">
        <w:rPr>
          <w:rFonts w:ascii="Arial" w:hAnsi="Arial" w:cs="Arial"/>
          <w:sz w:val="22"/>
          <w:szCs w:val="22"/>
        </w:rPr>
        <w:t>FINANCIAL IMPLICATIONS</w:t>
      </w:r>
    </w:p>
    <w:p w14:paraId="6953E730" w14:textId="205C5819" w:rsidR="00540F51" w:rsidRPr="00A42023" w:rsidRDefault="00ED039D" w:rsidP="0020545F">
      <w:pPr>
        <w:ind w:left="426" w:hanging="426"/>
        <w:jc w:val="both"/>
      </w:pPr>
      <w:r>
        <w:t>6.1</w:t>
      </w:r>
      <w:r>
        <w:tab/>
      </w:r>
      <w:r w:rsidR="00FA79D8" w:rsidRPr="00161B7A">
        <w:t>The financial implications of the Treasury Management function are included in the</w:t>
      </w:r>
      <w:r>
        <w:t xml:space="preserve"> </w:t>
      </w:r>
      <w:r w:rsidR="00FA79D8">
        <w:t>C</w:t>
      </w:r>
      <w:r w:rsidR="0044651B">
        <w:t>ommissioner</w:t>
      </w:r>
      <w:r w:rsidR="00FA79D8" w:rsidRPr="00161B7A">
        <w:t>’s annual budget. The estimated total net cost of capital financing in</w:t>
      </w:r>
      <w:r w:rsidR="0044651B">
        <w:t xml:space="preserve"> </w:t>
      </w:r>
      <w:r w:rsidR="006A11FB">
        <w:t>202</w:t>
      </w:r>
      <w:r w:rsidR="0037098E">
        <w:t>3</w:t>
      </w:r>
      <w:r w:rsidR="002C6B05">
        <w:t>/2</w:t>
      </w:r>
      <w:r w:rsidR="0037098E">
        <w:t>4</w:t>
      </w:r>
      <w:r w:rsidR="00FA79D8">
        <w:t xml:space="preserve"> </w:t>
      </w:r>
      <w:r w:rsidR="00FA79D8" w:rsidRPr="00161B7A">
        <w:t xml:space="preserve">(including direct charges to revenue) </w:t>
      </w:r>
      <w:r w:rsidR="00FA79D8" w:rsidRPr="0020545F">
        <w:t>is £</w:t>
      </w:r>
      <w:r w:rsidR="0037098E">
        <w:t>3.6</w:t>
      </w:r>
      <w:r w:rsidR="00063914" w:rsidRPr="0020545F">
        <w:t>m.</w:t>
      </w:r>
    </w:p>
    <w:p w14:paraId="6137D918" w14:textId="5307B497" w:rsidR="00D05A86" w:rsidRPr="00411BE3" w:rsidRDefault="002A528A" w:rsidP="00A42023">
      <w:pPr>
        <w:pStyle w:val="Heading1"/>
        <w:ind w:left="426" w:hanging="426"/>
        <w:jc w:val="both"/>
        <w:rPr>
          <w:rFonts w:ascii="Arial" w:hAnsi="Arial" w:cs="Arial"/>
          <w:sz w:val="22"/>
          <w:szCs w:val="22"/>
        </w:rPr>
      </w:pPr>
      <w:r w:rsidRPr="00411BE3">
        <w:rPr>
          <w:rFonts w:ascii="Arial" w:hAnsi="Arial" w:cs="Arial"/>
          <w:sz w:val="22"/>
          <w:szCs w:val="22"/>
        </w:rPr>
        <w:t>7.</w:t>
      </w:r>
      <w:r w:rsidRPr="00411BE3">
        <w:rPr>
          <w:rFonts w:ascii="Arial" w:hAnsi="Arial" w:cs="Arial"/>
          <w:sz w:val="22"/>
          <w:szCs w:val="22"/>
        </w:rPr>
        <w:tab/>
        <w:t>L</w:t>
      </w:r>
      <w:r w:rsidR="00FC02A7" w:rsidRPr="00411BE3">
        <w:rPr>
          <w:rFonts w:ascii="Arial" w:hAnsi="Arial" w:cs="Arial"/>
          <w:sz w:val="22"/>
          <w:szCs w:val="22"/>
        </w:rPr>
        <w:t>E</w:t>
      </w:r>
      <w:r w:rsidRPr="00411BE3">
        <w:rPr>
          <w:rFonts w:ascii="Arial" w:hAnsi="Arial" w:cs="Arial"/>
          <w:sz w:val="22"/>
          <w:szCs w:val="22"/>
        </w:rPr>
        <w:t>GAL IMPLI</w:t>
      </w:r>
      <w:r w:rsidR="00FC02A7" w:rsidRPr="00411BE3">
        <w:rPr>
          <w:rFonts w:ascii="Arial" w:hAnsi="Arial" w:cs="Arial"/>
          <w:sz w:val="22"/>
          <w:szCs w:val="22"/>
        </w:rPr>
        <w:t>C</w:t>
      </w:r>
      <w:r w:rsidR="00D05A86" w:rsidRPr="00411BE3">
        <w:rPr>
          <w:rFonts w:ascii="Arial" w:hAnsi="Arial" w:cs="Arial"/>
          <w:sz w:val="22"/>
          <w:szCs w:val="22"/>
        </w:rPr>
        <w:t>ATIONS</w:t>
      </w:r>
    </w:p>
    <w:p w14:paraId="36905A84" w14:textId="77777777" w:rsidR="00FA79D8" w:rsidRDefault="00FA79D8" w:rsidP="00A42023">
      <w:pPr>
        <w:ind w:left="567" w:right="543" w:hanging="567"/>
        <w:jc w:val="both"/>
        <w:rPr>
          <w:b/>
        </w:rPr>
      </w:pPr>
    </w:p>
    <w:p w14:paraId="673E1BCC" w14:textId="34EC0EBA" w:rsidR="00FA79D8" w:rsidRDefault="00FA79D8" w:rsidP="00A42023">
      <w:pPr>
        <w:ind w:left="426" w:hanging="426"/>
        <w:jc w:val="both"/>
      </w:pPr>
      <w:r w:rsidRPr="00FA79D8">
        <w:t>7.1</w:t>
      </w:r>
      <w:r w:rsidR="00ED039D">
        <w:tab/>
      </w:r>
      <w:r>
        <w:t xml:space="preserve">These matters are governed by </w:t>
      </w:r>
      <w:r w:rsidR="00F1093E">
        <w:t xml:space="preserve">the </w:t>
      </w:r>
      <w:r>
        <w:t xml:space="preserve">Local Government Act </w:t>
      </w:r>
      <w:r w:rsidR="00F1093E">
        <w:t>2003</w:t>
      </w:r>
      <w:r>
        <w:t>, which empowers the C</w:t>
      </w:r>
      <w:r w:rsidR="0044651B">
        <w:t>ommissioner</w:t>
      </w:r>
      <w:r w:rsidR="00ED039D">
        <w:t xml:space="preserve"> </w:t>
      </w:r>
      <w:r>
        <w:t>to do anything which is calculated to facilitate or is conducive or incidental to the discharge of their various statutory functions.</w:t>
      </w:r>
    </w:p>
    <w:p w14:paraId="54BD57B8" w14:textId="77777777" w:rsidR="00FA79D8" w:rsidRDefault="00FA79D8" w:rsidP="00A42023">
      <w:pPr>
        <w:ind w:left="720" w:hanging="720"/>
        <w:jc w:val="both"/>
      </w:pPr>
    </w:p>
    <w:p w14:paraId="02AF21A7" w14:textId="1F67B49E" w:rsidR="00FA79D8" w:rsidRDefault="003E30A9" w:rsidP="0020545F">
      <w:pPr>
        <w:ind w:left="426" w:hanging="426"/>
        <w:jc w:val="both"/>
      </w:pPr>
      <w:r>
        <w:t xml:space="preserve">7.2 </w:t>
      </w:r>
      <w:r w:rsidR="00ED039D">
        <w:tab/>
      </w:r>
      <w:r w:rsidR="00FA79D8" w:rsidRPr="006815EC">
        <w:t>Adoption of the CIPFA Code of Practice on Treasury Ma</w:t>
      </w:r>
      <w:r w:rsidRPr="006815EC">
        <w:t xml:space="preserve">nagement in the Public Services </w:t>
      </w:r>
      <w:r w:rsidR="0044651B" w:rsidRPr="006815EC">
        <w:t xml:space="preserve">as part of the </w:t>
      </w:r>
      <w:r w:rsidR="00FA79D8" w:rsidRPr="006815EC">
        <w:t>C</w:t>
      </w:r>
      <w:r w:rsidR="0044651B" w:rsidRPr="006815EC">
        <w:t>ommissioner</w:t>
      </w:r>
      <w:r w:rsidR="00FA79D8" w:rsidRPr="006815EC">
        <w:t>'s Standing Orders and Financial Regulations gives it the status of "a code of practice made or approved by or under any enactment" and hence</w:t>
      </w:r>
      <w:r w:rsidR="00ED039D" w:rsidRPr="006815EC">
        <w:t xml:space="preserve"> </w:t>
      </w:r>
      <w:r w:rsidR="00FA79D8" w:rsidRPr="006815EC">
        <w:t xml:space="preserve">proper practice under the provisions of the Local Government Act </w:t>
      </w:r>
      <w:r w:rsidR="00F1093E" w:rsidRPr="006815EC">
        <w:t>2003</w:t>
      </w:r>
      <w:r w:rsidR="00FA79D8" w:rsidRPr="006815EC">
        <w:t>.</w:t>
      </w:r>
    </w:p>
    <w:p w14:paraId="13AAC1F0" w14:textId="77777777" w:rsidR="00FA79D8" w:rsidRDefault="00FA79D8" w:rsidP="00A42023">
      <w:pPr>
        <w:ind w:left="567" w:hanging="567"/>
        <w:jc w:val="both"/>
      </w:pPr>
    </w:p>
    <w:p w14:paraId="354B512F" w14:textId="231BA67E" w:rsidR="00FA79D8" w:rsidRDefault="00ED039D" w:rsidP="00A42023">
      <w:pPr>
        <w:ind w:left="426" w:hanging="426"/>
        <w:jc w:val="both"/>
      </w:pPr>
      <w:r>
        <w:lastRenderedPageBreak/>
        <w:t>7.3</w:t>
      </w:r>
      <w:r>
        <w:tab/>
      </w:r>
      <w:r w:rsidR="00FA79D8" w:rsidRPr="00922CDD">
        <w:t xml:space="preserve">The </w:t>
      </w:r>
      <w:r w:rsidR="00FA79D8">
        <w:t>C</w:t>
      </w:r>
      <w:r w:rsidR="0044651B">
        <w:t>ommissioner</w:t>
      </w:r>
      <w:r w:rsidR="00FA79D8">
        <w:t>’s CFO</w:t>
      </w:r>
      <w:r w:rsidR="00FA79D8" w:rsidRPr="00922CDD">
        <w:t xml:space="preserve"> continues to delegate the resp</w:t>
      </w:r>
      <w:r w:rsidR="00FA79D8">
        <w:t>onsibility for the discharge</w:t>
      </w:r>
      <w:r>
        <w:t xml:space="preserve"> </w:t>
      </w:r>
      <w:r w:rsidR="0044651B">
        <w:t>o</w:t>
      </w:r>
      <w:r w:rsidR="00FA79D8">
        <w:t>f</w:t>
      </w:r>
      <w:r>
        <w:t xml:space="preserve"> </w:t>
      </w:r>
      <w:r w:rsidR="0044651B">
        <w:t>T</w:t>
      </w:r>
      <w:r w:rsidR="00FA79D8" w:rsidRPr="00922CDD">
        <w:t xml:space="preserve">reasury Management on a daily basis to the Director of </w:t>
      </w:r>
      <w:r w:rsidR="004638C7">
        <w:t>Commercial S</w:t>
      </w:r>
      <w:r w:rsidR="00FA79D8" w:rsidRPr="00922CDD">
        <w:t>e</w:t>
      </w:r>
      <w:r w:rsidR="004638C7">
        <w:t>rvice</w:t>
      </w:r>
      <w:r w:rsidR="00FA79D8" w:rsidRPr="00922CDD">
        <w:t>s through the</w:t>
      </w:r>
      <w:r w:rsidR="004638C7">
        <w:t xml:space="preserve"> </w:t>
      </w:r>
      <w:r w:rsidR="00FA79D8">
        <w:t>a</w:t>
      </w:r>
      <w:r w:rsidR="00FA79D8" w:rsidRPr="00922CDD">
        <w:t>ppropriate</w:t>
      </w:r>
      <w:r w:rsidR="00FA79D8">
        <w:t xml:space="preserve"> </w:t>
      </w:r>
      <w:r w:rsidR="00FA79D8" w:rsidRPr="00922CDD">
        <w:t>Finance Department staff.</w:t>
      </w:r>
    </w:p>
    <w:p w14:paraId="25764CD2" w14:textId="77777777" w:rsidR="00FA79D8" w:rsidRPr="00FA79D8" w:rsidRDefault="00FA79D8" w:rsidP="00A42023">
      <w:pPr>
        <w:ind w:right="543"/>
        <w:jc w:val="both"/>
      </w:pPr>
    </w:p>
    <w:p w14:paraId="7F167F08" w14:textId="77777777" w:rsidR="002A528A" w:rsidRPr="00411BE3" w:rsidRDefault="002A528A" w:rsidP="00A42023">
      <w:pPr>
        <w:pStyle w:val="Heading1"/>
        <w:ind w:left="426" w:hanging="426"/>
        <w:jc w:val="both"/>
        <w:rPr>
          <w:rFonts w:ascii="Arial" w:hAnsi="Arial" w:cs="Arial"/>
          <w:sz w:val="22"/>
          <w:szCs w:val="22"/>
        </w:rPr>
      </w:pPr>
      <w:r w:rsidRPr="00411BE3">
        <w:rPr>
          <w:rFonts w:ascii="Arial" w:hAnsi="Arial" w:cs="Arial"/>
          <w:sz w:val="22"/>
          <w:szCs w:val="22"/>
        </w:rPr>
        <w:t>8.</w:t>
      </w:r>
      <w:r w:rsidRPr="00411BE3">
        <w:rPr>
          <w:rFonts w:ascii="Arial" w:hAnsi="Arial" w:cs="Arial"/>
          <w:sz w:val="22"/>
          <w:szCs w:val="22"/>
        </w:rPr>
        <w:tab/>
        <w:t>EQUALITY IMPLICATIONS</w:t>
      </w:r>
    </w:p>
    <w:p w14:paraId="1D145763" w14:textId="77777777" w:rsidR="00596707" w:rsidRDefault="00596707" w:rsidP="00A42023">
      <w:pPr>
        <w:ind w:right="543"/>
        <w:jc w:val="both"/>
        <w:rPr>
          <w:b/>
        </w:rPr>
      </w:pPr>
    </w:p>
    <w:p w14:paraId="4BEFDD00" w14:textId="2653F6BB" w:rsidR="00A001E1" w:rsidRDefault="00FA79D8" w:rsidP="00A42023">
      <w:pPr>
        <w:ind w:left="426" w:hanging="426"/>
        <w:jc w:val="both"/>
      </w:pPr>
      <w:r>
        <w:t>8</w:t>
      </w:r>
      <w:r w:rsidR="00ED039D">
        <w:t>.1</w:t>
      </w:r>
      <w:r w:rsidR="00ED039D">
        <w:tab/>
      </w:r>
      <w:r w:rsidRPr="00ED039D">
        <w:t>Any issues of Equality and Diversity that may arise during the undertaking of</w:t>
      </w:r>
      <w:r w:rsidR="00ED039D" w:rsidRPr="00ED039D">
        <w:t xml:space="preserve"> </w:t>
      </w:r>
      <w:r w:rsidRPr="00ED039D">
        <w:t>Treasury Management activities will be noted, considered and reported upon.</w:t>
      </w:r>
    </w:p>
    <w:p w14:paraId="2A3EAE56" w14:textId="644C3BD0" w:rsidR="00FC02A7" w:rsidRDefault="00FC02A7" w:rsidP="00A42023">
      <w:pPr>
        <w:ind w:right="28"/>
        <w:jc w:val="both"/>
      </w:pPr>
    </w:p>
    <w:p w14:paraId="41B2F3AE" w14:textId="77777777" w:rsidR="00610226" w:rsidRPr="00411BE3" w:rsidRDefault="00610226" w:rsidP="00A42023">
      <w:pPr>
        <w:pStyle w:val="Heading1"/>
        <w:ind w:left="426" w:hanging="426"/>
        <w:jc w:val="both"/>
        <w:rPr>
          <w:rFonts w:ascii="Arial" w:hAnsi="Arial" w:cs="Arial"/>
          <w:sz w:val="22"/>
          <w:szCs w:val="22"/>
        </w:rPr>
      </w:pPr>
      <w:r w:rsidRPr="00411BE3">
        <w:rPr>
          <w:rFonts w:ascii="Arial" w:hAnsi="Arial" w:cs="Arial"/>
          <w:sz w:val="22"/>
          <w:szCs w:val="22"/>
        </w:rPr>
        <w:t xml:space="preserve">9.  </w:t>
      </w:r>
      <w:r w:rsidRPr="00411BE3">
        <w:rPr>
          <w:rFonts w:ascii="Arial" w:hAnsi="Arial" w:cs="Arial"/>
          <w:sz w:val="22"/>
          <w:szCs w:val="22"/>
        </w:rPr>
        <w:tab/>
        <w:t>RECOMMENDATIONS</w:t>
      </w:r>
    </w:p>
    <w:p w14:paraId="093B3D45" w14:textId="77777777" w:rsidR="00610226" w:rsidRPr="00610226" w:rsidRDefault="00610226" w:rsidP="00A42023">
      <w:pPr>
        <w:ind w:right="543"/>
        <w:jc w:val="both"/>
        <w:rPr>
          <w:b/>
        </w:rPr>
      </w:pPr>
    </w:p>
    <w:p w14:paraId="40AA387D" w14:textId="77777777" w:rsidR="00655F18" w:rsidRPr="00655F18" w:rsidRDefault="00610226" w:rsidP="00A42023">
      <w:pPr>
        <w:tabs>
          <w:tab w:val="left" w:pos="1355"/>
          <w:tab w:val="left" w:pos="1979"/>
          <w:tab w:val="left" w:pos="3906"/>
          <w:tab w:val="left" w:pos="5607"/>
          <w:tab w:val="left" w:pos="7307"/>
          <w:tab w:val="left" w:pos="7875"/>
          <w:tab w:val="left" w:pos="8442"/>
          <w:tab w:val="left" w:pos="9009"/>
          <w:tab w:val="left" w:pos="9576"/>
          <w:tab w:val="left" w:pos="10143"/>
        </w:tabs>
        <w:ind w:left="426" w:right="28" w:hanging="426"/>
        <w:jc w:val="both"/>
        <w:rPr>
          <w:rFonts w:eastAsia="Times New Roman" w:cs="Times New Roman"/>
          <w:szCs w:val="20"/>
          <w:lang w:val="en-US" w:eastAsia="en-US"/>
        </w:rPr>
      </w:pPr>
      <w:r>
        <w:t>9</w:t>
      </w:r>
      <w:r w:rsidRPr="00610226">
        <w:t xml:space="preserve">.1 </w:t>
      </w:r>
      <w:r w:rsidR="0044651B">
        <w:t xml:space="preserve"> </w:t>
      </w:r>
      <w:r w:rsidR="00E12519">
        <w:t xml:space="preserve"> </w:t>
      </w:r>
      <w:r w:rsidR="00655F18" w:rsidRPr="00655F18">
        <w:rPr>
          <w:rFonts w:eastAsia="Times New Roman" w:cs="Times New Roman"/>
          <w:szCs w:val="20"/>
          <w:lang w:val="en-US" w:eastAsia="en-US"/>
        </w:rPr>
        <w:t xml:space="preserve">It is recommended that the </w:t>
      </w:r>
      <w:r w:rsidR="00655F18">
        <w:rPr>
          <w:rFonts w:eastAsia="Times New Roman" w:cs="Times New Roman"/>
          <w:szCs w:val="20"/>
          <w:lang w:val="en-US" w:eastAsia="en-US"/>
        </w:rPr>
        <w:t xml:space="preserve">Joint </w:t>
      </w:r>
      <w:r w:rsidR="00655F18" w:rsidRPr="00655F18">
        <w:rPr>
          <w:rFonts w:eastAsia="Times New Roman" w:cs="Times New Roman"/>
          <w:szCs w:val="20"/>
          <w:lang w:val="en-US" w:eastAsia="en-US"/>
        </w:rPr>
        <w:t>Audit Committee:</w:t>
      </w:r>
    </w:p>
    <w:p w14:paraId="5D45E4A2" w14:textId="77777777" w:rsidR="00655F18" w:rsidRPr="00655F18" w:rsidRDefault="00655F18" w:rsidP="00A42023">
      <w:pPr>
        <w:tabs>
          <w:tab w:val="left" w:pos="1355"/>
          <w:tab w:val="left" w:pos="1979"/>
          <w:tab w:val="left" w:pos="3906"/>
          <w:tab w:val="left" w:pos="5607"/>
          <w:tab w:val="left" w:pos="7307"/>
          <w:tab w:val="left" w:pos="7875"/>
          <w:tab w:val="left" w:pos="8442"/>
          <w:tab w:val="left" w:pos="9009"/>
          <w:tab w:val="left" w:pos="9576"/>
          <w:tab w:val="left" w:pos="10143"/>
        </w:tabs>
        <w:ind w:right="28"/>
        <w:jc w:val="both"/>
        <w:rPr>
          <w:rFonts w:eastAsia="Times New Roman" w:cs="Times New Roman"/>
          <w:szCs w:val="20"/>
          <w:lang w:val="en-US" w:eastAsia="en-US"/>
        </w:rPr>
      </w:pPr>
    </w:p>
    <w:p w14:paraId="5D60F0CB" w14:textId="1E21C0F5" w:rsidR="00655F18" w:rsidRPr="00655F18" w:rsidRDefault="00655F18" w:rsidP="00A42023">
      <w:pPr>
        <w:ind w:left="1440" w:hanging="720"/>
        <w:jc w:val="both"/>
        <w:rPr>
          <w:rFonts w:eastAsia="Times New Roman" w:cs="Times New Roman"/>
          <w:szCs w:val="20"/>
          <w:lang w:val="en-US" w:eastAsia="en-US"/>
        </w:rPr>
      </w:pPr>
      <w:r w:rsidRPr="00655F18">
        <w:rPr>
          <w:rFonts w:eastAsia="Times New Roman" w:cs="Times New Roman"/>
          <w:szCs w:val="20"/>
          <w:lang w:val="en-US" w:eastAsia="en-US"/>
        </w:rPr>
        <w:t>a.</w:t>
      </w:r>
      <w:r w:rsidRPr="00655F18">
        <w:rPr>
          <w:rFonts w:eastAsia="Times New Roman" w:cs="Times New Roman"/>
          <w:szCs w:val="20"/>
          <w:lang w:val="en-US" w:eastAsia="en-US"/>
        </w:rPr>
        <w:tab/>
      </w:r>
      <w:r w:rsidR="0020545F">
        <w:rPr>
          <w:rFonts w:eastAsia="Times New Roman" w:cs="Times New Roman"/>
          <w:szCs w:val="20"/>
          <w:lang w:val="en-US" w:eastAsia="en-US"/>
        </w:rPr>
        <w:t>N</w:t>
      </w:r>
      <w:r w:rsidRPr="00655F18">
        <w:rPr>
          <w:rFonts w:eastAsia="Times New Roman" w:cs="Times New Roman"/>
          <w:szCs w:val="20"/>
          <w:lang w:val="en-US" w:eastAsia="en-US"/>
        </w:rPr>
        <w:t xml:space="preserve">ote the treasury </w:t>
      </w:r>
      <w:r w:rsidRPr="00D246FB">
        <w:rPr>
          <w:rFonts w:eastAsia="Times New Roman" w:cs="Times New Roman"/>
          <w:szCs w:val="20"/>
          <w:lang w:val="en-US" w:eastAsia="en-US"/>
        </w:rPr>
        <w:t>management activity in 20</w:t>
      </w:r>
      <w:r w:rsidR="009323DB" w:rsidRPr="00D246FB">
        <w:rPr>
          <w:rFonts w:eastAsia="Times New Roman" w:cs="Times New Roman"/>
          <w:szCs w:val="20"/>
          <w:lang w:val="en-US" w:eastAsia="en-US"/>
        </w:rPr>
        <w:t>2</w:t>
      </w:r>
      <w:r w:rsidR="00FA6F80">
        <w:rPr>
          <w:rFonts w:eastAsia="Times New Roman" w:cs="Times New Roman"/>
          <w:szCs w:val="20"/>
          <w:lang w:val="en-US" w:eastAsia="en-US"/>
        </w:rPr>
        <w:t>2</w:t>
      </w:r>
      <w:r w:rsidR="009323DB" w:rsidRPr="00D246FB">
        <w:rPr>
          <w:rFonts w:eastAsia="Times New Roman" w:cs="Times New Roman"/>
          <w:szCs w:val="20"/>
          <w:lang w:val="en-US" w:eastAsia="en-US"/>
        </w:rPr>
        <w:t>-2</w:t>
      </w:r>
      <w:r w:rsidR="00FA6F80">
        <w:rPr>
          <w:rFonts w:eastAsia="Times New Roman" w:cs="Times New Roman"/>
          <w:szCs w:val="20"/>
          <w:lang w:val="en-US" w:eastAsia="en-US"/>
        </w:rPr>
        <w:t>3</w:t>
      </w:r>
      <w:r w:rsidRPr="00D246FB">
        <w:rPr>
          <w:rFonts w:eastAsia="Times New Roman" w:cs="Times New Roman"/>
          <w:szCs w:val="20"/>
          <w:lang w:val="en-US" w:eastAsia="en-US"/>
        </w:rPr>
        <w:t xml:space="preserve"> set out in paragraphs 3 and 4, and the interest rate observations in paragraph 5.</w:t>
      </w:r>
    </w:p>
    <w:p w14:paraId="6B0282B2" w14:textId="77777777" w:rsidR="00655F18" w:rsidRPr="00655F18" w:rsidRDefault="00655F18" w:rsidP="00A42023">
      <w:pPr>
        <w:jc w:val="both"/>
        <w:rPr>
          <w:rFonts w:eastAsia="Times New Roman" w:cs="Times New Roman"/>
          <w:szCs w:val="20"/>
          <w:lang w:val="en-US" w:eastAsia="en-US"/>
        </w:rPr>
      </w:pPr>
    </w:p>
    <w:p w14:paraId="5A5CD688" w14:textId="1B597EB2" w:rsidR="00655F18" w:rsidRPr="00655F18" w:rsidRDefault="00721D95" w:rsidP="00C22B55">
      <w:pPr>
        <w:numPr>
          <w:ilvl w:val="0"/>
          <w:numId w:val="13"/>
        </w:numPr>
        <w:jc w:val="both"/>
        <w:rPr>
          <w:rFonts w:eastAsia="Times New Roman" w:cs="Times New Roman"/>
          <w:szCs w:val="20"/>
          <w:lang w:val="en-US" w:eastAsia="en-US"/>
        </w:rPr>
      </w:pPr>
      <w:r w:rsidRPr="00655F18">
        <w:rPr>
          <w:rFonts w:eastAsia="Times New Roman" w:cs="Times New Roman"/>
          <w:szCs w:val="20"/>
          <w:lang w:val="en-US" w:eastAsia="en-US"/>
        </w:rPr>
        <w:t>Approve</w:t>
      </w:r>
      <w:r w:rsidR="00655F18" w:rsidRPr="00655F18">
        <w:rPr>
          <w:rFonts w:eastAsia="Times New Roman" w:cs="Times New Roman"/>
          <w:szCs w:val="20"/>
          <w:lang w:val="en-US" w:eastAsia="en-US"/>
        </w:rPr>
        <w:t xml:space="preserve"> the Treasury St</w:t>
      </w:r>
      <w:r w:rsidR="00FD68CD">
        <w:rPr>
          <w:rFonts w:eastAsia="Times New Roman" w:cs="Times New Roman"/>
          <w:szCs w:val="20"/>
          <w:lang w:val="en-US" w:eastAsia="en-US"/>
        </w:rPr>
        <w:t>rategy Statement for 202</w:t>
      </w:r>
      <w:r w:rsidR="00FA6F80">
        <w:rPr>
          <w:rFonts w:eastAsia="Times New Roman" w:cs="Times New Roman"/>
          <w:szCs w:val="20"/>
          <w:lang w:val="en-US" w:eastAsia="en-US"/>
        </w:rPr>
        <w:t>3</w:t>
      </w:r>
      <w:r w:rsidR="009323DB">
        <w:rPr>
          <w:rFonts w:eastAsia="Times New Roman" w:cs="Times New Roman"/>
          <w:szCs w:val="20"/>
          <w:lang w:val="en-US" w:eastAsia="en-US"/>
        </w:rPr>
        <w:t>/2</w:t>
      </w:r>
      <w:r w:rsidR="00FA6F80">
        <w:rPr>
          <w:rFonts w:eastAsia="Times New Roman" w:cs="Times New Roman"/>
          <w:szCs w:val="20"/>
          <w:lang w:val="en-US" w:eastAsia="en-US"/>
        </w:rPr>
        <w:t>4</w:t>
      </w:r>
      <w:r w:rsidR="00655F18" w:rsidRPr="00655F18">
        <w:rPr>
          <w:rFonts w:eastAsia="Times New Roman" w:cs="Times New Roman"/>
          <w:szCs w:val="20"/>
          <w:lang w:val="en-US" w:eastAsia="en-US"/>
        </w:rPr>
        <w:t xml:space="preserve"> set out in </w:t>
      </w:r>
      <w:r w:rsidR="00655F18" w:rsidRPr="00BD5CA1">
        <w:rPr>
          <w:rFonts w:eastAsia="Times New Roman" w:cs="Times New Roman"/>
          <w:b/>
          <w:szCs w:val="20"/>
          <w:lang w:val="en-US" w:eastAsia="en-US"/>
        </w:rPr>
        <w:t>Appendix B.</w:t>
      </w:r>
    </w:p>
    <w:p w14:paraId="369F0097" w14:textId="77777777" w:rsidR="00655F18" w:rsidRPr="00655F18" w:rsidRDefault="00655F18" w:rsidP="00A42023">
      <w:pPr>
        <w:ind w:left="720"/>
        <w:jc w:val="both"/>
        <w:rPr>
          <w:rFonts w:eastAsia="Times New Roman" w:cs="Times New Roman"/>
          <w:szCs w:val="20"/>
          <w:lang w:val="en-US" w:eastAsia="en-US"/>
        </w:rPr>
      </w:pPr>
    </w:p>
    <w:p w14:paraId="0CE66AE3" w14:textId="314DF3C2" w:rsidR="00655F18" w:rsidRPr="00BD5CA1" w:rsidRDefault="00721D95" w:rsidP="00C22B55">
      <w:pPr>
        <w:numPr>
          <w:ilvl w:val="0"/>
          <w:numId w:val="13"/>
        </w:numPr>
        <w:jc w:val="both"/>
        <w:rPr>
          <w:rFonts w:eastAsia="Times New Roman" w:cs="Times New Roman"/>
          <w:b/>
          <w:szCs w:val="20"/>
          <w:lang w:val="en-US" w:eastAsia="en-US"/>
        </w:rPr>
      </w:pPr>
      <w:r w:rsidRPr="00655F18">
        <w:rPr>
          <w:rFonts w:eastAsia="Times New Roman" w:cs="Times New Roman"/>
          <w:szCs w:val="20"/>
          <w:lang w:val="en-US" w:eastAsia="en-US"/>
        </w:rPr>
        <w:t>Approve</w:t>
      </w:r>
      <w:r w:rsidR="00655F18" w:rsidRPr="00655F18">
        <w:rPr>
          <w:rFonts w:eastAsia="Times New Roman" w:cs="Times New Roman"/>
          <w:szCs w:val="20"/>
          <w:lang w:val="en-US" w:eastAsia="en-US"/>
        </w:rPr>
        <w:t xml:space="preserve"> the criteria for selecting counter parties </w:t>
      </w:r>
      <w:r w:rsidR="00B9125B">
        <w:rPr>
          <w:rFonts w:eastAsia="Times New Roman" w:cs="Times New Roman"/>
          <w:szCs w:val="20"/>
          <w:lang w:val="en-US" w:eastAsia="en-US"/>
        </w:rPr>
        <w:t xml:space="preserve">in </w:t>
      </w:r>
      <w:r w:rsidR="00B9125B" w:rsidRPr="00BD5CA1">
        <w:rPr>
          <w:rFonts w:eastAsia="Times New Roman" w:cs="Times New Roman"/>
          <w:b/>
          <w:szCs w:val="20"/>
          <w:lang w:val="en-US" w:eastAsia="en-US"/>
        </w:rPr>
        <w:t>Appendix B</w:t>
      </w:r>
      <w:r w:rsidR="00B9125B">
        <w:rPr>
          <w:rFonts w:eastAsia="Times New Roman" w:cs="Times New Roman"/>
          <w:szCs w:val="20"/>
          <w:lang w:val="en-US" w:eastAsia="en-US"/>
        </w:rPr>
        <w:t xml:space="preserve"> </w:t>
      </w:r>
      <w:r w:rsidR="00655F18" w:rsidRPr="00655F18">
        <w:rPr>
          <w:rFonts w:eastAsia="Times New Roman" w:cs="Times New Roman"/>
          <w:szCs w:val="20"/>
          <w:lang w:val="en-US" w:eastAsia="en-US"/>
        </w:rPr>
        <w:t xml:space="preserve">and the current eligible counter parties and their limits as set out in </w:t>
      </w:r>
      <w:r w:rsidR="00655F18" w:rsidRPr="00BD5CA1">
        <w:rPr>
          <w:rFonts w:eastAsia="Times New Roman" w:cs="Times New Roman"/>
          <w:b/>
          <w:szCs w:val="20"/>
          <w:lang w:val="en-US" w:eastAsia="en-US"/>
        </w:rPr>
        <w:t>Appendix C.</w:t>
      </w:r>
    </w:p>
    <w:p w14:paraId="7E9F4B9F" w14:textId="77777777" w:rsidR="00655F18" w:rsidRPr="00655F18" w:rsidRDefault="00655F18" w:rsidP="00A42023">
      <w:pPr>
        <w:ind w:left="720"/>
        <w:jc w:val="both"/>
        <w:rPr>
          <w:rFonts w:eastAsia="Times New Roman" w:cs="Times New Roman"/>
          <w:szCs w:val="20"/>
          <w:lang w:val="en-US" w:eastAsia="en-US"/>
        </w:rPr>
      </w:pPr>
    </w:p>
    <w:p w14:paraId="402505B4" w14:textId="3F501A9E" w:rsidR="00655F18" w:rsidRPr="00655F18" w:rsidRDefault="00721D95" w:rsidP="00C22B55">
      <w:pPr>
        <w:numPr>
          <w:ilvl w:val="0"/>
          <w:numId w:val="13"/>
        </w:numPr>
        <w:jc w:val="both"/>
        <w:rPr>
          <w:rFonts w:eastAsia="Times New Roman" w:cs="Times New Roman"/>
          <w:szCs w:val="20"/>
          <w:lang w:val="en-US" w:eastAsia="en-US"/>
        </w:rPr>
      </w:pPr>
      <w:r w:rsidRPr="00655F18">
        <w:rPr>
          <w:rFonts w:eastAsia="Times New Roman" w:cs="Times New Roman"/>
          <w:szCs w:val="20"/>
          <w:lang w:val="en-US" w:eastAsia="en-US"/>
        </w:rPr>
        <w:t>Continue</w:t>
      </w:r>
      <w:r w:rsidR="00655F18" w:rsidRPr="00655F18">
        <w:rPr>
          <w:rFonts w:eastAsia="Times New Roman" w:cs="Times New Roman"/>
          <w:szCs w:val="20"/>
          <w:lang w:val="en-US" w:eastAsia="en-US"/>
        </w:rPr>
        <w:t xml:space="preserve"> to include a mid-year review of Treasury Management activity in the </w:t>
      </w:r>
      <w:r w:rsidR="00655F18">
        <w:rPr>
          <w:rFonts w:eastAsia="Times New Roman" w:cs="Times New Roman"/>
          <w:szCs w:val="20"/>
          <w:lang w:val="en-US" w:eastAsia="en-US"/>
        </w:rPr>
        <w:t>Joint Audit Committee</w:t>
      </w:r>
      <w:r w:rsidR="00655F18" w:rsidRPr="00655F18">
        <w:rPr>
          <w:rFonts w:eastAsia="Times New Roman" w:cs="Times New Roman"/>
          <w:szCs w:val="20"/>
          <w:lang w:val="en-US" w:eastAsia="en-US"/>
        </w:rPr>
        <w:t>’s work plan in accordance with the CIPFA Code of Practice for Treasury Management.</w:t>
      </w:r>
    </w:p>
    <w:p w14:paraId="67589671" w14:textId="77777777" w:rsidR="00610226" w:rsidRPr="00610226" w:rsidRDefault="00610226" w:rsidP="00A42023">
      <w:pPr>
        <w:ind w:right="28"/>
        <w:jc w:val="both"/>
      </w:pPr>
    </w:p>
    <w:p w14:paraId="5CFDE371" w14:textId="77777777" w:rsidR="00D05A86" w:rsidRDefault="00D05A86" w:rsidP="007F2600">
      <w:pPr>
        <w:ind w:right="543"/>
      </w:pPr>
    </w:p>
    <w:p w14:paraId="1617B86B" w14:textId="0D504F2F" w:rsidR="0028555D" w:rsidRDefault="0028555D" w:rsidP="007F2600">
      <w:pPr>
        <w:ind w:right="543"/>
      </w:pPr>
    </w:p>
    <w:p w14:paraId="5CFA8448" w14:textId="77777777" w:rsidR="009D56DD" w:rsidRDefault="009D56DD" w:rsidP="007F2600">
      <w:pPr>
        <w:ind w:right="543"/>
      </w:pPr>
    </w:p>
    <w:p w14:paraId="270A96E5" w14:textId="745652C4" w:rsidR="0028555D" w:rsidRDefault="001E2DFF" w:rsidP="00091F29">
      <w:pPr>
        <w:ind w:left="567" w:right="543"/>
      </w:pPr>
      <w:r>
        <w:t>M</w:t>
      </w:r>
      <w:r w:rsidR="009B270D">
        <w:t>ar</w:t>
      </w:r>
      <w:r>
        <w:t xml:space="preserve">k </w:t>
      </w:r>
      <w:r w:rsidR="009B270D">
        <w:t>Kenyon</w:t>
      </w:r>
      <w:r w:rsidR="007825A6">
        <w:t xml:space="preserve">                         </w:t>
      </w:r>
      <w:r w:rsidR="0094503C">
        <w:t xml:space="preserve">        </w:t>
      </w:r>
      <w:r w:rsidR="0094503C">
        <w:tab/>
      </w:r>
      <w:r w:rsidR="0094503C">
        <w:tab/>
      </w:r>
      <w:r w:rsidR="00FA6F80">
        <w:t>Peter Gillett</w:t>
      </w:r>
    </w:p>
    <w:p w14:paraId="5D69CC09" w14:textId="765330A1" w:rsidR="00CE7F53" w:rsidRDefault="001E2DFF" w:rsidP="009B1AFD">
      <w:pPr>
        <w:ind w:left="567" w:right="543"/>
      </w:pPr>
      <w:r>
        <w:t>Chief Financ</w:t>
      </w:r>
      <w:r w:rsidR="00E82E1E">
        <w:t>e</w:t>
      </w:r>
      <w:r>
        <w:t xml:space="preserve"> Officer </w:t>
      </w:r>
      <w:r w:rsidR="007825A6">
        <w:t xml:space="preserve">              </w:t>
      </w:r>
      <w:r w:rsidR="0094503C">
        <w:t xml:space="preserve">           </w:t>
      </w:r>
      <w:r w:rsidR="0094503C">
        <w:tab/>
      </w:r>
      <w:r w:rsidR="005201D3">
        <w:tab/>
      </w:r>
      <w:r w:rsidR="007825A6">
        <w:t xml:space="preserve">Director of </w:t>
      </w:r>
      <w:r w:rsidR="004638C7">
        <w:t xml:space="preserve">Commercial </w:t>
      </w:r>
      <w:r w:rsidR="009B1AFD">
        <w:t>S</w:t>
      </w:r>
      <w:r w:rsidR="004638C7">
        <w:t>ervice</w:t>
      </w:r>
      <w:r w:rsidR="009B1AFD">
        <w:t xml:space="preserve"> P</w:t>
      </w:r>
      <w:r w:rsidR="00CE7F53">
        <w:t>olice and Crime Commissioner</w:t>
      </w:r>
      <w:r w:rsidR="0094503C">
        <w:t xml:space="preserve">                      </w:t>
      </w:r>
      <w:r w:rsidR="007825A6">
        <w:t>West Midlands Police</w:t>
      </w:r>
    </w:p>
    <w:p w14:paraId="3EC5503C" w14:textId="77777777" w:rsidR="00A001E1" w:rsidRDefault="00A001E1" w:rsidP="00091F29">
      <w:pPr>
        <w:ind w:left="567" w:right="543"/>
      </w:pPr>
    </w:p>
    <w:p w14:paraId="26EC945C" w14:textId="11B19F91" w:rsidR="00E402D8" w:rsidRDefault="00E402D8"/>
    <w:p w14:paraId="0FD9BE3D" w14:textId="44B80042" w:rsidR="00E402D8" w:rsidRDefault="00E402D8" w:rsidP="00091F29">
      <w:pPr>
        <w:ind w:left="567" w:right="543"/>
      </w:pPr>
      <w:bookmarkStart w:id="20" w:name="_GoBack"/>
      <w:bookmarkEnd w:id="20"/>
    </w:p>
    <w:p w14:paraId="61EEACCE" w14:textId="1C6849F5" w:rsidR="00D246FB" w:rsidRDefault="00D246FB" w:rsidP="00091F29">
      <w:pPr>
        <w:ind w:left="567" w:right="543"/>
      </w:pPr>
    </w:p>
    <w:p w14:paraId="67E9FDCA" w14:textId="16BA1AA8" w:rsidR="00D246FB" w:rsidRDefault="00D246FB" w:rsidP="00091F29">
      <w:pPr>
        <w:ind w:left="567" w:right="543"/>
      </w:pPr>
    </w:p>
    <w:p w14:paraId="7C9D6490" w14:textId="3D27D7BB" w:rsidR="00D246FB" w:rsidRDefault="00D246FB" w:rsidP="00091F29">
      <w:pPr>
        <w:ind w:left="567" w:right="543"/>
      </w:pPr>
    </w:p>
    <w:p w14:paraId="3C8BFEAB" w14:textId="61B5C8E0" w:rsidR="00D246FB" w:rsidRDefault="00D246FB" w:rsidP="00091F29">
      <w:pPr>
        <w:ind w:left="567" w:right="543"/>
      </w:pPr>
    </w:p>
    <w:p w14:paraId="15E822A7" w14:textId="05861C04" w:rsidR="00D246FB" w:rsidRDefault="00D246FB" w:rsidP="00091F29">
      <w:pPr>
        <w:ind w:left="567" w:right="543"/>
      </w:pPr>
    </w:p>
    <w:p w14:paraId="714FD88B" w14:textId="2B9A0D5D" w:rsidR="002952DD" w:rsidRDefault="002952DD">
      <w:r>
        <w:br w:type="page"/>
      </w:r>
    </w:p>
    <w:p w14:paraId="4FFF768F" w14:textId="77777777" w:rsidR="000B7A10" w:rsidRDefault="000B7A10" w:rsidP="0020545F">
      <w:pPr>
        <w:ind w:right="543"/>
      </w:pPr>
    </w:p>
    <w:p w14:paraId="75BDE277" w14:textId="15B816C5" w:rsidR="00FA79D8" w:rsidRPr="00A42023" w:rsidRDefault="00FA79D8" w:rsidP="00A42023">
      <w:pPr>
        <w:pStyle w:val="Heading3"/>
        <w:jc w:val="right"/>
        <w:rPr>
          <w:rFonts w:ascii="Arial" w:hAnsi="Arial" w:cs="Arial"/>
          <w:b/>
          <w:sz w:val="22"/>
          <w:szCs w:val="22"/>
        </w:rPr>
      </w:pPr>
      <w:r w:rsidRPr="00A42023">
        <w:rPr>
          <w:rFonts w:ascii="Arial" w:hAnsi="Arial" w:cs="Arial"/>
          <w:b/>
          <w:sz w:val="22"/>
          <w:szCs w:val="22"/>
        </w:rPr>
        <w:t>APPENDIX A</w:t>
      </w:r>
    </w:p>
    <w:p w14:paraId="10A5D8A8" w14:textId="77777777" w:rsidR="00FA79D8" w:rsidRDefault="00FA79D8" w:rsidP="00FA79D8">
      <w:pPr>
        <w:rPr>
          <w:b/>
        </w:rPr>
      </w:pPr>
    </w:p>
    <w:p w14:paraId="45756E63" w14:textId="77777777" w:rsidR="00FA79D8" w:rsidRDefault="00FA79D8" w:rsidP="00FA79D8">
      <w:pPr>
        <w:rPr>
          <w:b/>
        </w:rPr>
      </w:pPr>
      <w:r>
        <w:rPr>
          <w:b/>
        </w:rPr>
        <w:t>TREASURY POLICY STATEMENT AND TREASURY MANAGEMENT PRACTICES</w:t>
      </w:r>
    </w:p>
    <w:p w14:paraId="45189F23" w14:textId="77777777" w:rsidR="00FA79D8" w:rsidRDefault="00FA79D8" w:rsidP="00FA79D8">
      <w:pPr>
        <w:rPr>
          <w:b/>
        </w:rPr>
      </w:pPr>
    </w:p>
    <w:p w14:paraId="5C9DCD04" w14:textId="77777777" w:rsidR="00FA79D8" w:rsidRDefault="00FA79D8" w:rsidP="00FA79D8">
      <w:pPr>
        <w:rPr>
          <w:b/>
        </w:rPr>
      </w:pPr>
      <w:r>
        <w:rPr>
          <w:b/>
        </w:rPr>
        <w:t>TREASURY POLICY STATEMENT</w:t>
      </w:r>
    </w:p>
    <w:p w14:paraId="2CCF0159" w14:textId="77777777" w:rsidR="00FA79D8" w:rsidRDefault="00FA79D8" w:rsidP="00FA79D8"/>
    <w:p w14:paraId="1C738694" w14:textId="77777777" w:rsidR="00FA79D8" w:rsidRDefault="00FA79D8" w:rsidP="001D3578">
      <w:pPr>
        <w:ind w:left="426" w:hanging="426"/>
        <w:jc w:val="both"/>
      </w:pPr>
      <w:r>
        <w:t>1.</w:t>
      </w:r>
      <w:r>
        <w:tab/>
      </w:r>
      <w:r w:rsidRPr="00922CDD">
        <w:t xml:space="preserve">The </w:t>
      </w:r>
      <w:r w:rsidR="00655F18">
        <w:t>Commissioner</w:t>
      </w:r>
      <w:r w:rsidRPr="00922CDD">
        <w:t xml:space="preserve"> defines treasury management activities as:</w:t>
      </w:r>
    </w:p>
    <w:p w14:paraId="16FEAE0A" w14:textId="77777777" w:rsidR="00FA79D8" w:rsidRDefault="00FA79D8" w:rsidP="00C22B55">
      <w:pPr>
        <w:pStyle w:val="ListParagraph"/>
        <w:numPr>
          <w:ilvl w:val="0"/>
          <w:numId w:val="14"/>
        </w:numPr>
        <w:jc w:val="both"/>
      </w:pPr>
      <w:r>
        <w:t>the management of cash flows;</w:t>
      </w:r>
    </w:p>
    <w:p w14:paraId="43677A0B" w14:textId="77777777" w:rsidR="00FA79D8" w:rsidRPr="00922CDD" w:rsidRDefault="00FA79D8" w:rsidP="00C22B55">
      <w:pPr>
        <w:pStyle w:val="ListParagraph"/>
        <w:numPr>
          <w:ilvl w:val="0"/>
          <w:numId w:val="14"/>
        </w:numPr>
        <w:jc w:val="both"/>
      </w:pPr>
      <w:r w:rsidRPr="00922CDD">
        <w:t>banking, money market and capital market transactions;</w:t>
      </w:r>
    </w:p>
    <w:p w14:paraId="73C1CB9D" w14:textId="77777777" w:rsidR="00FA79D8" w:rsidRDefault="00FA79D8" w:rsidP="00C22B55">
      <w:pPr>
        <w:pStyle w:val="ListParagraph"/>
        <w:numPr>
          <w:ilvl w:val="0"/>
          <w:numId w:val="14"/>
        </w:numPr>
        <w:jc w:val="both"/>
      </w:pPr>
      <w:r>
        <w:t xml:space="preserve">the effective control of the risks associated with those activities; </w:t>
      </w:r>
    </w:p>
    <w:p w14:paraId="6CAD3B25" w14:textId="77777777" w:rsidR="00FA79D8" w:rsidRDefault="00FA79D8" w:rsidP="00C22B55">
      <w:pPr>
        <w:pStyle w:val="ListParagraph"/>
        <w:numPr>
          <w:ilvl w:val="0"/>
          <w:numId w:val="14"/>
        </w:numPr>
        <w:jc w:val="both"/>
      </w:pPr>
      <w:r>
        <w:t>the pursuit of optimum performance consistent with those risks.</w:t>
      </w:r>
    </w:p>
    <w:p w14:paraId="4CC2F70C" w14:textId="77777777" w:rsidR="00FA79D8" w:rsidRDefault="00FA79D8" w:rsidP="001D3578">
      <w:pPr>
        <w:ind w:left="851" w:hanging="851"/>
        <w:jc w:val="both"/>
      </w:pPr>
    </w:p>
    <w:p w14:paraId="6E8C63E5" w14:textId="77777777" w:rsidR="00FA79D8" w:rsidRDefault="00FA79D8" w:rsidP="00C22B55">
      <w:pPr>
        <w:numPr>
          <w:ilvl w:val="0"/>
          <w:numId w:val="7"/>
        </w:numPr>
        <w:spacing w:line="276" w:lineRule="auto"/>
        <w:ind w:left="426" w:hanging="426"/>
        <w:jc w:val="both"/>
      </w:pPr>
      <w:r>
        <w:t>The C</w:t>
      </w:r>
      <w:r w:rsidR="00655F18">
        <w:t>ommissioner</w:t>
      </w:r>
      <w:r>
        <w:t xml:space="preserve"> regards the successful identification, monitoring and control of risk to be the prime criteria by which the effectiveness of treasury management activities will be measured.  Accordingly, the analysis and reporting of treasury management activities will focus on their risk implications for the C</w:t>
      </w:r>
      <w:r w:rsidR="00655F18">
        <w:t>ommissioner</w:t>
      </w:r>
      <w:r>
        <w:t>.</w:t>
      </w:r>
    </w:p>
    <w:p w14:paraId="1AE12E8C" w14:textId="77777777" w:rsidR="00FA79D8" w:rsidRDefault="00FA79D8" w:rsidP="001D3578">
      <w:pPr>
        <w:ind w:left="426" w:hanging="426"/>
        <w:jc w:val="both"/>
      </w:pPr>
    </w:p>
    <w:p w14:paraId="4BC36921" w14:textId="77777777" w:rsidR="00FA79D8" w:rsidRPr="0097657F" w:rsidRDefault="00FA79D8" w:rsidP="00C22B55">
      <w:pPr>
        <w:numPr>
          <w:ilvl w:val="0"/>
          <w:numId w:val="7"/>
        </w:numPr>
        <w:ind w:left="426" w:hanging="426"/>
        <w:jc w:val="both"/>
      </w:pPr>
      <w:r w:rsidRPr="0097657F">
        <w:t>The C</w:t>
      </w:r>
      <w:r w:rsidR="00655F18">
        <w:t xml:space="preserve">ommissioner </w:t>
      </w:r>
      <w:r w:rsidRPr="0097657F">
        <w:t>acknowledges that effective treasury management will provide support towards the achievement of business and service objectives.  It is therefore a commitment to the principles of achieving best value in treasury management, and to employing suitable performance measurement techniques within the context of effective risk management.</w:t>
      </w:r>
    </w:p>
    <w:p w14:paraId="22A500A4" w14:textId="77777777" w:rsidR="00FA79D8" w:rsidRPr="0097657F" w:rsidRDefault="00FA79D8" w:rsidP="001D3578">
      <w:pPr>
        <w:ind w:left="426" w:hanging="426"/>
        <w:jc w:val="both"/>
      </w:pPr>
    </w:p>
    <w:p w14:paraId="2F164B67" w14:textId="41738F79" w:rsidR="00FA79D8" w:rsidRPr="0097657F" w:rsidRDefault="00FA79D8" w:rsidP="00C22B55">
      <w:pPr>
        <w:numPr>
          <w:ilvl w:val="0"/>
          <w:numId w:val="7"/>
        </w:numPr>
        <w:ind w:left="426" w:hanging="426"/>
        <w:jc w:val="both"/>
      </w:pPr>
      <w:r w:rsidRPr="0097657F">
        <w:t>Treasury operations are managed within the overall strategy approved by the C</w:t>
      </w:r>
      <w:r w:rsidR="00655F18">
        <w:t>ommissioner</w:t>
      </w:r>
      <w:r w:rsidR="001C35A7">
        <w:t xml:space="preserve"> at the following</w:t>
      </w:r>
      <w:r w:rsidRPr="0097657F">
        <w:t xml:space="preserve"> levels:</w:t>
      </w:r>
    </w:p>
    <w:p w14:paraId="05576E43" w14:textId="6061963C" w:rsidR="00FA79D8" w:rsidRDefault="00FA79D8" w:rsidP="00C22B55">
      <w:pPr>
        <w:pStyle w:val="ListParagraph"/>
        <w:numPr>
          <w:ilvl w:val="0"/>
          <w:numId w:val="15"/>
        </w:numPr>
        <w:jc w:val="both"/>
      </w:pPr>
      <w:r w:rsidRPr="0097657F">
        <w:t xml:space="preserve">Formal reviews of strategy and performance by the </w:t>
      </w:r>
      <w:r>
        <w:t>C</w:t>
      </w:r>
      <w:r w:rsidR="00655F18">
        <w:t>ommissioner</w:t>
      </w:r>
      <w:r>
        <w:t>’s CFO</w:t>
      </w:r>
      <w:r w:rsidRPr="0097657F">
        <w:t xml:space="preserve">, Director of </w:t>
      </w:r>
      <w:r w:rsidR="00546F5F">
        <w:t>Commercial Services,</w:t>
      </w:r>
      <w:r w:rsidRPr="0097657F">
        <w:t xml:space="preserve"> and </w:t>
      </w:r>
      <w:r w:rsidR="00A31508">
        <w:t>Assistant Director Finance</w:t>
      </w:r>
      <w:r w:rsidRPr="0097657F">
        <w:t xml:space="preserve"> in conjunction with representatives from the external advisors (</w:t>
      </w:r>
      <w:r w:rsidR="00E82E1E">
        <w:t>Link Asset Services</w:t>
      </w:r>
      <w:r w:rsidRPr="0097657F">
        <w:t>).</w:t>
      </w:r>
    </w:p>
    <w:p w14:paraId="062DAA87" w14:textId="77777777" w:rsidR="00FA79D8" w:rsidRPr="0097657F" w:rsidRDefault="00FA79D8" w:rsidP="00C22B55">
      <w:pPr>
        <w:pStyle w:val="ListParagraph"/>
        <w:widowControl w:val="0"/>
        <w:numPr>
          <w:ilvl w:val="0"/>
          <w:numId w:val="15"/>
        </w:numPr>
        <w:tabs>
          <w:tab w:val="left" w:pos="568"/>
          <w:tab w:val="left" w:pos="1134"/>
          <w:tab w:val="left" w:pos="1702"/>
          <w:tab w:val="left" w:pos="2551"/>
          <w:tab w:val="left" w:pos="2836"/>
          <w:tab w:val="left" w:pos="3402"/>
          <w:tab w:val="left" w:pos="3970"/>
          <w:tab w:val="left" w:pos="4366"/>
          <w:tab w:val="left" w:pos="5217"/>
          <w:tab w:val="left" w:pos="6237"/>
          <w:tab w:val="left" w:pos="6804"/>
          <w:tab w:val="left" w:pos="7371"/>
          <w:tab w:val="left" w:pos="7938"/>
          <w:tab w:val="left" w:pos="8505"/>
          <w:tab w:val="left" w:pos="9072"/>
          <w:tab w:val="left" w:pos="9639"/>
        </w:tabs>
        <w:jc w:val="both"/>
      </w:pPr>
      <w:r w:rsidRPr="0097657F">
        <w:t xml:space="preserve">Monthly monitoring is conducted by the </w:t>
      </w:r>
      <w:r>
        <w:t>C</w:t>
      </w:r>
      <w:r w:rsidR="00721395">
        <w:t>ommissioner</w:t>
      </w:r>
      <w:r>
        <w:t>’s CFO</w:t>
      </w:r>
      <w:r w:rsidRPr="0097657F">
        <w:t xml:space="preserve">, Director of </w:t>
      </w:r>
      <w:r w:rsidR="00546F5F">
        <w:t>Comme</w:t>
      </w:r>
      <w:r w:rsidRPr="0097657F">
        <w:t>rc</w:t>
      </w:r>
      <w:r w:rsidR="00546F5F">
        <w:t>ial Servic</w:t>
      </w:r>
      <w:r w:rsidRPr="0097657F">
        <w:t xml:space="preserve">es and </w:t>
      </w:r>
      <w:r w:rsidR="00BB2ED1">
        <w:t>Assistant Director Finance</w:t>
      </w:r>
      <w:r w:rsidRPr="00AF2358">
        <w:rPr>
          <w:bCs/>
        </w:rPr>
        <w:t>.</w:t>
      </w:r>
      <w:r w:rsidRPr="0097657F">
        <w:t xml:space="preserve"> </w:t>
      </w:r>
    </w:p>
    <w:p w14:paraId="20F3BAA3" w14:textId="542B5B38" w:rsidR="00FA79D8" w:rsidRDefault="00FA79D8" w:rsidP="00C22B55">
      <w:pPr>
        <w:pStyle w:val="ListParagraph"/>
        <w:numPr>
          <w:ilvl w:val="0"/>
          <w:numId w:val="15"/>
        </w:numPr>
        <w:jc w:val="both"/>
      </w:pPr>
      <w:r w:rsidRPr="00922CDD">
        <w:t xml:space="preserve">On a daily basis by trained staff under the direction of the </w:t>
      </w:r>
      <w:r w:rsidR="00BB2ED1">
        <w:t>Assistant Director Finance.</w:t>
      </w:r>
    </w:p>
    <w:p w14:paraId="60856A16" w14:textId="77777777" w:rsidR="001C35A7" w:rsidRPr="001C35A7" w:rsidRDefault="001C35A7" w:rsidP="00C22B55">
      <w:pPr>
        <w:pStyle w:val="ListParagraph"/>
        <w:numPr>
          <w:ilvl w:val="0"/>
          <w:numId w:val="15"/>
        </w:numPr>
        <w:jc w:val="both"/>
      </w:pPr>
      <w:r w:rsidRPr="001C35A7">
        <w:t>Reports to the Joint Audit Committee and treasury activity.</w:t>
      </w:r>
    </w:p>
    <w:p w14:paraId="7943A61B" w14:textId="77777777" w:rsidR="001C35A7" w:rsidRPr="00922CDD" w:rsidRDefault="001C35A7" w:rsidP="00C22B55">
      <w:pPr>
        <w:pStyle w:val="ListParagraph"/>
        <w:numPr>
          <w:ilvl w:val="0"/>
          <w:numId w:val="15"/>
        </w:numPr>
        <w:jc w:val="both"/>
      </w:pPr>
      <w:r w:rsidRPr="001C35A7">
        <w:t>The annual review of the strategy for the Commissioner</w:t>
      </w:r>
      <w:r>
        <w:t>.</w:t>
      </w:r>
    </w:p>
    <w:p w14:paraId="1E57477E" w14:textId="77777777" w:rsidR="001C35A7" w:rsidRPr="00922CDD" w:rsidRDefault="001C35A7" w:rsidP="001C35A7">
      <w:pPr>
        <w:pStyle w:val="ListParagraph"/>
        <w:ind w:left="1146"/>
        <w:jc w:val="both"/>
      </w:pPr>
    </w:p>
    <w:p w14:paraId="414BBE88" w14:textId="77777777" w:rsidR="00FA79D8" w:rsidRPr="00544436" w:rsidRDefault="00FA79D8" w:rsidP="008F0C00">
      <w:pPr>
        <w:pStyle w:val="Heading3"/>
        <w:ind w:left="426" w:hanging="426"/>
        <w:jc w:val="right"/>
        <w:rPr>
          <w:b/>
          <w:u w:val="single"/>
        </w:rPr>
      </w:pPr>
      <w:r w:rsidRPr="00544436">
        <w:rPr>
          <w:rFonts w:ascii="Arial" w:hAnsi="Arial" w:cs="Arial"/>
          <w:b/>
          <w:sz w:val="22"/>
          <w:szCs w:val="22"/>
        </w:rPr>
        <w:br w:type="page"/>
      </w:r>
      <w:r w:rsidRPr="00544436">
        <w:rPr>
          <w:rFonts w:ascii="Arial" w:hAnsi="Arial" w:cs="Arial"/>
          <w:b/>
          <w:sz w:val="22"/>
          <w:szCs w:val="22"/>
        </w:rPr>
        <w:lastRenderedPageBreak/>
        <w:t>APPENDIX B</w:t>
      </w:r>
    </w:p>
    <w:p w14:paraId="11D92D8B" w14:textId="77777777" w:rsidR="00FA79D8" w:rsidRDefault="00FA79D8" w:rsidP="00FA79D8">
      <w:pPr>
        <w:rPr>
          <w:b/>
        </w:rPr>
      </w:pPr>
      <w:r>
        <w:rPr>
          <w:b/>
        </w:rPr>
        <w:t>Note:</w:t>
      </w:r>
    </w:p>
    <w:p w14:paraId="53B4E192" w14:textId="77777777" w:rsidR="00FA79D8" w:rsidRDefault="00FA79D8" w:rsidP="00FA79D8">
      <w:pPr>
        <w:rPr>
          <w:b/>
        </w:rPr>
      </w:pPr>
      <w:r>
        <w:rPr>
          <w:b/>
        </w:rPr>
        <w:t>It is important to note that the Treasury Strategy Statement is adopted by the C</w:t>
      </w:r>
      <w:r w:rsidR="00220C62">
        <w:rPr>
          <w:b/>
        </w:rPr>
        <w:t>ommissioner</w:t>
      </w:r>
      <w:r>
        <w:rPr>
          <w:b/>
        </w:rPr>
        <w:t xml:space="preserve"> based upon advice from external treasury advisors, and accordingly the Strategy is tailored to meet the sp</w:t>
      </w:r>
      <w:r w:rsidR="00220C62">
        <w:rPr>
          <w:b/>
        </w:rPr>
        <w:t xml:space="preserve">ecific and unique needs of the </w:t>
      </w:r>
      <w:r>
        <w:rPr>
          <w:b/>
        </w:rPr>
        <w:t>C</w:t>
      </w:r>
      <w:r w:rsidR="00220C62">
        <w:rPr>
          <w:b/>
        </w:rPr>
        <w:t>ommissioner</w:t>
      </w:r>
      <w:r>
        <w:rPr>
          <w:b/>
        </w:rPr>
        <w:t>.  All financial information contained within this Report and Statement should not be used by any individual or organisation as a basis for making investme</w:t>
      </w:r>
      <w:r w:rsidR="00220C62">
        <w:rPr>
          <w:b/>
        </w:rPr>
        <w:t xml:space="preserve">nt or borrowing decisions. The </w:t>
      </w:r>
      <w:r>
        <w:rPr>
          <w:b/>
        </w:rPr>
        <w:t>C</w:t>
      </w:r>
      <w:r w:rsidR="00220C62">
        <w:rPr>
          <w:b/>
        </w:rPr>
        <w:t>ommissioner</w:t>
      </w:r>
      <w:r>
        <w:rPr>
          <w:b/>
        </w:rPr>
        <w:t xml:space="preserve"> and the treasury advisors will not accept any liability on behalf of any individual or organisation who seeks to act on the financial information contained within this Report and Statement.</w:t>
      </w:r>
    </w:p>
    <w:p w14:paraId="5D3E8118" w14:textId="77777777" w:rsidR="00FA79D8" w:rsidRDefault="00FA79D8" w:rsidP="00FA79D8">
      <w:pPr>
        <w:rPr>
          <w:b/>
          <w:u w:val="single"/>
        </w:rPr>
      </w:pPr>
    </w:p>
    <w:p w14:paraId="41EB5481" w14:textId="47FBC2C8" w:rsidR="00FA79D8" w:rsidRDefault="00871F4F" w:rsidP="00FA79D8">
      <w:pPr>
        <w:rPr>
          <w:b/>
          <w:u w:val="single"/>
        </w:rPr>
      </w:pPr>
      <w:r>
        <w:rPr>
          <w:b/>
          <w:u w:val="single"/>
        </w:rPr>
        <w:t>TREASURY STRATEGY STATEMENT 202</w:t>
      </w:r>
      <w:r w:rsidR="000A5633">
        <w:rPr>
          <w:b/>
          <w:u w:val="single"/>
        </w:rPr>
        <w:t>3</w:t>
      </w:r>
      <w:r w:rsidR="00246220">
        <w:rPr>
          <w:b/>
          <w:u w:val="single"/>
        </w:rPr>
        <w:t>/2</w:t>
      </w:r>
      <w:r w:rsidR="000A5633">
        <w:rPr>
          <w:b/>
          <w:u w:val="single"/>
        </w:rPr>
        <w:t>4</w:t>
      </w:r>
    </w:p>
    <w:p w14:paraId="662AE3EF" w14:textId="77777777" w:rsidR="00220C62" w:rsidRDefault="00220C62" w:rsidP="00FA79D8">
      <w:pPr>
        <w:rPr>
          <w:b/>
        </w:rPr>
      </w:pPr>
    </w:p>
    <w:p w14:paraId="16772EDA" w14:textId="77777777" w:rsidR="00FA79D8" w:rsidRDefault="00FA79D8" w:rsidP="00FA79D8">
      <w:pPr>
        <w:rPr>
          <w:b/>
        </w:rPr>
      </w:pPr>
      <w:r>
        <w:rPr>
          <w:b/>
        </w:rPr>
        <w:t>1.0</w:t>
      </w:r>
      <w:r>
        <w:rPr>
          <w:b/>
        </w:rPr>
        <w:tab/>
        <w:t>INTRODUCTION</w:t>
      </w:r>
    </w:p>
    <w:p w14:paraId="77DDCA96" w14:textId="77777777" w:rsidR="002D2707" w:rsidRDefault="002D2707" w:rsidP="00FA79D8"/>
    <w:p w14:paraId="754D31AA" w14:textId="07B4EA03" w:rsidR="00FA79D8" w:rsidRDefault="00FA79D8" w:rsidP="00C22B55">
      <w:pPr>
        <w:pStyle w:val="ListParagraph"/>
        <w:numPr>
          <w:ilvl w:val="1"/>
          <w:numId w:val="16"/>
        </w:numPr>
        <w:jc w:val="both"/>
      </w:pPr>
      <w:r>
        <w:t>This Treasury Strategy Statement details the expected activities of the treasury fu</w:t>
      </w:r>
      <w:r w:rsidR="00871F4F">
        <w:t>n</w:t>
      </w:r>
      <w:r w:rsidR="00F543B8">
        <w:t>ction in the financial year 202</w:t>
      </w:r>
      <w:r w:rsidR="000A5633">
        <w:t>3</w:t>
      </w:r>
      <w:r w:rsidR="00F543B8">
        <w:t>/2</w:t>
      </w:r>
      <w:r w:rsidR="000A5633">
        <w:t>4</w:t>
      </w:r>
      <w:r>
        <w:t>. The suggested strategy is based upon views of interest rates as advised by external advisors, supplemented with leading market forecasts.  The strategy covers:</w:t>
      </w:r>
    </w:p>
    <w:p w14:paraId="12A83CE0" w14:textId="77777777" w:rsidR="005964E9" w:rsidRDefault="005964E9" w:rsidP="001D3578">
      <w:pPr>
        <w:pStyle w:val="ListParagraph"/>
        <w:jc w:val="both"/>
      </w:pPr>
    </w:p>
    <w:p w14:paraId="2D774A1C" w14:textId="2A01E929" w:rsidR="00FA79D8" w:rsidRDefault="00FA79D8" w:rsidP="00C22B55">
      <w:pPr>
        <w:numPr>
          <w:ilvl w:val="0"/>
          <w:numId w:val="8"/>
        </w:numPr>
        <w:tabs>
          <w:tab w:val="num" w:pos="1080"/>
        </w:tabs>
        <w:ind w:left="1080"/>
        <w:jc w:val="both"/>
      </w:pPr>
      <w:r>
        <w:t>the current portfolio position</w:t>
      </w:r>
      <w:r w:rsidR="005964E9">
        <w:t>;</w:t>
      </w:r>
    </w:p>
    <w:p w14:paraId="5462D7AE" w14:textId="265AA5E9" w:rsidR="00FA79D8" w:rsidRDefault="00FA79D8" w:rsidP="00C22B55">
      <w:pPr>
        <w:numPr>
          <w:ilvl w:val="0"/>
          <w:numId w:val="8"/>
        </w:numPr>
        <w:tabs>
          <w:tab w:val="num" w:pos="1080"/>
        </w:tabs>
        <w:ind w:left="1080"/>
        <w:jc w:val="both"/>
      </w:pPr>
      <w:r>
        <w:t>prudential indicators</w:t>
      </w:r>
      <w:r w:rsidR="005964E9">
        <w:t>;</w:t>
      </w:r>
    </w:p>
    <w:p w14:paraId="6EF9214C" w14:textId="7E9B9137" w:rsidR="00FA79D8" w:rsidRDefault="00FA79D8" w:rsidP="00C22B55">
      <w:pPr>
        <w:numPr>
          <w:ilvl w:val="0"/>
          <w:numId w:val="8"/>
        </w:numPr>
        <w:tabs>
          <w:tab w:val="num" w:pos="1080"/>
        </w:tabs>
        <w:ind w:left="1080"/>
        <w:jc w:val="both"/>
      </w:pPr>
      <w:r>
        <w:t>prospects for interest rates</w:t>
      </w:r>
      <w:r w:rsidR="005964E9">
        <w:t>;</w:t>
      </w:r>
    </w:p>
    <w:p w14:paraId="667F60CF" w14:textId="311EE650" w:rsidR="00FA79D8" w:rsidRDefault="00FA79D8" w:rsidP="00C22B55">
      <w:pPr>
        <w:numPr>
          <w:ilvl w:val="0"/>
          <w:numId w:val="8"/>
        </w:numPr>
        <w:tabs>
          <w:tab w:val="num" w:pos="1080"/>
        </w:tabs>
        <w:ind w:left="1080"/>
        <w:jc w:val="both"/>
      </w:pPr>
      <w:r>
        <w:t>the borrowing requirement &amp; strategy</w:t>
      </w:r>
      <w:r w:rsidR="005964E9">
        <w:t>;</w:t>
      </w:r>
    </w:p>
    <w:p w14:paraId="3FB1DD4F" w14:textId="0976644E" w:rsidR="00FA79D8" w:rsidRDefault="00FA79D8" w:rsidP="00C22B55">
      <w:pPr>
        <w:numPr>
          <w:ilvl w:val="0"/>
          <w:numId w:val="8"/>
        </w:numPr>
        <w:tabs>
          <w:tab w:val="num" w:pos="1080"/>
        </w:tabs>
        <w:ind w:left="1080"/>
        <w:jc w:val="both"/>
      </w:pPr>
      <w:r>
        <w:t>the investment strategy</w:t>
      </w:r>
      <w:r w:rsidR="005964E9">
        <w:t>;</w:t>
      </w:r>
    </w:p>
    <w:p w14:paraId="2584000F" w14:textId="1DF2C4A0" w:rsidR="00FA79D8" w:rsidRDefault="00FA79D8" w:rsidP="00C22B55">
      <w:pPr>
        <w:numPr>
          <w:ilvl w:val="0"/>
          <w:numId w:val="8"/>
        </w:numPr>
        <w:tabs>
          <w:tab w:val="num" w:pos="1080"/>
        </w:tabs>
        <w:ind w:left="1080"/>
        <w:jc w:val="both"/>
      </w:pPr>
      <w:r>
        <w:t>debt rescheduling opportunities</w:t>
      </w:r>
      <w:r w:rsidR="005964E9">
        <w:t>; and</w:t>
      </w:r>
    </w:p>
    <w:p w14:paraId="5403098D" w14:textId="056E0220" w:rsidR="00FA79D8" w:rsidRDefault="00FA79D8" w:rsidP="00C22B55">
      <w:pPr>
        <w:numPr>
          <w:ilvl w:val="0"/>
          <w:numId w:val="8"/>
        </w:numPr>
        <w:tabs>
          <w:tab w:val="num" w:pos="1080"/>
        </w:tabs>
        <w:ind w:left="1080"/>
        <w:jc w:val="both"/>
      </w:pPr>
      <w:r>
        <w:t>MRP strategy</w:t>
      </w:r>
      <w:r w:rsidR="005964E9">
        <w:t xml:space="preserve">. </w:t>
      </w:r>
    </w:p>
    <w:p w14:paraId="70622CEF" w14:textId="77777777" w:rsidR="00220C62" w:rsidRDefault="00220C62" w:rsidP="001D3578">
      <w:pPr>
        <w:jc w:val="both"/>
      </w:pPr>
    </w:p>
    <w:p w14:paraId="0162BF78" w14:textId="77777777" w:rsidR="00FA79D8" w:rsidRDefault="00FA79D8" w:rsidP="001D3578">
      <w:pPr>
        <w:jc w:val="both"/>
        <w:rPr>
          <w:b/>
        </w:rPr>
      </w:pPr>
      <w:r>
        <w:rPr>
          <w:b/>
        </w:rPr>
        <w:t>2.0</w:t>
      </w:r>
      <w:r>
        <w:rPr>
          <w:b/>
        </w:rPr>
        <w:tab/>
        <w:t>CURRENT PORTFOLIO POSITION</w:t>
      </w:r>
    </w:p>
    <w:p w14:paraId="32E11CDA" w14:textId="77777777" w:rsidR="002D2707" w:rsidRDefault="002D2707" w:rsidP="001D3578">
      <w:pPr>
        <w:jc w:val="both"/>
      </w:pPr>
    </w:p>
    <w:p w14:paraId="44580EC6" w14:textId="164CCBFE" w:rsidR="00FA79D8" w:rsidRPr="00544436" w:rsidRDefault="00FA79D8" w:rsidP="00C22B55">
      <w:pPr>
        <w:numPr>
          <w:ilvl w:val="1"/>
          <w:numId w:val="9"/>
        </w:numPr>
        <w:jc w:val="both"/>
        <w:rPr>
          <w:color w:val="FF0000"/>
        </w:rPr>
      </w:pPr>
      <w:r>
        <w:t>The C</w:t>
      </w:r>
      <w:r w:rsidR="00220C62">
        <w:t>ommissioner</w:t>
      </w:r>
      <w:r>
        <w:t xml:space="preserve">’s </w:t>
      </w:r>
      <w:r w:rsidR="0033352D">
        <w:t>estimated portfolio position as at</w:t>
      </w:r>
      <w:r w:rsidR="00871F4F">
        <w:t xml:space="preserve"> 1st April 202</w:t>
      </w:r>
      <w:r w:rsidR="000A5633">
        <w:t>3</w:t>
      </w:r>
      <w:r>
        <w:t xml:space="preserve"> </w:t>
      </w:r>
      <w:r w:rsidR="00A0717C">
        <w:t>will be</w:t>
      </w:r>
      <w:r>
        <w:t xml:space="preserve"> as follows:</w:t>
      </w:r>
    </w:p>
    <w:p w14:paraId="1A662D9F" w14:textId="5CF0FE48" w:rsidR="0033352D" w:rsidRDefault="0033352D" w:rsidP="00544436">
      <w:pPr>
        <w:ind w:left="720"/>
      </w:pPr>
    </w:p>
    <w:tbl>
      <w:tblPr>
        <w:tblStyle w:val="ListTable4-Accent1"/>
        <w:tblW w:w="9064" w:type="dxa"/>
        <w:tblLook w:val="04A0" w:firstRow="1" w:lastRow="0" w:firstColumn="1" w:lastColumn="0" w:noHBand="0" w:noVBand="1"/>
      </w:tblPr>
      <w:tblGrid>
        <w:gridCol w:w="5997"/>
        <w:gridCol w:w="3067"/>
      </w:tblGrid>
      <w:tr w:rsidR="00B67174" w:rsidRPr="00B67174" w14:paraId="4E657576" w14:textId="77777777" w:rsidTr="008F0C00">
        <w:trPr>
          <w:cnfStyle w:val="100000000000" w:firstRow="1" w:lastRow="0" w:firstColumn="0" w:lastColumn="0" w:oddVBand="0" w:evenVBand="0" w:oddHBand="0"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0" w:type="dxa"/>
            <w:hideMark/>
          </w:tcPr>
          <w:p w14:paraId="5E4EECF8" w14:textId="77777777" w:rsidR="0033352D" w:rsidRPr="008F0C00" w:rsidRDefault="0033352D" w:rsidP="0033352D">
            <w:pPr>
              <w:rPr>
                <w:rFonts w:eastAsia="Times New Roman"/>
                <w:bCs w:val="0"/>
              </w:rPr>
            </w:pPr>
            <w:r w:rsidRPr="008F0C00">
              <w:rPr>
                <w:rFonts w:eastAsia="Times New Roman"/>
              </w:rPr>
              <w:t>Treasury Investments</w:t>
            </w:r>
          </w:p>
        </w:tc>
        <w:tc>
          <w:tcPr>
            <w:tcW w:w="0" w:type="dxa"/>
            <w:hideMark/>
          </w:tcPr>
          <w:p w14:paraId="14E5C93A" w14:textId="77777777" w:rsidR="0033352D" w:rsidRPr="00B67174" w:rsidRDefault="0033352D" w:rsidP="0033352D">
            <w:pPr>
              <w:cnfStyle w:val="100000000000" w:firstRow="1" w:lastRow="0" w:firstColumn="0" w:lastColumn="0" w:oddVBand="0" w:evenVBand="0" w:oddHBand="0" w:evenHBand="0" w:firstRowFirstColumn="0" w:firstRowLastColumn="0" w:lastRowFirstColumn="0" w:lastRowLastColumn="0"/>
              <w:rPr>
                <w:rFonts w:eastAsia="Times New Roman"/>
                <w:bCs w:val="0"/>
              </w:rPr>
            </w:pPr>
            <w:r w:rsidRPr="00B67174">
              <w:rPr>
                <w:rFonts w:eastAsia="Times New Roman"/>
                <w:bCs w:val="0"/>
              </w:rPr>
              <w:t> </w:t>
            </w:r>
          </w:p>
        </w:tc>
      </w:tr>
      <w:tr w:rsidR="0033352D" w:rsidRPr="0033352D" w14:paraId="33677B93" w14:textId="77777777" w:rsidTr="008F0C00">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0" w:type="dxa"/>
            <w:noWrap/>
            <w:hideMark/>
          </w:tcPr>
          <w:p w14:paraId="2557FCF8" w14:textId="77777777" w:rsidR="0033352D" w:rsidRPr="00B67174" w:rsidRDefault="0033352D" w:rsidP="0033352D">
            <w:pPr>
              <w:rPr>
                <w:rFonts w:eastAsia="Times New Roman"/>
                <w:color w:val="000000"/>
              </w:rPr>
            </w:pPr>
            <w:r w:rsidRPr="00B67174">
              <w:rPr>
                <w:rFonts w:eastAsia="Times New Roman"/>
                <w:color w:val="000000"/>
              </w:rPr>
              <w:t> </w:t>
            </w:r>
          </w:p>
        </w:tc>
        <w:tc>
          <w:tcPr>
            <w:tcW w:w="0" w:type="dxa"/>
            <w:noWrap/>
            <w:hideMark/>
          </w:tcPr>
          <w:p w14:paraId="3B908C69" w14:textId="77777777" w:rsidR="0033352D" w:rsidRPr="00B67174" w:rsidRDefault="0033352D" w:rsidP="0033352D">
            <w:pPr>
              <w:cnfStyle w:val="000000100000" w:firstRow="0" w:lastRow="0" w:firstColumn="0" w:lastColumn="0" w:oddVBand="0" w:evenVBand="0" w:oddHBand="1" w:evenHBand="0" w:firstRowFirstColumn="0" w:firstRowLastColumn="0" w:lastRowFirstColumn="0" w:lastRowLastColumn="0"/>
              <w:rPr>
                <w:rFonts w:eastAsia="Times New Roman"/>
                <w:b/>
                <w:bCs/>
                <w:color w:val="000000"/>
              </w:rPr>
            </w:pPr>
            <w:r w:rsidRPr="00B67174">
              <w:rPr>
                <w:rFonts w:eastAsia="Times New Roman"/>
                <w:b/>
                <w:bCs/>
                <w:color w:val="000000"/>
              </w:rPr>
              <w:t>£m</w:t>
            </w:r>
          </w:p>
        </w:tc>
      </w:tr>
      <w:tr w:rsidR="0033352D" w:rsidRPr="0033352D" w14:paraId="111B6F7B" w14:textId="77777777" w:rsidTr="008F0C00">
        <w:trPr>
          <w:trHeight w:val="261"/>
        </w:trPr>
        <w:tc>
          <w:tcPr>
            <w:cnfStyle w:val="001000000000" w:firstRow="0" w:lastRow="0" w:firstColumn="1" w:lastColumn="0" w:oddVBand="0" w:evenVBand="0" w:oddHBand="0" w:evenHBand="0" w:firstRowFirstColumn="0" w:firstRowLastColumn="0" w:lastRowFirstColumn="0" w:lastRowLastColumn="0"/>
            <w:tcW w:w="0" w:type="dxa"/>
            <w:hideMark/>
          </w:tcPr>
          <w:p w14:paraId="23FC91AB" w14:textId="77777777" w:rsidR="0033352D" w:rsidRPr="00B67174" w:rsidRDefault="0033352D" w:rsidP="0033352D">
            <w:pPr>
              <w:rPr>
                <w:rFonts w:eastAsia="Times New Roman"/>
                <w:bCs w:val="0"/>
                <w:color w:val="000000"/>
              </w:rPr>
            </w:pPr>
            <w:r w:rsidRPr="00B67174">
              <w:rPr>
                <w:rFonts w:eastAsia="Times New Roman"/>
                <w:bCs w:val="0"/>
                <w:color w:val="000000"/>
              </w:rPr>
              <w:t>Maturity less than 1 year</w:t>
            </w:r>
          </w:p>
        </w:tc>
        <w:tc>
          <w:tcPr>
            <w:tcW w:w="0" w:type="dxa"/>
            <w:noWrap/>
            <w:hideMark/>
          </w:tcPr>
          <w:p w14:paraId="2B6D09BD" w14:textId="20063DFF" w:rsidR="0033352D" w:rsidRPr="00B67174" w:rsidRDefault="000A5633" w:rsidP="0033352D">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B67174">
              <w:rPr>
                <w:rFonts w:eastAsia="Times New Roman"/>
                <w:color w:val="000000"/>
              </w:rPr>
              <w:t>7</w:t>
            </w:r>
            <w:r w:rsidR="00E06896" w:rsidRPr="00B67174">
              <w:rPr>
                <w:rFonts w:eastAsia="Times New Roman"/>
                <w:color w:val="000000"/>
              </w:rPr>
              <w:t>0</w:t>
            </w:r>
            <w:r w:rsidR="00237AAE" w:rsidRPr="00B67174">
              <w:rPr>
                <w:rFonts w:eastAsia="Times New Roman"/>
                <w:color w:val="000000"/>
              </w:rPr>
              <w:t>.0</w:t>
            </w:r>
          </w:p>
        </w:tc>
      </w:tr>
      <w:tr w:rsidR="0033352D" w:rsidRPr="0033352D" w14:paraId="4FD5FDA0" w14:textId="77777777" w:rsidTr="008F0C00">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0" w:type="dxa"/>
            <w:hideMark/>
          </w:tcPr>
          <w:p w14:paraId="649070A9" w14:textId="66612FBA" w:rsidR="0033352D" w:rsidRPr="00B67174" w:rsidRDefault="00355A49" w:rsidP="0033352D">
            <w:pPr>
              <w:rPr>
                <w:rFonts w:eastAsia="Times New Roman"/>
                <w:bCs w:val="0"/>
                <w:color w:val="000000"/>
              </w:rPr>
            </w:pPr>
            <w:r w:rsidRPr="00B67174">
              <w:rPr>
                <w:rFonts w:eastAsia="Times New Roman"/>
                <w:bCs w:val="0"/>
                <w:color w:val="000000"/>
              </w:rPr>
              <w:t>Maturity between</w:t>
            </w:r>
            <w:r w:rsidR="0033352D" w:rsidRPr="00B67174">
              <w:rPr>
                <w:rFonts w:eastAsia="Times New Roman"/>
                <w:bCs w:val="0"/>
                <w:color w:val="000000"/>
              </w:rPr>
              <w:t xml:space="preserve"> 1 and 5 years</w:t>
            </w:r>
          </w:p>
        </w:tc>
        <w:tc>
          <w:tcPr>
            <w:tcW w:w="0" w:type="dxa"/>
            <w:noWrap/>
            <w:hideMark/>
          </w:tcPr>
          <w:p w14:paraId="143EFF54" w14:textId="2A8530C9" w:rsidR="0033352D" w:rsidRPr="00B67174" w:rsidRDefault="0033352D" w:rsidP="0033352D">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B67174">
              <w:rPr>
                <w:rFonts w:eastAsia="Times New Roman"/>
                <w:color w:val="000000"/>
              </w:rPr>
              <w:t>0.0</w:t>
            </w:r>
          </w:p>
        </w:tc>
      </w:tr>
      <w:tr w:rsidR="0033352D" w:rsidRPr="0033352D" w14:paraId="2008D994" w14:textId="77777777" w:rsidTr="008F0C00">
        <w:trPr>
          <w:trHeight w:val="261"/>
        </w:trPr>
        <w:tc>
          <w:tcPr>
            <w:cnfStyle w:val="001000000000" w:firstRow="0" w:lastRow="0" w:firstColumn="1" w:lastColumn="0" w:oddVBand="0" w:evenVBand="0" w:oddHBand="0" w:evenHBand="0" w:firstRowFirstColumn="0" w:firstRowLastColumn="0" w:lastRowFirstColumn="0" w:lastRowLastColumn="0"/>
            <w:tcW w:w="0" w:type="dxa"/>
            <w:hideMark/>
          </w:tcPr>
          <w:p w14:paraId="5F6FC13C" w14:textId="77777777" w:rsidR="0033352D" w:rsidRPr="00B67174" w:rsidRDefault="0033352D" w:rsidP="0033352D">
            <w:pPr>
              <w:rPr>
                <w:rFonts w:eastAsia="Times New Roman"/>
                <w:bCs w:val="0"/>
                <w:color w:val="000000"/>
              </w:rPr>
            </w:pPr>
            <w:r w:rsidRPr="00B67174">
              <w:rPr>
                <w:rFonts w:eastAsia="Times New Roman"/>
                <w:bCs w:val="0"/>
                <w:color w:val="000000"/>
              </w:rPr>
              <w:t xml:space="preserve">CCLA </w:t>
            </w:r>
          </w:p>
        </w:tc>
        <w:tc>
          <w:tcPr>
            <w:tcW w:w="0" w:type="dxa"/>
            <w:noWrap/>
            <w:hideMark/>
          </w:tcPr>
          <w:p w14:paraId="5D54FA07" w14:textId="77777777" w:rsidR="0033352D" w:rsidRPr="00B67174" w:rsidRDefault="0033352D" w:rsidP="0033352D">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B67174">
              <w:rPr>
                <w:rFonts w:eastAsia="Times New Roman"/>
                <w:color w:val="000000"/>
              </w:rPr>
              <w:t>5.0</w:t>
            </w:r>
          </w:p>
        </w:tc>
      </w:tr>
      <w:tr w:rsidR="0033352D" w:rsidRPr="0033352D" w14:paraId="0C3A2F58" w14:textId="77777777" w:rsidTr="008F0C00">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0" w:type="dxa"/>
            <w:noWrap/>
            <w:hideMark/>
          </w:tcPr>
          <w:p w14:paraId="0E8FBFFC" w14:textId="77777777" w:rsidR="0033352D" w:rsidRPr="00B67174" w:rsidRDefault="0033352D" w:rsidP="0033352D">
            <w:pPr>
              <w:rPr>
                <w:rFonts w:eastAsia="Times New Roman"/>
                <w:color w:val="000000"/>
              </w:rPr>
            </w:pPr>
            <w:r w:rsidRPr="00B67174">
              <w:rPr>
                <w:rFonts w:eastAsia="Times New Roman"/>
                <w:color w:val="000000"/>
              </w:rPr>
              <w:t> </w:t>
            </w:r>
          </w:p>
        </w:tc>
        <w:tc>
          <w:tcPr>
            <w:tcW w:w="0" w:type="dxa"/>
            <w:noWrap/>
            <w:hideMark/>
          </w:tcPr>
          <w:p w14:paraId="3BC4E962" w14:textId="5FFBC458" w:rsidR="0033352D" w:rsidRPr="00B67174" w:rsidRDefault="000A5633" w:rsidP="0033352D">
            <w:pPr>
              <w:jc w:val="right"/>
              <w:cnfStyle w:val="000000100000" w:firstRow="0" w:lastRow="0" w:firstColumn="0" w:lastColumn="0" w:oddVBand="0" w:evenVBand="0" w:oddHBand="1" w:evenHBand="0" w:firstRowFirstColumn="0" w:firstRowLastColumn="0" w:lastRowFirstColumn="0" w:lastRowLastColumn="0"/>
              <w:rPr>
                <w:rFonts w:eastAsia="Times New Roman"/>
                <w:b/>
                <w:bCs/>
                <w:color w:val="000000"/>
              </w:rPr>
            </w:pPr>
            <w:r w:rsidRPr="00B67174">
              <w:rPr>
                <w:rFonts w:eastAsia="Times New Roman"/>
                <w:b/>
                <w:bCs/>
                <w:color w:val="000000"/>
              </w:rPr>
              <w:t>7</w:t>
            </w:r>
            <w:r w:rsidR="001E20D4" w:rsidRPr="00B67174">
              <w:rPr>
                <w:rFonts w:eastAsia="Times New Roman"/>
                <w:b/>
                <w:bCs/>
                <w:color w:val="000000"/>
              </w:rPr>
              <w:t>5</w:t>
            </w:r>
            <w:r w:rsidR="00237AAE" w:rsidRPr="00B67174">
              <w:rPr>
                <w:rFonts w:eastAsia="Times New Roman"/>
                <w:b/>
                <w:bCs/>
                <w:color w:val="000000"/>
              </w:rPr>
              <w:t>.0</w:t>
            </w:r>
          </w:p>
        </w:tc>
      </w:tr>
      <w:tr w:rsidR="0033352D" w:rsidRPr="0033352D" w14:paraId="424F2E3E" w14:textId="77777777" w:rsidTr="008F0C00">
        <w:trPr>
          <w:trHeight w:val="261"/>
        </w:trPr>
        <w:tc>
          <w:tcPr>
            <w:cnfStyle w:val="001000000000" w:firstRow="0" w:lastRow="0" w:firstColumn="1" w:lastColumn="0" w:oddVBand="0" w:evenVBand="0" w:oddHBand="0" w:evenHBand="0" w:firstRowFirstColumn="0" w:firstRowLastColumn="0" w:lastRowFirstColumn="0" w:lastRowLastColumn="0"/>
            <w:tcW w:w="0" w:type="dxa"/>
            <w:noWrap/>
            <w:hideMark/>
          </w:tcPr>
          <w:p w14:paraId="2F36F52C" w14:textId="77777777" w:rsidR="0033352D" w:rsidRPr="00B67174" w:rsidRDefault="0033352D" w:rsidP="0033352D">
            <w:pPr>
              <w:rPr>
                <w:rFonts w:eastAsia="Times New Roman"/>
                <w:color w:val="000000"/>
              </w:rPr>
            </w:pPr>
            <w:r w:rsidRPr="00B67174">
              <w:rPr>
                <w:rFonts w:eastAsia="Times New Roman"/>
                <w:color w:val="000000"/>
              </w:rPr>
              <w:t> </w:t>
            </w:r>
          </w:p>
        </w:tc>
        <w:tc>
          <w:tcPr>
            <w:tcW w:w="0" w:type="dxa"/>
            <w:noWrap/>
            <w:hideMark/>
          </w:tcPr>
          <w:p w14:paraId="6A686748" w14:textId="77777777" w:rsidR="0033352D" w:rsidRPr="00B67174" w:rsidRDefault="0033352D" w:rsidP="0033352D">
            <w:pP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B67174">
              <w:rPr>
                <w:rFonts w:eastAsia="Times New Roman"/>
                <w:color w:val="000000"/>
              </w:rPr>
              <w:t> </w:t>
            </w:r>
          </w:p>
        </w:tc>
      </w:tr>
      <w:tr w:rsidR="0033352D" w:rsidRPr="0033352D" w14:paraId="14EB6349" w14:textId="77777777" w:rsidTr="008F0C00">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0" w:type="dxa"/>
            <w:shd w:val="clear" w:color="auto" w:fill="2E74B5" w:themeFill="accent5" w:themeFillShade="BF"/>
            <w:hideMark/>
          </w:tcPr>
          <w:p w14:paraId="72ADC860" w14:textId="3EE462DD" w:rsidR="0033352D" w:rsidRPr="008F0C00" w:rsidRDefault="0033352D" w:rsidP="0033352D">
            <w:pPr>
              <w:rPr>
                <w:rFonts w:eastAsia="Times New Roman"/>
                <w:bCs w:val="0"/>
                <w:color w:val="FFFFFF" w:themeColor="background1"/>
              </w:rPr>
            </w:pPr>
            <w:r w:rsidRPr="008F0C00">
              <w:rPr>
                <w:rFonts w:eastAsia="Times New Roman"/>
                <w:color w:val="FFFFFF" w:themeColor="background1"/>
              </w:rPr>
              <w:t xml:space="preserve">Treasury </w:t>
            </w:r>
            <w:r w:rsidR="00A267CA" w:rsidRPr="00A267CA">
              <w:rPr>
                <w:rFonts w:eastAsia="Times New Roman"/>
                <w:color w:val="FFFFFF" w:themeColor="background1"/>
              </w:rPr>
              <w:t>E</w:t>
            </w:r>
            <w:r w:rsidRPr="008F0C00">
              <w:rPr>
                <w:rFonts w:eastAsia="Times New Roman"/>
                <w:color w:val="FFFFFF" w:themeColor="background1"/>
              </w:rPr>
              <w:t xml:space="preserve">xternal </w:t>
            </w:r>
            <w:r w:rsidR="00A267CA" w:rsidRPr="00A267CA">
              <w:rPr>
                <w:rFonts w:eastAsia="Times New Roman"/>
                <w:color w:val="FFFFFF" w:themeColor="background1"/>
              </w:rPr>
              <w:t>B</w:t>
            </w:r>
            <w:r w:rsidRPr="008F0C00">
              <w:rPr>
                <w:rFonts w:eastAsia="Times New Roman"/>
                <w:color w:val="FFFFFF" w:themeColor="background1"/>
              </w:rPr>
              <w:t>orrowing</w:t>
            </w:r>
          </w:p>
        </w:tc>
        <w:tc>
          <w:tcPr>
            <w:tcW w:w="0" w:type="dxa"/>
            <w:shd w:val="clear" w:color="auto" w:fill="2E74B5" w:themeFill="accent5" w:themeFillShade="BF"/>
            <w:noWrap/>
            <w:hideMark/>
          </w:tcPr>
          <w:p w14:paraId="0FED1280" w14:textId="77777777" w:rsidR="0033352D" w:rsidRPr="008F0C00" w:rsidRDefault="0033352D" w:rsidP="0033352D">
            <w:pPr>
              <w:cnfStyle w:val="000000100000" w:firstRow="0" w:lastRow="0" w:firstColumn="0" w:lastColumn="0" w:oddVBand="0" w:evenVBand="0" w:oddHBand="1" w:evenHBand="0" w:firstRowFirstColumn="0" w:firstRowLastColumn="0" w:lastRowFirstColumn="0" w:lastRowLastColumn="0"/>
              <w:rPr>
                <w:rFonts w:eastAsia="Times New Roman"/>
                <w:color w:val="FFFFFF" w:themeColor="background1"/>
              </w:rPr>
            </w:pPr>
            <w:r w:rsidRPr="008F0C00">
              <w:rPr>
                <w:rFonts w:eastAsia="Times New Roman"/>
                <w:color w:val="FFFFFF" w:themeColor="background1"/>
              </w:rPr>
              <w:t> </w:t>
            </w:r>
          </w:p>
        </w:tc>
      </w:tr>
      <w:tr w:rsidR="0033352D" w:rsidRPr="0033352D" w14:paraId="639B4FF6" w14:textId="77777777" w:rsidTr="008F0C00">
        <w:trPr>
          <w:trHeight w:val="261"/>
        </w:trPr>
        <w:tc>
          <w:tcPr>
            <w:cnfStyle w:val="001000000000" w:firstRow="0" w:lastRow="0" w:firstColumn="1" w:lastColumn="0" w:oddVBand="0" w:evenVBand="0" w:oddHBand="0" w:evenHBand="0" w:firstRowFirstColumn="0" w:firstRowLastColumn="0" w:lastRowFirstColumn="0" w:lastRowLastColumn="0"/>
            <w:tcW w:w="0" w:type="dxa"/>
            <w:noWrap/>
            <w:hideMark/>
          </w:tcPr>
          <w:p w14:paraId="254CB67F" w14:textId="5C630F55" w:rsidR="0033352D" w:rsidRPr="00B67174" w:rsidRDefault="0033352D" w:rsidP="0033352D">
            <w:pPr>
              <w:rPr>
                <w:rFonts w:eastAsia="Times New Roman"/>
                <w:color w:val="000000"/>
              </w:rPr>
            </w:pPr>
            <w:r w:rsidRPr="00B67174">
              <w:rPr>
                <w:rFonts w:eastAsia="Times New Roman"/>
                <w:color w:val="000000"/>
              </w:rPr>
              <w:t xml:space="preserve"> PWLB fixed rate</w:t>
            </w:r>
          </w:p>
        </w:tc>
        <w:tc>
          <w:tcPr>
            <w:tcW w:w="0" w:type="dxa"/>
            <w:noWrap/>
            <w:hideMark/>
          </w:tcPr>
          <w:p w14:paraId="0B01EAD9" w14:textId="4C96BA7F" w:rsidR="0033352D" w:rsidRPr="00B67174" w:rsidRDefault="00A1252D" w:rsidP="0033352D">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B67174">
              <w:rPr>
                <w:rFonts w:eastAsia="Times New Roman"/>
                <w:color w:val="000000"/>
              </w:rPr>
              <w:t>10</w:t>
            </w:r>
            <w:r w:rsidR="000A5633" w:rsidRPr="00B67174">
              <w:rPr>
                <w:rFonts w:eastAsia="Times New Roman"/>
                <w:color w:val="000000"/>
              </w:rPr>
              <w:t>5</w:t>
            </w:r>
            <w:r w:rsidRPr="00B67174">
              <w:rPr>
                <w:rFonts w:eastAsia="Times New Roman"/>
                <w:color w:val="000000"/>
              </w:rPr>
              <w:t>.3</w:t>
            </w:r>
          </w:p>
        </w:tc>
      </w:tr>
      <w:tr w:rsidR="0033352D" w:rsidRPr="0033352D" w14:paraId="0A06A1BF" w14:textId="77777777" w:rsidTr="008F0C00">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0" w:type="dxa"/>
            <w:noWrap/>
            <w:hideMark/>
          </w:tcPr>
          <w:p w14:paraId="585774FF" w14:textId="6C8FD534" w:rsidR="0033352D" w:rsidRPr="00B67174" w:rsidRDefault="0033352D" w:rsidP="0033352D">
            <w:pPr>
              <w:rPr>
                <w:rFonts w:eastAsia="Times New Roman"/>
                <w:color w:val="000000"/>
              </w:rPr>
            </w:pPr>
            <w:r w:rsidRPr="00B67174">
              <w:rPr>
                <w:rFonts w:eastAsia="Times New Roman"/>
                <w:color w:val="000000"/>
              </w:rPr>
              <w:t xml:space="preserve"> PWLB variable rate</w:t>
            </w:r>
          </w:p>
        </w:tc>
        <w:tc>
          <w:tcPr>
            <w:tcW w:w="0" w:type="dxa"/>
            <w:noWrap/>
            <w:hideMark/>
          </w:tcPr>
          <w:p w14:paraId="2E30324E" w14:textId="77777777" w:rsidR="0033352D" w:rsidRPr="00B67174" w:rsidRDefault="0033352D" w:rsidP="0033352D">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B67174">
              <w:rPr>
                <w:rFonts w:eastAsia="Times New Roman"/>
                <w:color w:val="000000"/>
              </w:rPr>
              <w:t>0.0</w:t>
            </w:r>
          </w:p>
        </w:tc>
      </w:tr>
      <w:tr w:rsidR="0033352D" w:rsidRPr="0033352D" w14:paraId="36D3D699" w14:textId="77777777" w:rsidTr="008F0C00">
        <w:trPr>
          <w:trHeight w:val="261"/>
        </w:trPr>
        <w:tc>
          <w:tcPr>
            <w:cnfStyle w:val="001000000000" w:firstRow="0" w:lastRow="0" w:firstColumn="1" w:lastColumn="0" w:oddVBand="0" w:evenVBand="0" w:oddHBand="0" w:evenHBand="0" w:firstRowFirstColumn="0" w:firstRowLastColumn="0" w:lastRowFirstColumn="0" w:lastRowLastColumn="0"/>
            <w:tcW w:w="0" w:type="dxa"/>
            <w:noWrap/>
            <w:hideMark/>
          </w:tcPr>
          <w:p w14:paraId="3B77D3D6" w14:textId="77777777" w:rsidR="0033352D" w:rsidRPr="00B67174" w:rsidRDefault="0033352D" w:rsidP="0033352D">
            <w:pPr>
              <w:rPr>
                <w:rFonts w:eastAsia="Times New Roman"/>
                <w:color w:val="000000"/>
              </w:rPr>
            </w:pPr>
            <w:r w:rsidRPr="00B67174">
              <w:rPr>
                <w:rFonts w:eastAsia="Times New Roman"/>
                <w:color w:val="000000"/>
              </w:rPr>
              <w:t> </w:t>
            </w:r>
          </w:p>
        </w:tc>
        <w:tc>
          <w:tcPr>
            <w:tcW w:w="0" w:type="dxa"/>
            <w:noWrap/>
            <w:hideMark/>
          </w:tcPr>
          <w:p w14:paraId="7F067C19" w14:textId="6083B33E" w:rsidR="0033352D" w:rsidRPr="00B67174" w:rsidRDefault="00A1252D" w:rsidP="0033352D">
            <w:pPr>
              <w:jc w:val="right"/>
              <w:cnfStyle w:val="000000000000" w:firstRow="0" w:lastRow="0" w:firstColumn="0" w:lastColumn="0" w:oddVBand="0" w:evenVBand="0" w:oddHBand="0" w:evenHBand="0" w:firstRowFirstColumn="0" w:firstRowLastColumn="0" w:lastRowFirstColumn="0" w:lastRowLastColumn="0"/>
              <w:rPr>
                <w:rFonts w:eastAsia="Times New Roman"/>
                <w:b/>
                <w:bCs/>
                <w:color w:val="000000"/>
              </w:rPr>
            </w:pPr>
            <w:r w:rsidRPr="00B67174">
              <w:rPr>
                <w:rFonts w:eastAsia="Times New Roman"/>
                <w:b/>
                <w:bCs/>
                <w:color w:val="000000"/>
              </w:rPr>
              <w:t>10</w:t>
            </w:r>
            <w:r w:rsidR="000A5633" w:rsidRPr="00B67174">
              <w:rPr>
                <w:rFonts w:eastAsia="Times New Roman"/>
                <w:b/>
                <w:bCs/>
                <w:color w:val="000000"/>
              </w:rPr>
              <w:t>5</w:t>
            </w:r>
            <w:r w:rsidRPr="00B67174">
              <w:rPr>
                <w:rFonts w:eastAsia="Times New Roman"/>
                <w:b/>
                <w:bCs/>
                <w:color w:val="000000"/>
              </w:rPr>
              <w:t>.3</w:t>
            </w:r>
          </w:p>
        </w:tc>
      </w:tr>
      <w:tr w:rsidR="0033352D" w:rsidRPr="0033352D" w14:paraId="26DC5E94" w14:textId="77777777" w:rsidTr="008F0C00">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0" w:type="dxa"/>
            <w:noWrap/>
            <w:hideMark/>
          </w:tcPr>
          <w:p w14:paraId="77DC8DCF" w14:textId="77777777" w:rsidR="0033352D" w:rsidRPr="00B67174" w:rsidRDefault="0033352D" w:rsidP="0033352D">
            <w:pPr>
              <w:rPr>
                <w:rFonts w:eastAsia="Times New Roman"/>
                <w:color w:val="000000"/>
              </w:rPr>
            </w:pPr>
            <w:r w:rsidRPr="00B67174">
              <w:rPr>
                <w:rFonts w:eastAsia="Times New Roman"/>
                <w:color w:val="000000"/>
              </w:rPr>
              <w:t> </w:t>
            </w:r>
          </w:p>
        </w:tc>
        <w:tc>
          <w:tcPr>
            <w:tcW w:w="0" w:type="dxa"/>
            <w:noWrap/>
            <w:hideMark/>
          </w:tcPr>
          <w:p w14:paraId="6339436B" w14:textId="77777777" w:rsidR="0033352D" w:rsidRPr="00B67174" w:rsidRDefault="0033352D" w:rsidP="0033352D">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B67174">
              <w:rPr>
                <w:rFonts w:eastAsia="Times New Roman"/>
                <w:color w:val="000000"/>
              </w:rPr>
              <w:t> </w:t>
            </w:r>
          </w:p>
        </w:tc>
      </w:tr>
      <w:tr w:rsidR="0033352D" w:rsidRPr="0033352D" w14:paraId="153CAFFE" w14:textId="77777777" w:rsidTr="008F0C00">
        <w:trPr>
          <w:trHeight w:val="261"/>
        </w:trPr>
        <w:tc>
          <w:tcPr>
            <w:cnfStyle w:val="001000000000" w:firstRow="0" w:lastRow="0" w:firstColumn="1" w:lastColumn="0" w:oddVBand="0" w:evenVBand="0" w:oddHBand="0" w:evenHBand="0" w:firstRowFirstColumn="0" w:firstRowLastColumn="0" w:lastRowFirstColumn="0" w:lastRowLastColumn="0"/>
            <w:tcW w:w="0" w:type="dxa"/>
            <w:noWrap/>
            <w:hideMark/>
          </w:tcPr>
          <w:p w14:paraId="6F250D28" w14:textId="77777777" w:rsidR="0033352D" w:rsidRPr="00B67174" w:rsidRDefault="0033352D" w:rsidP="0033352D">
            <w:pPr>
              <w:rPr>
                <w:rFonts w:eastAsia="Times New Roman"/>
                <w:bCs w:val="0"/>
                <w:color w:val="000000"/>
              </w:rPr>
            </w:pPr>
            <w:r w:rsidRPr="00B67174">
              <w:rPr>
                <w:rFonts w:eastAsia="Times New Roman"/>
                <w:bCs w:val="0"/>
                <w:color w:val="000000"/>
              </w:rPr>
              <w:t>Net Treasury Borrowing</w:t>
            </w:r>
          </w:p>
        </w:tc>
        <w:tc>
          <w:tcPr>
            <w:tcW w:w="0" w:type="dxa"/>
            <w:noWrap/>
            <w:hideMark/>
          </w:tcPr>
          <w:p w14:paraId="7B76BCFA" w14:textId="09712E1A" w:rsidR="0033352D" w:rsidRPr="00B67174" w:rsidRDefault="00D00204" w:rsidP="0033352D">
            <w:pPr>
              <w:jc w:val="right"/>
              <w:cnfStyle w:val="000000000000" w:firstRow="0" w:lastRow="0" w:firstColumn="0" w:lastColumn="0" w:oddVBand="0" w:evenVBand="0" w:oddHBand="0" w:evenHBand="0" w:firstRowFirstColumn="0" w:firstRowLastColumn="0" w:lastRowFirstColumn="0" w:lastRowLastColumn="0"/>
              <w:rPr>
                <w:rFonts w:eastAsia="Times New Roman"/>
                <w:b/>
                <w:bCs/>
                <w:color w:val="000000"/>
              </w:rPr>
            </w:pPr>
            <w:r w:rsidRPr="00B67174">
              <w:rPr>
                <w:rFonts w:eastAsia="Times New Roman"/>
                <w:b/>
                <w:bCs/>
                <w:color w:val="000000"/>
              </w:rPr>
              <w:t>-</w:t>
            </w:r>
            <w:r w:rsidR="000A5633" w:rsidRPr="00B67174">
              <w:rPr>
                <w:rFonts w:eastAsia="Times New Roman"/>
                <w:b/>
                <w:bCs/>
                <w:color w:val="000000"/>
              </w:rPr>
              <w:t>30</w:t>
            </w:r>
            <w:r w:rsidR="001E20D4" w:rsidRPr="00B67174">
              <w:rPr>
                <w:rFonts w:eastAsia="Times New Roman"/>
                <w:b/>
                <w:bCs/>
                <w:color w:val="000000"/>
              </w:rPr>
              <w:t>.3</w:t>
            </w:r>
          </w:p>
        </w:tc>
      </w:tr>
    </w:tbl>
    <w:p w14:paraId="245801F9" w14:textId="77777777" w:rsidR="0033352D" w:rsidRPr="00E17ADE" w:rsidRDefault="0033352D" w:rsidP="00544436">
      <w:pPr>
        <w:ind w:left="720"/>
        <w:rPr>
          <w:color w:val="FF0000"/>
        </w:rPr>
      </w:pPr>
    </w:p>
    <w:p w14:paraId="54CBF38D" w14:textId="778256D7" w:rsidR="00A42023" w:rsidRDefault="00A42023" w:rsidP="00FA79D8"/>
    <w:p w14:paraId="61FE2A73" w14:textId="600C8948" w:rsidR="0033352D" w:rsidRDefault="00FA79D8" w:rsidP="00C22B55">
      <w:pPr>
        <w:numPr>
          <w:ilvl w:val="1"/>
          <w:numId w:val="9"/>
        </w:numPr>
        <w:jc w:val="both"/>
      </w:pPr>
      <w:r w:rsidRPr="00703A81">
        <w:t xml:space="preserve">The average rate of interest on the </w:t>
      </w:r>
      <w:r w:rsidR="009E012D">
        <w:t>abo</w:t>
      </w:r>
      <w:r w:rsidR="00063914">
        <w:t xml:space="preserve">ve debt is expected to </w:t>
      </w:r>
      <w:r w:rsidR="00063914" w:rsidRPr="0020545F">
        <w:t>be 3</w:t>
      </w:r>
      <w:r w:rsidR="009E012D" w:rsidRPr="0020545F">
        <w:t>.</w:t>
      </w:r>
      <w:r w:rsidR="00B67E15">
        <w:t>17</w:t>
      </w:r>
      <w:r w:rsidRPr="0020545F">
        <w:t>%.</w:t>
      </w:r>
    </w:p>
    <w:p w14:paraId="0B9A37BE" w14:textId="77777777" w:rsidR="00F543B8" w:rsidRDefault="00F543B8" w:rsidP="001D3578">
      <w:pPr>
        <w:ind w:left="720"/>
        <w:jc w:val="both"/>
      </w:pPr>
    </w:p>
    <w:p w14:paraId="61521BFB" w14:textId="4BACF6E3" w:rsidR="00FA79D8" w:rsidRDefault="00FA79D8" w:rsidP="001D3578">
      <w:pPr>
        <w:ind w:left="720"/>
        <w:jc w:val="both"/>
      </w:pPr>
      <w:r w:rsidRPr="00A0717C">
        <w:t xml:space="preserve">The </w:t>
      </w:r>
      <w:r w:rsidR="0033352D">
        <w:t>treasury investments less than 5 years relates to Bank, Building society</w:t>
      </w:r>
      <w:r w:rsidR="00C84BF5">
        <w:t>,</w:t>
      </w:r>
      <w:r w:rsidR="0033352D">
        <w:t xml:space="preserve"> Local Authority Investments</w:t>
      </w:r>
      <w:r w:rsidR="00C84BF5">
        <w:t xml:space="preserve"> and Money Market Funds</w:t>
      </w:r>
      <w:r w:rsidR="0033352D">
        <w:t>.</w:t>
      </w:r>
      <w:r w:rsidR="00F543B8">
        <w:t xml:space="preserve"> </w:t>
      </w:r>
      <w:r w:rsidR="0033352D">
        <w:t xml:space="preserve">The </w:t>
      </w:r>
      <w:r w:rsidR="00A0717C">
        <w:t>£5</w:t>
      </w:r>
      <w:r w:rsidR="00246220">
        <w:t>.</w:t>
      </w:r>
      <w:r w:rsidR="007870B1">
        <w:t>0</w:t>
      </w:r>
      <w:r w:rsidR="00A0717C">
        <w:t xml:space="preserve">m </w:t>
      </w:r>
      <w:r w:rsidR="0033352D">
        <w:t xml:space="preserve">investment </w:t>
      </w:r>
      <w:r w:rsidR="00A0717C">
        <w:t xml:space="preserve">placed with CCLA </w:t>
      </w:r>
      <w:r w:rsidR="00C84BF5">
        <w:t xml:space="preserve">relates to the property fund and </w:t>
      </w:r>
      <w:r w:rsidR="0033352D">
        <w:t xml:space="preserve">is </w:t>
      </w:r>
      <w:r w:rsidR="00A0717C">
        <w:t>for at least five years.</w:t>
      </w:r>
      <w:r w:rsidR="0016120C">
        <w:t xml:space="preserve"> </w:t>
      </w:r>
    </w:p>
    <w:p w14:paraId="3F4AE925" w14:textId="77777777" w:rsidR="002D2707" w:rsidRDefault="002D2707" w:rsidP="001D3578">
      <w:pPr>
        <w:jc w:val="both"/>
      </w:pPr>
    </w:p>
    <w:p w14:paraId="26ACA344" w14:textId="748F343B" w:rsidR="00FA79D8" w:rsidRDefault="00FA79D8" w:rsidP="001D3578">
      <w:pPr>
        <w:jc w:val="both"/>
        <w:rPr>
          <w:b/>
        </w:rPr>
      </w:pPr>
      <w:r>
        <w:rPr>
          <w:b/>
        </w:rPr>
        <w:lastRenderedPageBreak/>
        <w:t>3.</w:t>
      </w:r>
      <w:r w:rsidR="002D2707">
        <w:rPr>
          <w:b/>
        </w:rPr>
        <w:t xml:space="preserve">0 </w:t>
      </w:r>
      <w:r w:rsidR="002D2707">
        <w:rPr>
          <w:b/>
        </w:rPr>
        <w:tab/>
        <w:t>PRUDENTIAL INDICATORS for 202</w:t>
      </w:r>
      <w:r w:rsidR="00DA339D">
        <w:rPr>
          <w:b/>
        </w:rPr>
        <w:t>3</w:t>
      </w:r>
      <w:r w:rsidR="002D2707">
        <w:rPr>
          <w:b/>
        </w:rPr>
        <w:t>/2</w:t>
      </w:r>
      <w:r w:rsidR="00DA339D">
        <w:rPr>
          <w:b/>
        </w:rPr>
        <w:t>4</w:t>
      </w:r>
      <w:r w:rsidR="002851B9">
        <w:rPr>
          <w:b/>
        </w:rPr>
        <w:t xml:space="preserve"> to 202</w:t>
      </w:r>
      <w:r w:rsidR="00C84BF5">
        <w:rPr>
          <w:b/>
        </w:rPr>
        <w:t>5</w:t>
      </w:r>
      <w:r>
        <w:rPr>
          <w:b/>
        </w:rPr>
        <w:t>/</w:t>
      </w:r>
      <w:r w:rsidR="002851B9">
        <w:rPr>
          <w:b/>
        </w:rPr>
        <w:t>2</w:t>
      </w:r>
      <w:r w:rsidR="00C84BF5">
        <w:rPr>
          <w:b/>
        </w:rPr>
        <w:t>6</w:t>
      </w:r>
    </w:p>
    <w:p w14:paraId="4578CEE8" w14:textId="77777777" w:rsidR="002D2707" w:rsidRDefault="002D2707" w:rsidP="001D3578">
      <w:pPr>
        <w:jc w:val="both"/>
        <w:rPr>
          <w:b/>
        </w:rPr>
      </w:pPr>
    </w:p>
    <w:p w14:paraId="28CC7FBB" w14:textId="50237A49" w:rsidR="0050158B" w:rsidRPr="0050158B" w:rsidRDefault="00FA79D8" w:rsidP="001D3578">
      <w:pPr>
        <w:pStyle w:val="BodyText"/>
        <w:ind w:left="720" w:hanging="720"/>
        <w:jc w:val="both"/>
        <w:rPr>
          <w:rFonts w:ascii="Arial" w:hAnsi="Arial"/>
        </w:rPr>
      </w:pPr>
      <w:r>
        <w:rPr>
          <w:rFonts w:ascii="Arial" w:hAnsi="Arial"/>
        </w:rPr>
        <w:t>3.1</w:t>
      </w:r>
      <w:r>
        <w:rPr>
          <w:rFonts w:ascii="Arial" w:hAnsi="Arial"/>
        </w:rPr>
        <w:tab/>
      </w:r>
      <w:r w:rsidR="0050158B" w:rsidRPr="0050158B">
        <w:rPr>
          <w:rFonts w:ascii="Arial" w:hAnsi="Arial"/>
        </w:rPr>
        <w:t>The Prudential Code for Capital Finance in Local Authorities (Prudential Code) is applicable to the Police and Crime Commissioner and has been developed by the Chartered Institute of Public Finance and Accountancy (CIPFA) to provide a code of practice to underpin the system of capital finance embodied in Part 1 of the Local Government Act 2003. PCCs, like Local Authorities, are free to determine their own level of capital investment controlled by self-regulation.</w:t>
      </w:r>
    </w:p>
    <w:p w14:paraId="41DCF655" w14:textId="69EF488C" w:rsidR="0050158B" w:rsidRPr="0050158B" w:rsidRDefault="0050158B" w:rsidP="001D3578">
      <w:pPr>
        <w:pStyle w:val="BodyText"/>
        <w:ind w:left="720" w:hanging="720"/>
        <w:jc w:val="both"/>
        <w:rPr>
          <w:rFonts w:ascii="Arial" w:hAnsi="Arial"/>
        </w:rPr>
      </w:pPr>
      <w:r>
        <w:rPr>
          <w:rFonts w:ascii="Arial" w:hAnsi="Arial"/>
        </w:rPr>
        <w:t>3.</w:t>
      </w:r>
      <w:r w:rsidRPr="0050158B">
        <w:rPr>
          <w:rFonts w:ascii="Arial" w:hAnsi="Arial"/>
        </w:rPr>
        <w:t>2</w:t>
      </w:r>
      <w:r w:rsidRPr="0050158B">
        <w:rPr>
          <w:rFonts w:ascii="Arial" w:hAnsi="Arial"/>
        </w:rPr>
        <w:tab/>
        <w:t>The key objectives of the Prudential Code are to ensure that capital investment plans are affordable, prudent and sustainable.</w:t>
      </w:r>
    </w:p>
    <w:p w14:paraId="2CC968AC" w14:textId="3F1B19F1" w:rsidR="00F543B8" w:rsidRDefault="0050158B" w:rsidP="001D3578">
      <w:pPr>
        <w:pStyle w:val="BodyText"/>
        <w:spacing w:after="0"/>
        <w:ind w:left="720" w:hanging="720"/>
        <w:jc w:val="both"/>
        <w:rPr>
          <w:rFonts w:ascii="Arial" w:hAnsi="Arial"/>
        </w:rPr>
      </w:pPr>
      <w:r>
        <w:rPr>
          <w:rFonts w:ascii="Arial" w:hAnsi="Arial"/>
        </w:rPr>
        <w:t>3.</w:t>
      </w:r>
      <w:r w:rsidRPr="0050158B">
        <w:rPr>
          <w:rFonts w:ascii="Arial" w:hAnsi="Arial"/>
        </w:rPr>
        <w:t>3</w:t>
      </w:r>
      <w:r w:rsidRPr="0050158B">
        <w:rPr>
          <w:rFonts w:ascii="Arial" w:hAnsi="Arial"/>
        </w:rPr>
        <w:tab/>
        <w:t>The Prudential Code supports a system of self-regulation that is achieved by the setting and monitoring of a suite of Prudential Indicators that directly relate to each other.  The indicators establish parameters within which the PCC should operate to ensure the objectives of the Prudential Code are met</w:t>
      </w:r>
      <w:r w:rsidR="00F543B8">
        <w:rPr>
          <w:rFonts w:ascii="Arial" w:hAnsi="Arial"/>
        </w:rPr>
        <w:t>.</w:t>
      </w:r>
    </w:p>
    <w:p w14:paraId="0DBF16BC" w14:textId="77777777" w:rsidR="001D3578" w:rsidRDefault="001D3578" w:rsidP="001D3578">
      <w:pPr>
        <w:pStyle w:val="BodyText"/>
        <w:spacing w:after="0"/>
        <w:ind w:left="720" w:hanging="720"/>
        <w:jc w:val="both"/>
        <w:rPr>
          <w:rFonts w:ascii="Arial" w:hAnsi="Arial"/>
        </w:rPr>
      </w:pPr>
    </w:p>
    <w:p w14:paraId="5992B6FA" w14:textId="07144761" w:rsidR="00FA79D8" w:rsidRDefault="0050158B" w:rsidP="001D3578">
      <w:pPr>
        <w:pStyle w:val="BodyText"/>
        <w:spacing w:after="0"/>
        <w:ind w:left="720" w:hanging="720"/>
        <w:jc w:val="both"/>
        <w:rPr>
          <w:rFonts w:ascii="Arial" w:hAnsi="Arial"/>
        </w:rPr>
      </w:pPr>
      <w:r>
        <w:rPr>
          <w:rFonts w:ascii="Arial" w:hAnsi="Arial"/>
        </w:rPr>
        <w:t>3.4</w:t>
      </w:r>
      <w:r>
        <w:rPr>
          <w:rFonts w:ascii="Arial" w:hAnsi="Arial"/>
        </w:rPr>
        <w:tab/>
      </w:r>
      <w:r w:rsidR="00FA79D8">
        <w:rPr>
          <w:rFonts w:ascii="Arial" w:hAnsi="Arial"/>
        </w:rPr>
        <w:t>The Prudential Code introduced requirements for the manner in which capital spending plans are to be considered and approved.  It requires the C</w:t>
      </w:r>
      <w:r w:rsidR="00220C62">
        <w:rPr>
          <w:rFonts w:ascii="Arial" w:hAnsi="Arial"/>
        </w:rPr>
        <w:t>ommissioner</w:t>
      </w:r>
      <w:r w:rsidR="00FA79D8">
        <w:rPr>
          <w:rFonts w:ascii="Arial" w:hAnsi="Arial"/>
        </w:rPr>
        <w:t xml:space="preserve"> to set a number of prudential indicators</w:t>
      </w:r>
      <w:r>
        <w:rPr>
          <w:rFonts w:ascii="Arial" w:hAnsi="Arial"/>
        </w:rPr>
        <w:t xml:space="preserve"> over a period of three years. </w:t>
      </w:r>
      <w:r w:rsidR="00FA79D8" w:rsidRPr="00703A81">
        <w:rPr>
          <w:rFonts w:ascii="Arial" w:hAnsi="Arial"/>
          <w:bCs/>
        </w:rPr>
        <w:t>The following prudential indicators are relevant for the purposes of setting an integrated treasury management strategy:</w:t>
      </w:r>
    </w:p>
    <w:p w14:paraId="6C826AB0" w14:textId="77777777" w:rsidR="00FA79D8" w:rsidRDefault="00FA79D8" w:rsidP="001D3578">
      <w:pPr>
        <w:pStyle w:val="BodyTextIndent"/>
        <w:ind w:left="1440" w:hanging="720"/>
        <w:jc w:val="both"/>
        <w:rPr>
          <w:rFonts w:ascii="Arial" w:hAnsi="Arial"/>
        </w:rPr>
      </w:pPr>
    </w:p>
    <w:p w14:paraId="6243C1EB" w14:textId="77777777" w:rsidR="00FA79D8" w:rsidRPr="00D201B4" w:rsidRDefault="00FA79D8" w:rsidP="001D3578">
      <w:pPr>
        <w:pStyle w:val="BodyTextIndent"/>
        <w:spacing w:after="0"/>
        <w:ind w:left="1440" w:hanging="720"/>
        <w:jc w:val="both"/>
        <w:rPr>
          <w:rFonts w:ascii="Arial" w:hAnsi="Arial"/>
          <w:b/>
        </w:rPr>
      </w:pPr>
      <w:r w:rsidRPr="00D201B4">
        <w:rPr>
          <w:rFonts w:ascii="Arial" w:hAnsi="Arial"/>
          <w:b/>
        </w:rPr>
        <w:t>External debt</w:t>
      </w:r>
    </w:p>
    <w:p w14:paraId="5C73486F" w14:textId="77777777" w:rsidR="002F6E73" w:rsidRDefault="00FA79D8" w:rsidP="001D3578">
      <w:pPr>
        <w:pStyle w:val="BodyTextIndent"/>
        <w:spacing w:after="0"/>
        <w:ind w:left="720"/>
        <w:jc w:val="both"/>
        <w:rPr>
          <w:rFonts w:ascii="Arial" w:hAnsi="Arial"/>
          <w:bCs/>
        </w:rPr>
      </w:pPr>
      <w:r w:rsidRPr="00703A81">
        <w:rPr>
          <w:rFonts w:ascii="Arial" w:hAnsi="Arial"/>
          <w:bCs/>
        </w:rPr>
        <w:t>These indicators are intended to ensure that levels of external borrowing are affor</w:t>
      </w:r>
      <w:r w:rsidR="00220C62">
        <w:rPr>
          <w:rFonts w:ascii="Arial" w:hAnsi="Arial"/>
          <w:bCs/>
        </w:rPr>
        <w:t xml:space="preserve">dable, prudent and sustainable. </w:t>
      </w:r>
      <w:r w:rsidRPr="00703A81">
        <w:rPr>
          <w:rFonts w:ascii="Arial" w:hAnsi="Arial"/>
          <w:bCs/>
        </w:rPr>
        <w:t xml:space="preserve">The authorised limit for external debt is a statutory limit (section 3 of the Local Government Act 2003) that should not be breached under any circumstances.  </w:t>
      </w:r>
      <w:r w:rsidR="00B37B8F">
        <w:rPr>
          <w:rFonts w:ascii="Arial" w:hAnsi="Arial"/>
          <w:bCs/>
        </w:rPr>
        <w:t>The proposed limits set out below</w:t>
      </w:r>
      <w:r w:rsidRPr="00703A81">
        <w:rPr>
          <w:rFonts w:ascii="Arial" w:hAnsi="Arial"/>
          <w:bCs/>
        </w:rPr>
        <w:t xml:space="preserve"> ha</w:t>
      </w:r>
      <w:r w:rsidR="00B37B8F">
        <w:rPr>
          <w:rFonts w:ascii="Arial" w:hAnsi="Arial"/>
          <w:bCs/>
        </w:rPr>
        <w:t>ve</w:t>
      </w:r>
      <w:r w:rsidRPr="00703A81">
        <w:rPr>
          <w:rFonts w:ascii="Arial" w:hAnsi="Arial"/>
          <w:bCs/>
        </w:rPr>
        <w:t xml:space="preserve"> been calculated to take account of the </w:t>
      </w:r>
      <w:r w:rsidR="00B37B8F">
        <w:rPr>
          <w:rFonts w:ascii="Arial" w:hAnsi="Arial"/>
          <w:bCs/>
        </w:rPr>
        <w:t xml:space="preserve">current </w:t>
      </w:r>
      <w:r w:rsidRPr="00703A81">
        <w:rPr>
          <w:rFonts w:ascii="Arial" w:hAnsi="Arial"/>
          <w:bCs/>
        </w:rPr>
        <w:t>C</w:t>
      </w:r>
      <w:r w:rsidR="00220C62">
        <w:rPr>
          <w:rFonts w:ascii="Arial" w:hAnsi="Arial"/>
          <w:bCs/>
        </w:rPr>
        <w:t>ommissioner</w:t>
      </w:r>
      <w:r w:rsidRPr="00703A81">
        <w:rPr>
          <w:rFonts w:ascii="Arial" w:hAnsi="Arial"/>
          <w:bCs/>
        </w:rPr>
        <w:t>’s capital expenditure and financing plans and allowing for the possibility of unusual cash movements.</w:t>
      </w:r>
      <w:r w:rsidR="00220C62">
        <w:rPr>
          <w:rFonts w:ascii="Arial" w:hAnsi="Arial"/>
          <w:bCs/>
        </w:rPr>
        <w:t xml:space="preserve"> </w:t>
      </w:r>
      <w:r w:rsidR="002F6E73">
        <w:rPr>
          <w:rFonts w:ascii="Arial" w:hAnsi="Arial"/>
          <w:bCs/>
        </w:rPr>
        <w:t>If this limit is likely to be breached, it would be necessary for the Commissioner to determine if it is prudent to raise the limit or to instigate procedures to ensure that such a breach does not occur.</w:t>
      </w:r>
    </w:p>
    <w:p w14:paraId="4DAEB206" w14:textId="77777777" w:rsidR="002F6E73" w:rsidRDefault="002F6E73" w:rsidP="001D3578">
      <w:pPr>
        <w:pStyle w:val="BodyTextIndent"/>
        <w:spacing w:after="0"/>
        <w:ind w:left="720"/>
        <w:jc w:val="both"/>
        <w:rPr>
          <w:rFonts w:ascii="Arial" w:hAnsi="Arial"/>
          <w:bCs/>
        </w:rPr>
      </w:pPr>
    </w:p>
    <w:p w14:paraId="3134C954" w14:textId="3A9A8492" w:rsidR="00BD5CA1" w:rsidRPr="00D00204" w:rsidRDefault="00FA79D8" w:rsidP="00D00204">
      <w:pPr>
        <w:pStyle w:val="BodyTextIndent"/>
        <w:spacing w:after="0"/>
        <w:ind w:left="720"/>
        <w:jc w:val="both"/>
        <w:rPr>
          <w:rFonts w:ascii="Arial" w:hAnsi="Arial"/>
          <w:bCs/>
        </w:rPr>
      </w:pPr>
      <w:r w:rsidRPr="00703A81">
        <w:rPr>
          <w:rFonts w:ascii="Arial" w:hAnsi="Arial"/>
          <w:bCs/>
        </w:rPr>
        <w:t xml:space="preserve">The operational boundary for external debt </w:t>
      </w:r>
      <w:r w:rsidR="002F6E73">
        <w:rPr>
          <w:rFonts w:ascii="Arial" w:hAnsi="Arial"/>
          <w:bCs/>
        </w:rPr>
        <w:t xml:space="preserve">is a management tool for day to day monitoring and </w:t>
      </w:r>
      <w:r w:rsidRPr="00703A81">
        <w:rPr>
          <w:rFonts w:ascii="Arial" w:hAnsi="Arial"/>
          <w:bCs/>
        </w:rPr>
        <w:t>has been calculated with regard to the C</w:t>
      </w:r>
      <w:r w:rsidR="00220C62">
        <w:rPr>
          <w:rFonts w:ascii="Arial" w:hAnsi="Arial"/>
          <w:bCs/>
        </w:rPr>
        <w:t>ommissioner</w:t>
      </w:r>
      <w:r w:rsidRPr="00703A81">
        <w:rPr>
          <w:rFonts w:ascii="Arial" w:hAnsi="Arial"/>
          <w:bCs/>
        </w:rPr>
        <w:t xml:space="preserve">’s capital expenditure and financing plans allowing for the most likely, prudent, but not </w:t>
      </w:r>
      <w:r w:rsidR="00355A49" w:rsidRPr="00703A81">
        <w:rPr>
          <w:rFonts w:ascii="Arial" w:hAnsi="Arial"/>
          <w:bCs/>
        </w:rPr>
        <w:t>worst-case</w:t>
      </w:r>
      <w:r w:rsidRPr="00703A81">
        <w:rPr>
          <w:rFonts w:ascii="Arial" w:hAnsi="Arial"/>
          <w:bCs/>
        </w:rPr>
        <w:t xml:space="preserve"> scenario for cash flow. Temporary breaches of the operational boundary, due to variations in cash flow, will not be regarded as significant.</w:t>
      </w:r>
    </w:p>
    <w:p w14:paraId="3E6A61D4" w14:textId="77777777" w:rsidR="00F543B8" w:rsidRPr="00703A81" w:rsidRDefault="00F543B8" w:rsidP="00FA79D8">
      <w:pPr>
        <w:pStyle w:val="BodyTextIndent"/>
        <w:spacing w:after="0"/>
        <w:ind w:left="720"/>
        <w:rPr>
          <w:b/>
          <w:bCs/>
        </w:rPr>
      </w:pPr>
    </w:p>
    <w:tbl>
      <w:tblPr>
        <w:tblStyle w:val="GridTable5Dark-Accent1"/>
        <w:tblW w:w="8085" w:type="dxa"/>
        <w:tblInd w:w="704" w:type="dxa"/>
        <w:tblLayout w:type="fixed"/>
        <w:tblLook w:val="0000" w:firstRow="0" w:lastRow="0" w:firstColumn="0" w:lastColumn="0" w:noHBand="0" w:noVBand="0"/>
      </w:tblPr>
      <w:tblGrid>
        <w:gridCol w:w="4733"/>
        <w:gridCol w:w="1065"/>
        <w:gridCol w:w="1131"/>
        <w:gridCol w:w="1131"/>
        <w:gridCol w:w="25"/>
      </w:tblGrid>
      <w:tr w:rsidR="00B67174" w14:paraId="2B4091A0" w14:textId="77777777" w:rsidTr="008F0C00">
        <w:trPr>
          <w:gridAfter w:val="1"/>
          <w:cnfStyle w:val="000000100000" w:firstRow="0" w:lastRow="0" w:firstColumn="0" w:lastColumn="0" w:oddVBand="0" w:evenVBand="0" w:oddHBand="1" w:evenHBand="0" w:firstRowFirstColumn="0" w:firstRowLastColumn="0" w:lastRowFirstColumn="0" w:lastRowLastColumn="0"/>
          <w:wAfter w:w="25" w:type="dxa"/>
          <w:trHeight w:val="330"/>
        </w:trPr>
        <w:tc>
          <w:tcPr>
            <w:cnfStyle w:val="000010000000" w:firstRow="0" w:lastRow="0" w:firstColumn="0" w:lastColumn="0" w:oddVBand="1" w:evenVBand="0" w:oddHBand="0" w:evenHBand="0" w:firstRowFirstColumn="0" w:firstRowLastColumn="0" w:lastRowFirstColumn="0" w:lastRowLastColumn="0"/>
            <w:tcW w:w="4733" w:type="dxa"/>
          </w:tcPr>
          <w:p w14:paraId="739B35EE" w14:textId="77777777" w:rsidR="002D2707" w:rsidRDefault="002D2707" w:rsidP="002D2707">
            <w:pPr>
              <w:rPr>
                <w:rFonts w:eastAsia="Arial Unicode MS"/>
                <w:bCs/>
              </w:rPr>
            </w:pPr>
          </w:p>
        </w:tc>
        <w:tc>
          <w:tcPr>
            <w:tcW w:w="1065" w:type="dxa"/>
          </w:tcPr>
          <w:p w14:paraId="2470DE41" w14:textId="79C7F3CF" w:rsidR="002D2707" w:rsidRDefault="002D2707" w:rsidP="002D2707">
            <w:pPr>
              <w:jc w:val="center"/>
              <w:cnfStyle w:val="000000100000" w:firstRow="0" w:lastRow="0" w:firstColumn="0" w:lastColumn="0" w:oddVBand="0" w:evenVBand="0" w:oddHBand="1" w:evenHBand="0" w:firstRowFirstColumn="0" w:firstRowLastColumn="0" w:lastRowFirstColumn="0" w:lastRowLastColumn="0"/>
              <w:rPr>
                <w:rFonts w:eastAsia="Arial Unicode MS"/>
                <w:b/>
              </w:rPr>
            </w:pPr>
            <w:r>
              <w:rPr>
                <w:b/>
              </w:rPr>
              <w:t>202</w:t>
            </w:r>
            <w:r w:rsidR="00AC7800">
              <w:rPr>
                <w:b/>
              </w:rPr>
              <w:t>3</w:t>
            </w:r>
            <w:r w:rsidR="00FB0038">
              <w:rPr>
                <w:b/>
              </w:rPr>
              <w:t>/2</w:t>
            </w:r>
            <w:r w:rsidR="00AC7800">
              <w:rPr>
                <w:b/>
              </w:rPr>
              <w:t>4</w:t>
            </w:r>
          </w:p>
        </w:tc>
        <w:tc>
          <w:tcPr>
            <w:cnfStyle w:val="000010000000" w:firstRow="0" w:lastRow="0" w:firstColumn="0" w:lastColumn="0" w:oddVBand="1" w:evenVBand="0" w:oddHBand="0" w:evenHBand="0" w:firstRowFirstColumn="0" w:firstRowLastColumn="0" w:lastRowFirstColumn="0" w:lastRowLastColumn="0"/>
            <w:tcW w:w="1131" w:type="dxa"/>
          </w:tcPr>
          <w:p w14:paraId="190B2195" w14:textId="1E4D89B3" w:rsidR="002D2707" w:rsidRDefault="002D2707" w:rsidP="002D2707">
            <w:pPr>
              <w:jc w:val="center"/>
              <w:rPr>
                <w:rFonts w:eastAsia="Arial Unicode MS"/>
                <w:b/>
              </w:rPr>
            </w:pPr>
            <w:r>
              <w:rPr>
                <w:b/>
              </w:rPr>
              <w:t>202</w:t>
            </w:r>
            <w:r w:rsidR="00AC7800">
              <w:rPr>
                <w:b/>
              </w:rPr>
              <w:t>4</w:t>
            </w:r>
            <w:r w:rsidR="00FB0038">
              <w:rPr>
                <w:b/>
              </w:rPr>
              <w:t>/2</w:t>
            </w:r>
            <w:r w:rsidR="00AC7800">
              <w:rPr>
                <w:b/>
              </w:rPr>
              <w:t>5</w:t>
            </w:r>
          </w:p>
        </w:tc>
        <w:tc>
          <w:tcPr>
            <w:tcW w:w="1131" w:type="dxa"/>
          </w:tcPr>
          <w:p w14:paraId="5B140CEC" w14:textId="24DD43A1" w:rsidR="002D2707" w:rsidRDefault="002D2707" w:rsidP="002D2707">
            <w:pPr>
              <w:jc w:val="center"/>
              <w:cnfStyle w:val="000000100000" w:firstRow="0" w:lastRow="0" w:firstColumn="0" w:lastColumn="0" w:oddVBand="0" w:evenVBand="0" w:oddHBand="1" w:evenHBand="0" w:firstRowFirstColumn="0" w:firstRowLastColumn="0" w:lastRowFirstColumn="0" w:lastRowLastColumn="0"/>
              <w:rPr>
                <w:rFonts w:eastAsia="Arial Unicode MS"/>
                <w:b/>
              </w:rPr>
            </w:pPr>
            <w:r>
              <w:rPr>
                <w:b/>
              </w:rPr>
              <w:t>202</w:t>
            </w:r>
            <w:r w:rsidR="00AC7800">
              <w:rPr>
                <w:b/>
              </w:rPr>
              <w:t>5</w:t>
            </w:r>
            <w:r w:rsidR="00FB0038">
              <w:rPr>
                <w:b/>
              </w:rPr>
              <w:t>/2</w:t>
            </w:r>
            <w:r w:rsidR="00AC7800">
              <w:rPr>
                <w:b/>
              </w:rPr>
              <w:t>6</w:t>
            </w:r>
          </w:p>
        </w:tc>
      </w:tr>
      <w:tr w:rsidR="00B67174" w14:paraId="1B0BBC88" w14:textId="77777777" w:rsidTr="008F0C00">
        <w:trPr>
          <w:gridAfter w:val="1"/>
          <w:wAfter w:w="25" w:type="dxa"/>
          <w:trHeight w:val="330"/>
        </w:trPr>
        <w:tc>
          <w:tcPr>
            <w:cnfStyle w:val="000010000000" w:firstRow="0" w:lastRow="0" w:firstColumn="0" w:lastColumn="0" w:oddVBand="1" w:evenVBand="0" w:oddHBand="0" w:evenHBand="0" w:firstRowFirstColumn="0" w:firstRowLastColumn="0" w:lastRowFirstColumn="0" w:lastRowLastColumn="0"/>
            <w:tcW w:w="4733" w:type="dxa"/>
          </w:tcPr>
          <w:p w14:paraId="671F836F" w14:textId="77777777" w:rsidR="00FA79D8" w:rsidRDefault="00FA79D8" w:rsidP="002D5C10">
            <w:pPr>
              <w:rPr>
                <w:rFonts w:eastAsia="Arial Unicode MS"/>
                <w:bCs/>
              </w:rPr>
            </w:pPr>
          </w:p>
        </w:tc>
        <w:tc>
          <w:tcPr>
            <w:tcW w:w="1065" w:type="dxa"/>
            <w:shd w:val="clear" w:color="auto" w:fill="B4C6E7" w:themeFill="accent1" w:themeFillTint="66"/>
          </w:tcPr>
          <w:p w14:paraId="3F023123" w14:textId="77777777" w:rsidR="00FA79D8" w:rsidRDefault="00FA79D8" w:rsidP="002D5C10">
            <w:pPr>
              <w:jc w:val="center"/>
              <w:cnfStyle w:val="000000000000" w:firstRow="0" w:lastRow="0" w:firstColumn="0" w:lastColumn="0" w:oddVBand="0" w:evenVBand="0" w:oddHBand="0" w:evenHBand="0" w:firstRowFirstColumn="0" w:firstRowLastColumn="0" w:lastRowFirstColumn="0" w:lastRowLastColumn="0"/>
              <w:rPr>
                <w:b/>
              </w:rPr>
            </w:pPr>
            <w:r>
              <w:rPr>
                <w:b/>
              </w:rPr>
              <w:t>£m</w:t>
            </w:r>
          </w:p>
        </w:tc>
        <w:tc>
          <w:tcPr>
            <w:cnfStyle w:val="000010000000" w:firstRow="0" w:lastRow="0" w:firstColumn="0" w:lastColumn="0" w:oddVBand="1" w:evenVBand="0" w:oddHBand="0" w:evenHBand="0" w:firstRowFirstColumn="0" w:firstRowLastColumn="0" w:lastRowFirstColumn="0" w:lastRowLastColumn="0"/>
            <w:tcW w:w="1131" w:type="dxa"/>
          </w:tcPr>
          <w:p w14:paraId="5223D033" w14:textId="77777777" w:rsidR="00FA79D8" w:rsidRDefault="00FA79D8" w:rsidP="002D5C10">
            <w:pPr>
              <w:jc w:val="center"/>
              <w:rPr>
                <w:b/>
              </w:rPr>
            </w:pPr>
            <w:r>
              <w:rPr>
                <w:b/>
              </w:rPr>
              <w:t>£m</w:t>
            </w:r>
          </w:p>
        </w:tc>
        <w:tc>
          <w:tcPr>
            <w:tcW w:w="1131" w:type="dxa"/>
            <w:shd w:val="clear" w:color="auto" w:fill="B4C6E7" w:themeFill="accent1" w:themeFillTint="66"/>
          </w:tcPr>
          <w:p w14:paraId="42F70F1E" w14:textId="77777777" w:rsidR="00FA79D8" w:rsidRDefault="00FA79D8" w:rsidP="002D5C10">
            <w:pPr>
              <w:jc w:val="center"/>
              <w:cnfStyle w:val="000000000000" w:firstRow="0" w:lastRow="0" w:firstColumn="0" w:lastColumn="0" w:oddVBand="0" w:evenVBand="0" w:oddHBand="0" w:evenHBand="0" w:firstRowFirstColumn="0" w:firstRowLastColumn="0" w:lastRowFirstColumn="0" w:lastRowLastColumn="0"/>
              <w:rPr>
                <w:b/>
              </w:rPr>
            </w:pPr>
            <w:r>
              <w:rPr>
                <w:b/>
              </w:rPr>
              <w:t>£m</w:t>
            </w:r>
          </w:p>
        </w:tc>
      </w:tr>
      <w:tr w:rsidR="00B67174" w14:paraId="1F4550F9" w14:textId="77777777" w:rsidTr="008F0C00">
        <w:trPr>
          <w:gridAfter w:val="1"/>
          <w:cnfStyle w:val="000000100000" w:firstRow="0" w:lastRow="0" w:firstColumn="0" w:lastColumn="0" w:oddVBand="0" w:evenVBand="0" w:oddHBand="1" w:evenHBand="0" w:firstRowFirstColumn="0" w:firstRowLastColumn="0" w:lastRowFirstColumn="0" w:lastRowLastColumn="0"/>
          <w:wAfter w:w="25" w:type="dxa"/>
          <w:trHeight w:val="330"/>
        </w:trPr>
        <w:tc>
          <w:tcPr>
            <w:cnfStyle w:val="000010000000" w:firstRow="0" w:lastRow="0" w:firstColumn="0" w:lastColumn="0" w:oddVBand="1" w:evenVBand="0" w:oddHBand="0" w:evenHBand="0" w:firstRowFirstColumn="0" w:firstRowLastColumn="0" w:lastRowFirstColumn="0" w:lastRowLastColumn="0"/>
            <w:tcW w:w="4733" w:type="dxa"/>
          </w:tcPr>
          <w:p w14:paraId="2C4C5D96" w14:textId="77777777" w:rsidR="00FA79D8" w:rsidRDefault="00FA79D8" w:rsidP="002D5C10">
            <w:pPr>
              <w:rPr>
                <w:rFonts w:eastAsia="Arial Unicode MS"/>
                <w:bCs/>
              </w:rPr>
            </w:pPr>
            <w:r>
              <w:rPr>
                <w:bCs/>
              </w:rPr>
              <w:t xml:space="preserve">Authorised limit for external debt - </w:t>
            </w:r>
          </w:p>
        </w:tc>
        <w:tc>
          <w:tcPr>
            <w:tcW w:w="1065" w:type="dxa"/>
          </w:tcPr>
          <w:p w14:paraId="08AF1578" w14:textId="77777777" w:rsidR="00FA79D8" w:rsidRDefault="00FA79D8" w:rsidP="002D5C10">
            <w:pPr>
              <w:jc w:val="center"/>
              <w:cnfStyle w:val="000000100000" w:firstRow="0" w:lastRow="0" w:firstColumn="0" w:lastColumn="0" w:oddVBand="0" w:evenVBand="0" w:oddHBand="1" w:evenHBand="0" w:firstRowFirstColumn="0" w:firstRowLastColumn="0" w:lastRowFirstColumn="0" w:lastRowLastColumn="0"/>
              <w:rPr>
                <w:rFonts w:eastAsia="Arial Unicode MS"/>
                <w:bCs/>
              </w:rPr>
            </w:pPr>
          </w:p>
        </w:tc>
        <w:tc>
          <w:tcPr>
            <w:cnfStyle w:val="000010000000" w:firstRow="0" w:lastRow="0" w:firstColumn="0" w:lastColumn="0" w:oddVBand="1" w:evenVBand="0" w:oddHBand="0" w:evenHBand="0" w:firstRowFirstColumn="0" w:firstRowLastColumn="0" w:lastRowFirstColumn="0" w:lastRowLastColumn="0"/>
            <w:tcW w:w="1131" w:type="dxa"/>
          </w:tcPr>
          <w:p w14:paraId="3FD74521" w14:textId="77777777" w:rsidR="00FA79D8" w:rsidRDefault="00FA79D8" w:rsidP="002D5C10">
            <w:pPr>
              <w:jc w:val="center"/>
              <w:rPr>
                <w:rFonts w:eastAsia="Arial Unicode MS"/>
                <w:bCs/>
              </w:rPr>
            </w:pPr>
          </w:p>
        </w:tc>
        <w:tc>
          <w:tcPr>
            <w:tcW w:w="1131" w:type="dxa"/>
          </w:tcPr>
          <w:p w14:paraId="4083E718" w14:textId="77777777" w:rsidR="00FA79D8" w:rsidRDefault="00FA79D8" w:rsidP="002D5C10">
            <w:pPr>
              <w:jc w:val="center"/>
              <w:cnfStyle w:val="000000100000" w:firstRow="0" w:lastRow="0" w:firstColumn="0" w:lastColumn="0" w:oddVBand="0" w:evenVBand="0" w:oddHBand="1" w:evenHBand="0" w:firstRowFirstColumn="0" w:firstRowLastColumn="0" w:lastRowFirstColumn="0" w:lastRowLastColumn="0"/>
              <w:rPr>
                <w:rFonts w:eastAsia="Arial Unicode MS"/>
                <w:bCs/>
              </w:rPr>
            </w:pPr>
            <w:r>
              <w:rPr>
                <w:bCs/>
              </w:rPr>
              <w:t> </w:t>
            </w:r>
          </w:p>
        </w:tc>
      </w:tr>
      <w:tr w:rsidR="00B67174" w14:paraId="245EAE1C" w14:textId="77777777" w:rsidTr="008F0C00">
        <w:trPr>
          <w:gridAfter w:val="1"/>
          <w:wAfter w:w="25" w:type="dxa"/>
          <w:trHeight w:val="330"/>
        </w:trPr>
        <w:tc>
          <w:tcPr>
            <w:cnfStyle w:val="000010000000" w:firstRow="0" w:lastRow="0" w:firstColumn="0" w:lastColumn="0" w:oddVBand="1" w:evenVBand="0" w:oddHBand="0" w:evenHBand="0" w:firstRowFirstColumn="0" w:firstRowLastColumn="0" w:lastRowFirstColumn="0" w:lastRowLastColumn="0"/>
            <w:tcW w:w="4733" w:type="dxa"/>
          </w:tcPr>
          <w:p w14:paraId="41401E59" w14:textId="77777777" w:rsidR="00FA79D8" w:rsidRDefault="00FA79D8" w:rsidP="002D5C10">
            <w:pPr>
              <w:rPr>
                <w:rFonts w:eastAsia="Arial Unicode MS"/>
                <w:bCs/>
              </w:rPr>
            </w:pPr>
            <w:r>
              <w:rPr>
                <w:bCs/>
              </w:rPr>
              <w:t xml:space="preserve">    Borrowing</w:t>
            </w:r>
          </w:p>
        </w:tc>
        <w:tc>
          <w:tcPr>
            <w:tcW w:w="1065" w:type="dxa"/>
            <w:shd w:val="clear" w:color="auto" w:fill="B4C6E7" w:themeFill="accent1" w:themeFillTint="66"/>
          </w:tcPr>
          <w:p w14:paraId="53D91785" w14:textId="1D5940C2" w:rsidR="00FA79D8" w:rsidRPr="001E477B" w:rsidRDefault="002D2707" w:rsidP="002D5C10">
            <w:pPr>
              <w:jc w:val="center"/>
              <w:cnfStyle w:val="000000000000" w:firstRow="0" w:lastRow="0" w:firstColumn="0" w:lastColumn="0" w:oddVBand="0" w:evenVBand="0" w:oddHBand="0" w:evenHBand="0" w:firstRowFirstColumn="0" w:firstRowLastColumn="0" w:lastRowFirstColumn="0" w:lastRowLastColumn="0"/>
              <w:rPr>
                <w:rFonts w:eastAsia="Arial Unicode MS"/>
                <w:bCs/>
              </w:rPr>
            </w:pPr>
            <w:r>
              <w:rPr>
                <w:rFonts w:eastAsia="Arial Unicode MS"/>
                <w:bCs/>
              </w:rPr>
              <w:t>1</w:t>
            </w:r>
            <w:r w:rsidR="000269FA">
              <w:rPr>
                <w:rFonts w:eastAsia="Arial Unicode MS"/>
                <w:bCs/>
              </w:rPr>
              <w:t>40</w:t>
            </w:r>
            <w:r w:rsidR="00FA79D8" w:rsidRPr="001E477B">
              <w:rPr>
                <w:rFonts w:eastAsia="Arial Unicode MS"/>
                <w:bCs/>
              </w:rPr>
              <w:t>.0</w:t>
            </w:r>
          </w:p>
        </w:tc>
        <w:tc>
          <w:tcPr>
            <w:cnfStyle w:val="000010000000" w:firstRow="0" w:lastRow="0" w:firstColumn="0" w:lastColumn="0" w:oddVBand="1" w:evenVBand="0" w:oddHBand="0" w:evenHBand="0" w:firstRowFirstColumn="0" w:firstRowLastColumn="0" w:lastRowFirstColumn="0" w:lastRowLastColumn="0"/>
            <w:tcW w:w="1131" w:type="dxa"/>
          </w:tcPr>
          <w:p w14:paraId="4A682554" w14:textId="10B96845" w:rsidR="00FA79D8" w:rsidRPr="0020545F" w:rsidRDefault="002D2707" w:rsidP="002D5C10">
            <w:pPr>
              <w:jc w:val="center"/>
              <w:rPr>
                <w:rFonts w:eastAsia="Arial Unicode MS"/>
                <w:bCs/>
                <w:highlight w:val="yellow"/>
              </w:rPr>
            </w:pPr>
            <w:r w:rsidRPr="0020545F">
              <w:rPr>
                <w:rFonts w:eastAsia="Arial Unicode MS"/>
                <w:bCs/>
              </w:rPr>
              <w:t>1</w:t>
            </w:r>
            <w:r w:rsidR="000269FA">
              <w:rPr>
                <w:rFonts w:eastAsia="Arial Unicode MS"/>
                <w:bCs/>
              </w:rPr>
              <w:t>70</w:t>
            </w:r>
            <w:r w:rsidR="00F543B8" w:rsidRPr="0020545F">
              <w:rPr>
                <w:rFonts w:eastAsia="Arial Unicode MS"/>
                <w:bCs/>
              </w:rPr>
              <w:t>.0</w:t>
            </w:r>
          </w:p>
        </w:tc>
        <w:tc>
          <w:tcPr>
            <w:tcW w:w="1131" w:type="dxa"/>
            <w:shd w:val="clear" w:color="auto" w:fill="B4C6E7" w:themeFill="accent1" w:themeFillTint="66"/>
          </w:tcPr>
          <w:p w14:paraId="186CE375" w14:textId="1EAB84E9" w:rsidR="00FA79D8" w:rsidRPr="001E477B" w:rsidRDefault="00FA79D8" w:rsidP="0050158B">
            <w:pPr>
              <w:jc w:val="center"/>
              <w:cnfStyle w:val="000000000000" w:firstRow="0" w:lastRow="0" w:firstColumn="0" w:lastColumn="0" w:oddVBand="0" w:evenVBand="0" w:oddHBand="0" w:evenHBand="0" w:firstRowFirstColumn="0" w:firstRowLastColumn="0" w:lastRowFirstColumn="0" w:lastRowLastColumn="0"/>
              <w:rPr>
                <w:rFonts w:eastAsia="Arial Unicode MS"/>
                <w:bCs/>
              </w:rPr>
            </w:pPr>
            <w:r w:rsidRPr="001E477B">
              <w:rPr>
                <w:rFonts w:eastAsia="Arial Unicode MS"/>
                <w:bCs/>
              </w:rPr>
              <w:t>1</w:t>
            </w:r>
            <w:r w:rsidR="000269FA">
              <w:rPr>
                <w:rFonts w:eastAsia="Arial Unicode MS"/>
                <w:bCs/>
              </w:rPr>
              <w:t>85</w:t>
            </w:r>
            <w:r w:rsidR="009C52C4">
              <w:rPr>
                <w:rFonts w:eastAsia="Arial Unicode MS"/>
                <w:bCs/>
              </w:rPr>
              <w:t>.0</w:t>
            </w:r>
          </w:p>
        </w:tc>
      </w:tr>
      <w:tr w:rsidR="00B67174" w14:paraId="141AFE9C" w14:textId="77777777" w:rsidTr="008F0C00">
        <w:trPr>
          <w:gridAfter w:val="1"/>
          <w:cnfStyle w:val="000000100000" w:firstRow="0" w:lastRow="0" w:firstColumn="0" w:lastColumn="0" w:oddVBand="0" w:evenVBand="0" w:oddHBand="1" w:evenHBand="0" w:firstRowFirstColumn="0" w:firstRowLastColumn="0" w:lastRowFirstColumn="0" w:lastRowLastColumn="0"/>
          <w:wAfter w:w="25" w:type="dxa"/>
          <w:trHeight w:val="330"/>
        </w:trPr>
        <w:tc>
          <w:tcPr>
            <w:cnfStyle w:val="000010000000" w:firstRow="0" w:lastRow="0" w:firstColumn="0" w:lastColumn="0" w:oddVBand="1" w:evenVBand="0" w:oddHBand="0" w:evenHBand="0" w:firstRowFirstColumn="0" w:firstRowLastColumn="0" w:lastRowFirstColumn="0" w:lastRowLastColumn="0"/>
            <w:tcW w:w="4733" w:type="dxa"/>
          </w:tcPr>
          <w:p w14:paraId="5F4A4143" w14:textId="77777777" w:rsidR="00FA79D8" w:rsidRDefault="00FA79D8" w:rsidP="002D5C10">
            <w:pPr>
              <w:rPr>
                <w:rFonts w:eastAsia="Arial Unicode MS"/>
                <w:bCs/>
              </w:rPr>
            </w:pPr>
            <w:r>
              <w:rPr>
                <w:bCs/>
              </w:rPr>
              <w:t xml:space="preserve">Operational boundary - </w:t>
            </w:r>
          </w:p>
        </w:tc>
        <w:tc>
          <w:tcPr>
            <w:tcW w:w="1065" w:type="dxa"/>
          </w:tcPr>
          <w:p w14:paraId="3EB6800E" w14:textId="77777777" w:rsidR="00FA79D8" w:rsidRPr="001E477B" w:rsidRDefault="00FA79D8" w:rsidP="002D5C10">
            <w:pPr>
              <w:jc w:val="center"/>
              <w:cnfStyle w:val="000000100000" w:firstRow="0" w:lastRow="0" w:firstColumn="0" w:lastColumn="0" w:oddVBand="0" w:evenVBand="0" w:oddHBand="1" w:evenHBand="0" w:firstRowFirstColumn="0" w:firstRowLastColumn="0" w:lastRowFirstColumn="0" w:lastRowLastColumn="0"/>
              <w:rPr>
                <w:rFonts w:eastAsia="Arial Unicode MS"/>
                <w:bCs/>
              </w:rPr>
            </w:pPr>
          </w:p>
        </w:tc>
        <w:tc>
          <w:tcPr>
            <w:cnfStyle w:val="000010000000" w:firstRow="0" w:lastRow="0" w:firstColumn="0" w:lastColumn="0" w:oddVBand="1" w:evenVBand="0" w:oddHBand="0" w:evenHBand="0" w:firstRowFirstColumn="0" w:firstRowLastColumn="0" w:lastRowFirstColumn="0" w:lastRowLastColumn="0"/>
            <w:tcW w:w="1131" w:type="dxa"/>
          </w:tcPr>
          <w:p w14:paraId="7A5B7552" w14:textId="77777777" w:rsidR="00FA79D8" w:rsidRPr="0020545F" w:rsidRDefault="00FA79D8" w:rsidP="002D5C10">
            <w:pPr>
              <w:jc w:val="center"/>
              <w:rPr>
                <w:rFonts w:eastAsia="Arial Unicode MS"/>
                <w:bCs/>
                <w:highlight w:val="yellow"/>
              </w:rPr>
            </w:pPr>
          </w:p>
        </w:tc>
        <w:tc>
          <w:tcPr>
            <w:tcW w:w="1131" w:type="dxa"/>
          </w:tcPr>
          <w:p w14:paraId="21B0BBA2" w14:textId="77777777" w:rsidR="00FA79D8" w:rsidRPr="001E477B" w:rsidRDefault="00FA79D8" w:rsidP="002D5C10">
            <w:pPr>
              <w:jc w:val="center"/>
              <w:cnfStyle w:val="000000100000" w:firstRow="0" w:lastRow="0" w:firstColumn="0" w:lastColumn="0" w:oddVBand="0" w:evenVBand="0" w:oddHBand="1" w:evenHBand="0" w:firstRowFirstColumn="0" w:firstRowLastColumn="0" w:lastRowFirstColumn="0" w:lastRowLastColumn="0"/>
              <w:rPr>
                <w:rFonts w:eastAsia="Arial Unicode MS"/>
                <w:bCs/>
                <w:color w:val="FF0000"/>
              </w:rPr>
            </w:pPr>
          </w:p>
        </w:tc>
      </w:tr>
      <w:tr w:rsidR="00B67174" w14:paraId="7A29E132" w14:textId="77777777" w:rsidTr="008F0C00">
        <w:trPr>
          <w:trHeight w:val="330"/>
        </w:trPr>
        <w:tc>
          <w:tcPr>
            <w:cnfStyle w:val="000010000000" w:firstRow="0" w:lastRow="0" w:firstColumn="0" w:lastColumn="0" w:oddVBand="1" w:evenVBand="0" w:oddHBand="0" w:evenHBand="0" w:firstRowFirstColumn="0" w:firstRowLastColumn="0" w:lastRowFirstColumn="0" w:lastRowLastColumn="0"/>
            <w:tcW w:w="4733" w:type="dxa"/>
          </w:tcPr>
          <w:p w14:paraId="6AA66875" w14:textId="77777777" w:rsidR="00FA79D8" w:rsidRDefault="00FA79D8" w:rsidP="002D5C10">
            <w:pPr>
              <w:rPr>
                <w:rFonts w:eastAsia="Arial Unicode MS"/>
                <w:bCs/>
              </w:rPr>
            </w:pPr>
            <w:r>
              <w:rPr>
                <w:bCs/>
              </w:rPr>
              <w:t xml:space="preserve">     Borrowing</w:t>
            </w:r>
          </w:p>
        </w:tc>
        <w:tc>
          <w:tcPr>
            <w:tcW w:w="1065" w:type="dxa"/>
            <w:shd w:val="clear" w:color="auto" w:fill="B4C6E7" w:themeFill="accent1" w:themeFillTint="66"/>
          </w:tcPr>
          <w:p w14:paraId="0D023CC7" w14:textId="27963C98" w:rsidR="00FA79D8" w:rsidRPr="001E477B" w:rsidRDefault="002D2707" w:rsidP="002D5C10">
            <w:pPr>
              <w:jc w:val="center"/>
              <w:cnfStyle w:val="000000000000" w:firstRow="0" w:lastRow="0" w:firstColumn="0" w:lastColumn="0" w:oddVBand="0" w:evenVBand="0" w:oddHBand="0" w:evenHBand="0" w:firstRowFirstColumn="0" w:firstRowLastColumn="0" w:lastRowFirstColumn="0" w:lastRowLastColumn="0"/>
              <w:rPr>
                <w:rFonts w:eastAsia="Arial Unicode MS"/>
                <w:bCs/>
              </w:rPr>
            </w:pPr>
            <w:r>
              <w:rPr>
                <w:rFonts w:eastAsia="Arial Unicode MS"/>
                <w:bCs/>
              </w:rPr>
              <w:t>1</w:t>
            </w:r>
            <w:r w:rsidR="000269FA">
              <w:rPr>
                <w:rFonts w:eastAsia="Arial Unicode MS"/>
                <w:bCs/>
              </w:rPr>
              <w:t>35</w:t>
            </w:r>
            <w:r w:rsidR="00FA79D8" w:rsidRPr="001E477B">
              <w:rPr>
                <w:rFonts w:eastAsia="Arial Unicode MS"/>
                <w:bCs/>
              </w:rPr>
              <w:t>.0</w:t>
            </w:r>
          </w:p>
        </w:tc>
        <w:tc>
          <w:tcPr>
            <w:cnfStyle w:val="000010000000" w:firstRow="0" w:lastRow="0" w:firstColumn="0" w:lastColumn="0" w:oddVBand="1" w:evenVBand="0" w:oddHBand="0" w:evenHBand="0" w:firstRowFirstColumn="0" w:firstRowLastColumn="0" w:lastRowFirstColumn="0" w:lastRowLastColumn="0"/>
            <w:tcW w:w="1131" w:type="dxa"/>
          </w:tcPr>
          <w:p w14:paraId="29E263D4" w14:textId="141EDFCB" w:rsidR="00FA79D8" w:rsidRPr="0020545F" w:rsidRDefault="002D2707" w:rsidP="002D5C10">
            <w:pPr>
              <w:jc w:val="center"/>
              <w:rPr>
                <w:rFonts w:eastAsia="Arial Unicode MS"/>
                <w:bCs/>
                <w:highlight w:val="yellow"/>
              </w:rPr>
            </w:pPr>
            <w:r w:rsidRPr="0020545F">
              <w:rPr>
                <w:rFonts w:eastAsia="Arial Unicode MS"/>
                <w:bCs/>
              </w:rPr>
              <w:t>1</w:t>
            </w:r>
            <w:r w:rsidR="000269FA">
              <w:rPr>
                <w:rFonts w:eastAsia="Arial Unicode MS"/>
                <w:bCs/>
              </w:rPr>
              <w:t>65</w:t>
            </w:r>
            <w:r w:rsidR="00D13363" w:rsidRPr="0020545F">
              <w:rPr>
                <w:rFonts w:eastAsia="Arial Unicode MS"/>
                <w:bCs/>
              </w:rPr>
              <w:t>.0</w:t>
            </w:r>
          </w:p>
        </w:tc>
        <w:tc>
          <w:tcPr>
            <w:tcW w:w="1156" w:type="dxa"/>
            <w:gridSpan w:val="2"/>
            <w:shd w:val="clear" w:color="auto" w:fill="B4C6E7" w:themeFill="accent1" w:themeFillTint="66"/>
          </w:tcPr>
          <w:p w14:paraId="6D1C8511" w14:textId="3EF3354B" w:rsidR="00FA79D8" w:rsidRPr="001E477B" w:rsidRDefault="002D2707" w:rsidP="002D5C10">
            <w:pPr>
              <w:jc w:val="center"/>
              <w:cnfStyle w:val="000000000000" w:firstRow="0" w:lastRow="0" w:firstColumn="0" w:lastColumn="0" w:oddVBand="0" w:evenVBand="0" w:oddHBand="0" w:evenHBand="0" w:firstRowFirstColumn="0" w:firstRowLastColumn="0" w:lastRowFirstColumn="0" w:lastRowLastColumn="0"/>
              <w:rPr>
                <w:rFonts w:eastAsia="Arial Unicode MS"/>
                <w:bCs/>
              </w:rPr>
            </w:pPr>
            <w:r>
              <w:rPr>
                <w:rFonts w:eastAsia="Arial Unicode MS"/>
                <w:bCs/>
              </w:rPr>
              <w:t>1</w:t>
            </w:r>
            <w:r w:rsidR="000269FA">
              <w:rPr>
                <w:rFonts w:eastAsia="Arial Unicode MS"/>
                <w:bCs/>
              </w:rPr>
              <w:t>8</w:t>
            </w:r>
            <w:r w:rsidR="009C52C4">
              <w:rPr>
                <w:rFonts w:eastAsia="Arial Unicode MS"/>
                <w:bCs/>
              </w:rPr>
              <w:t>0</w:t>
            </w:r>
            <w:r w:rsidR="00FA79D8" w:rsidRPr="001E477B">
              <w:rPr>
                <w:rFonts w:eastAsia="Arial Unicode MS"/>
                <w:bCs/>
              </w:rPr>
              <w:t>.0</w:t>
            </w:r>
          </w:p>
        </w:tc>
      </w:tr>
    </w:tbl>
    <w:p w14:paraId="33B13D77" w14:textId="77777777" w:rsidR="00FA79D8" w:rsidRDefault="00FA79D8" w:rsidP="00FA79D8">
      <w:pPr>
        <w:pStyle w:val="BodyTextIndent"/>
        <w:spacing w:after="0"/>
        <w:ind w:left="1440" w:hanging="720"/>
        <w:rPr>
          <w:rFonts w:ascii="Arial" w:hAnsi="Arial"/>
          <w:b/>
          <w:bCs/>
        </w:rPr>
      </w:pPr>
    </w:p>
    <w:p w14:paraId="75A9047C" w14:textId="3A958549" w:rsidR="00FA79D8" w:rsidRDefault="00FA79D8" w:rsidP="001D3578">
      <w:pPr>
        <w:pStyle w:val="BodyTextIndent"/>
        <w:spacing w:after="0"/>
        <w:ind w:left="643"/>
        <w:jc w:val="both"/>
        <w:rPr>
          <w:rFonts w:ascii="Arial" w:hAnsi="Arial"/>
          <w:bCs/>
        </w:rPr>
      </w:pPr>
      <w:r w:rsidRPr="00D201B4">
        <w:rPr>
          <w:rFonts w:ascii="Arial" w:hAnsi="Arial"/>
          <w:bCs/>
        </w:rPr>
        <w:t>The C</w:t>
      </w:r>
      <w:r w:rsidR="00220C62">
        <w:rPr>
          <w:rFonts w:ascii="Arial" w:hAnsi="Arial"/>
          <w:bCs/>
        </w:rPr>
        <w:t>ommissioner</w:t>
      </w:r>
      <w:r w:rsidRPr="00D201B4">
        <w:rPr>
          <w:rFonts w:ascii="Arial" w:hAnsi="Arial"/>
          <w:bCs/>
        </w:rPr>
        <w:t xml:space="preserve">’s actual external debt as at </w:t>
      </w:r>
      <w:r w:rsidR="002D2707">
        <w:rPr>
          <w:rFonts w:ascii="Arial" w:hAnsi="Arial"/>
          <w:bCs/>
        </w:rPr>
        <w:t>31/03/2</w:t>
      </w:r>
      <w:r w:rsidR="000269FA">
        <w:rPr>
          <w:rFonts w:ascii="Arial" w:hAnsi="Arial"/>
          <w:bCs/>
        </w:rPr>
        <w:t>3</w:t>
      </w:r>
      <w:r w:rsidRPr="00D201B4">
        <w:rPr>
          <w:rFonts w:ascii="Arial" w:hAnsi="Arial"/>
          <w:bCs/>
        </w:rPr>
        <w:t xml:space="preserve"> is </w:t>
      </w:r>
      <w:r w:rsidR="00541EF9">
        <w:rPr>
          <w:rFonts w:ascii="Arial" w:hAnsi="Arial"/>
          <w:bCs/>
        </w:rPr>
        <w:t xml:space="preserve">currently expected to be </w:t>
      </w:r>
      <w:r w:rsidRPr="0020545F">
        <w:rPr>
          <w:rFonts w:ascii="Arial" w:hAnsi="Arial"/>
          <w:bCs/>
        </w:rPr>
        <w:t>£</w:t>
      </w:r>
      <w:r w:rsidR="00A1252D" w:rsidRPr="0020545F">
        <w:rPr>
          <w:rFonts w:ascii="Arial" w:hAnsi="Arial"/>
          <w:bCs/>
        </w:rPr>
        <w:t>10</w:t>
      </w:r>
      <w:r w:rsidR="000269FA">
        <w:rPr>
          <w:rFonts w:ascii="Arial" w:hAnsi="Arial"/>
          <w:bCs/>
        </w:rPr>
        <w:t>5</w:t>
      </w:r>
      <w:r w:rsidR="00A1252D" w:rsidRPr="0020545F">
        <w:rPr>
          <w:rFonts w:ascii="Arial" w:hAnsi="Arial"/>
          <w:bCs/>
        </w:rPr>
        <w:t>.3</w:t>
      </w:r>
      <w:r w:rsidRPr="0020545F">
        <w:rPr>
          <w:rFonts w:ascii="Arial" w:hAnsi="Arial"/>
          <w:bCs/>
        </w:rPr>
        <w:t>m, excluding</w:t>
      </w:r>
      <w:r w:rsidR="00541EF9">
        <w:rPr>
          <w:rFonts w:ascii="Arial" w:hAnsi="Arial"/>
          <w:bCs/>
        </w:rPr>
        <w:t xml:space="preserve"> t</w:t>
      </w:r>
      <w:r w:rsidRPr="00D201B4">
        <w:rPr>
          <w:rFonts w:ascii="Arial" w:hAnsi="Arial"/>
          <w:bCs/>
        </w:rPr>
        <w:t>ransferred debt</w:t>
      </w:r>
      <w:r w:rsidR="005F74FF">
        <w:rPr>
          <w:rFonts w:ascii="Arial" w:hAnsi="Arial"/>
          <w:bCs/>
        </w:rPr>
        <w:t xml:space="preserve"> </w:t>
      </w:r>
      <w:r w:rsidRPr="00D201B4">
        <w:rPr>
          <w:rFonts w:ascii="Arial" w:hAnsi="Arial"/>
          <w:bCs/>
        </w:rPr>
        <w:t>managed by Dudley M.B.C.</w:t>
      </w:r>
    </w:p>
    <w:p w14:paraId="701E0400" w14:textId="77777777" w:rsidR="00FA79D8" w:rsidRDefault="00FA79D8" w:rsidP="001D3578">
      <w:pPr>
        <w:pStyle w:val="BodyTextIndent"/>
        <w:spacing w:after="0"/>
        <w:jc w:val="both"/>
        <w:rPr>
          <w:b/>
          <w:bCs/>
        </w:rPr>
      </w:pPr>
    </w:p>
    <w:p w14:paraId="4A8C770D" w14:textId="77777777" w:rsidR="00FA79D8" w:rsidRPr="00D201B4" w:rsidRDefault="00FA79D8" w:rsidP="001D3578">
      <w:pPr>
        <w:pStyle w:val="BodyTextIndent"/>
        <w:spacing w:after="0"/>
        <w:ind w:left="720" w:hanging="11"/>
        <w:jc w:val="both"/>
        <w:rPr>
          <w:b/>
          <w:bCs/>
          <w:i/>
        </w:rPr>
      </w:pPr>
      <w:r w:rsidRPr="00D201B4">
        <w:rPr>
          <w:rFonts w:ascii="Arial" w:hAnsi="Arial"/>
          <w:b/>
        </w:rPr>
        <w:t>CIPFA Code of Practice for Treasury Management in the Public Services</w:t>
      </w:r>
      <w:r w:rsidRPr="00D201B4">
        <w:rPr>
          <w:rFonts w:ascii="Arial" w:hAnsi="Arial"/>
          <w:b/>
        </w:rPr>
        <w:tab/>
      </w:r>
    </w:p>
    <w:p w14:paraId="09BFFBBA" w14:textId="77777777" w:rsidR="00FA79D8" w:rsidRPr="00D201B4" w:rsidRDefault="00FA79D8" w:rsidP="001D3578">
      <w:pPr>
        <w:pStyle w:val="BodyTextIndent"/>
        <w:spacing w:after="0"/>
        <w:ind w:left="720" w:hanging="720"/>
        <w:jc w:val="both"/>
        <w:rPr>
          <w:rFonts w:ascii="Arial" w:hAnsi="Arial"/>
          <w:bCs/>
        </w:rPr>
      </w:pPr>
      <w:r>
        <w:rPr>
          <w:b/>
          <w:bCs/>
          <w:i/>
        </w:rPr>
        <w:tab/>
      </w:r>
      <w:r w:rsidRPr="00D201B4">
        <w:rPr>
          <w:rFonts w:ascii="Arial" w:hAnsi="Arial"/>
          <w:bCs/>
        </w:rPr>
        <w:t>The C</w:t>
      </w:r>
      <w:r w:rsidR="005F74FF">
        <w:rPr>
          <w:rFonts w:ascii="Arial" w:hAnsi="Arial"/>
          <w:bCs/>
        </w:rPr>
        <w:t>ommissioner</w:t>
      </w:r>
      <w:r w:rsidRPr="00D201B4">
        <w:rPr>
          <w:rFonts w:ascii="Arial" w:hAnsi="Arial"/>
          <w:bCs/>
        </w:rPr>
        <w:t xml:space="preserve"> continues to adopt the CIPFA Code of Practice for Treasury Management in the Public Services first adopted by the Police Authority in March 2002.</w:t>
      </w:r>
    </w:p>
    <w:p w14:paraId="2528C56B" w14:textId="77777777" w:rsidR="00FA79D8" w:rsidRDefault="00FA79D8" w:rsidP="001D3578">
      <w:pPr>
        <w:pStyle w:val="BodyTextIndent"/>
        <w:ind w:left="720" w:hanging="720"/>
        <w:jc w:val="both"/>
        <w:rPr>
          <w:b/>
          <w:bCs/>
          <w:i/>
        </w:rPr>
      </w:pPr>
    </w:p>
    <w:p w14:paraId="282A7237" w14:textId="77777777" w:rsidR="00FA79D8" w:rsidRPr="00D201B4" w:rsidRDefault="00FA79D8" w:rsidP="001D3578">
      <w:pPr>
        <w:pStyle w:val="BodyTextIndent"/>
        <w:spacing w:after="0"/>
        <w:ind w:left="720"/>
        <w:jc w:val="both"/>
        <w:rPr>
          <w:b/>
          <w:bCs/>
          <w:i/>
        </w:rPr>
      </w:pPr>
      <w:r w:rsidRPr="00D201B4">
        <w:rPr>
          <w:rFonts w:ascii="Arial" w:hAnsi="Arial"/>
          <w:b/>
        </w:rPr>
        <w:t>Interest rate exposures</w:t>
      </w:r>
    </w:p>
    <w:p w14:paraId="7F6C615F" w14:textId="77777777" w:rsidR="00FA79D8" w:rsidRPr="00D201B4" w:rsidRDefault="00FA79D8" w:rsidP="001D3578">
      <w:pPr>
        <w:pStyle w:val="BodyTextIndent"/>
        <w:spacing w:after="0"/>
        <w:ind w:left="720" w:hanging="720"/>
        <w:jc w:val="both"/>
        <w:rPr>
          <w:rFonts w:ascii="Arial" w:hAnsi="Arial"/>
          <w:bCs/>
        </w:rPr>
      </w:pPr>
      <w:r>
        <w:rPr>
          <w:b/>
          <w:bCs/>
          <w:i/>
        </w:rPr>
        <w:tab/>
      </w:r>
      <w:r w:rsidRPr="00D201B4">
        <w:rPr>
          <w:rFonts w:ascii="Arial" w:hAnsi="Arial"/>
          <w:bCs/>
        </w:rPr>
        <w:t>These indicators allow the C</w:t>
      </w:r>
      <w:r w:rsidR="005F74FF">
        <w:rPr>
          <w:rFonts w:ascii="Arial" w:hAnsi="Arial"/>
          <w:bCs/>
        </w:rPr>
        <w:t>ommissioner</w:t>
      </w:r>
      <w:r w:rsidR="00043F4D">
        <w:rPr>
          <w:rFonts w:ascii="Arial" w:hAnsi="Arial"/>
          <w:bCs/>
        </w:rPr>
        <w:t xml:space="preserve"> to manage the extent to which </w:t>
      </w:r>
      <w:r w:rsidRPr="00D201B4">
        <w:rPr>
          <w:rFonts w:ascii="Arial" w:hAnsi="Arial"/>
          <w:bCs/>
        </w:rPr>
        <w:t xml:space="preserve">he </w:t>
      </w:r>
      <w:r w:rsidR="00043F4D">
        <w:rPr>
          <w:rFonts w:ascii="Arial" w:hAnsi="Arial"/>
          <w:bCs/>
        </w:rPr>
        <w:t xml:space="preserve">is </w:t>
      </w:r>
      <w:r w:rsidRPr="00D201B4">
        <w:rPr>
          <w:rFonts w:ascii="Arial" w:hAnsi="Arial"/>
          <w:bCs/>
        </w:rPr>
        <w:t>expose</w:t>
      </w:r>
      <w:r w:rsidR="005F74FF">
        <w:rPr>
          <w:rFonts w:ascii="Arial" w:hAnsi="Arial"/>
          <w:bCs/>
        </w:rPr>
        <w:t xml:space="preserve">d to changes in interest rates. </w:t>
      </w:r>
      <w:r w:rsidRPr="00D201B4">
        <w:rPr>
          <w:rFonts w:ascii="Arial" w:hAnsi="Arial"/>
          <w:bCs/>
        </w:rPr>
        <w:t>The upper limit for fixed interest reflects the fact that it is possible to construct a prudent treasury strategy on the basis of using only fixed rate debt and investments, so long as the maturity dates of these debts and inv</w:t>
      </w:r>
      <w:r w:rsidR="00043F4D">
        <w:rPr>
          <w:rFonts w:ascii="Arial" w:hAnsi="Arial"/>
          <w:bCs/>
        </w:rPr>
        <w:t xml:space="preserve">estments are reasonably spread. </w:t>
      </w:r>
      <w:r w:rsidRPr="00D201B4">
        <w:rPr>
          <w:rFonts w:ascii="Arial" w:hAnsi="Arial"/>
          <w:bCs/>
        </w:rPr>
        <w:t>The same does not apply to variable rates where a 100% exposure could lead to significant year on year fl</w:t>
      </w:r>
      <w:r w:rsidR="00043F4D">
        <w:rPr>
          <w:rFonts w:ascii="Arial" w:hAnsi="Arial"/>
          <w:bCs/>
        </w:rPr>
        <w:t xml:space="preserve">uctuations in the cost of debt. </w:t>
      </w:r>
      <w:r w:rsidRPr="00D201B4">
        <w:rPr>
          <w:rFonts w:ascii="Arial" w:hAnsi="Arial"/>
          <w:bCs/>
        </w:rPr>
        <w:t>The upper</w:t>
      </w:r>
      <w:r w:rsidRPr="00D201B4">
        <w:rPr>
          <w:rFonts w:ascii="Arial" w:hAnsi="Arial"/>
        </w:rPr>
        <w:t xml:space="preserve"> </w:t>
      </w:r>
      <w:r w:rsidRPr="00D201B4">
        <w:rPr>
          <w:rFonts w:ascii="Arial" w:hAnsi="Arial"/>
          <w:bCs/>
        </w:rPr>
        <w:t>limit</w:t>
      </w:r>
      <w:r w:rsidRPr="00D201B4">
        <w:rPr>
          <w:rFonts w:ascii="Arial" w:hAnsi="Arial"/>
        </w:rPr>
        <w:t xml:space="preserve"> </w:t>
      </w:r>
      <w:r w:rsidRPr="00D201B4">
        <w:rPr>
          <w:rFonts w:ascii="Arial" w:hAnsi="Arial"/>
          <w:bCs/>
        </w:rPr>
        <w:t>for variable rate exposure allows for the use of variable rate debt to offset the exposure to changes in short-term rates o</w:t>
      </w:r>
      <w:r w:rsidR="00043F4D">
        <w:rPr>
          <w:rFonts w:ascii="Arial" w:hAnsi="Arial"/>
          <w:bCs/>
        </w:rPr>
        <w:t xml:space="preserve">n the portfolio of investments. </w:t>
      </w:r>
      <w:r w:rsidRPr="00D201B4">
        <w:rPr>
          <w:rFonts w:ascii="Arial" w:hAnsi="Arial"/>
          <w:bCs/>
        </w:rPr>
        <w:t>This limit reduces over time as the strategy is to gradually reduce the level of investments.</w:t>
      </w:r>
    </w:p>
    <w:p w14:paraId="7BE07EF5" w14:textId="77777777" w:rsidR="00FA79D8" w:rsidRDefault="00FA79D8" w:rsidP="00FA79D8">
      <w:pPr>
        <w:pStyle w:val="BodyTextIndent"/>
        <w:ind w:left="720" w:hanging="720"/>
      </w:pPr>
    </w:p>
    <w:tbl>
      <w:tblPr>
        <w:tblStyle w:val="ListTable4-Accent1"/>
        <w:tblW w:w="8040" w:type="dxa"/>
        <w:tblInd w:w="846" w:type="dxa"/>
        <w:tblLayout w:type="fixed"/>
        <w:tblLook w:val="0000" w:firstRow="0" w:lastRow="0" w:firstColumn="0" w:lastColumn="0" w:noHBand="0" w:noVBand="0"/>
      </w:tblPr>
      <w:tblGrid>
        <w:gridCol w:w="4554"/>
        <w:gridCol w:w="1218"/>
        <w:gridCol w:w="1134"/>
        <w:gridCol w:w="1134"/>
      </w:tblGrid>
      <w:tr w:rsidR="00174246" w14:paraId="5B9C3728" w14:textId="77777777" w:rsidTr="00174246">
        <w:trPr>
          <w:cnfStyle w:val="000000100000" w:firstRow="0" w:lastRow="0" w:firstColumn="0" w:lastColumn="0" w:oddVBand="0" w:evenVBand="0" w:oddHBand="1" w:evenHBand="0" w:firstRowFirstColumn="0" w:firstRowLastColumn="0" w:lastRowFirstColumn="0" w:lastRowLastColumn="0"/>
          <w:trHeight w:val="330"/>
        </w:trPr>
        <w:tc>
          <w:tcPr>
            <w:cnfStyle w:val="000010000000" w:firstRow="0" w:lastRow="0" w:firstColumn="0" w:lastColumn="0" w:oddVBand="1" w:evenVBand="0" w:oddHBand="0" w:evenHBand="0" w:firstRowFirstColumn="0" w:firstRowLastColumn="0" w:lastRowFirstColumn="0" w:lastRowLastColumn="0"/>
            <w:tcW w:w="4554" w:type="dxa"/>
          </w:tcPr>
          <w:p w14:paraId="0F80CBE6" w14:textId="77777777" w:rsidR="00FA79D8" w:rsidRDefault="00FA79D8" w:rsidP="002D5C10">
            <w:pPr>
              <w:jc w:val="center"/>
              <w:rPr>
                <w:b/>
              </w:rPr>
            </w:pPr>
          </w:p>
        </w:tc>
        <w:tc>
          <w:tcPr>
            <w:tcW w:w="1218" w:type="dxa"/>
          </w:tcPr>
          <w:p w14:paraId="5B1AE456" w14:textId="6DD10C9B" w:rsidR="00FA79D8" w:rsidRDefault="002D2707" w:rsidP="002D5C10">
            <w:pPr>
              <w:jc w:val="center"/>
              <w:cnfStyle w:val="000000100000" w:firstRow="0" w:lastRow="0" w:firstColumn="0" w:lastColumn="0" w:oddVBand="0" w:evenVBand="0" w:oddHBand="1" w:evenHBand="0" w:firstRowFirstColumn="0" w:firstRowLastColumn="0" w:lastRowFirstColumn="0" w:lastRowLastColumn="0"/>
              <w:rPr>
                <w:b/>
              </w:rPr>
            </w:pPr>
            <w:r>
              <w:rPr>
                <w:b/>
              </w:rPr>
              <w:t>202</w:t>
            </w:r>
            <w:r w:rsidR="005226F4">
              <w:rPr>
                <w:b/>
              </w:rPr>
              <w:t>3</w:t>
            </w:r>
            <w:r>
              <w:rPr>
                <w:b/>
              </w:rPr>
              <w:t>/2</w:t>
            </w:r>
            <w:r w:rsidR="005226F4">
              <w:rPr>
                <w:b/>
              </w:rPr>
              <w:t>4</w:t>
            </w:r>
          </w:p>
          <w:p w14:paraId="31B69068" w14:textId="77777777" w:rsidR="00FA79D8" w:rsidRDefault="00FA79D8" w:rsidP="002D5C10">
            <w:pPr>
              <w:jc w:val="center"/>
              <w:cnfStyle w:val="000000100000" w:firstRow="0" w:lastRow="0" w:firstColumn="0" w:lastColumn="0" w:oddVBand="0" w:evenVBand="0" w:oddHBand="1" w:evenHBand="0" w:firstRowFirstColumn="0" w:firstRowLastColumn="0" w:lastRowFirstColumn="0" w:lastRowLastColumn="0"/>
              <w:rPr>
                <w:rFonts w:eastAsia="Arial Unicode MS"/>
                <w:b/>
              </w:rPr>
            </w:pPr>
            <w:r>
              <w:rPr>
                <w:b/>
              </w:rPr>
              <w:t>%</w:t>
            </w:r>
          </w:p>
        </w:tc>
        <w:tc>
          <w:tcPr>
            <w:cnfStyle w:val="000010000000" w:firstRow="0" w:lastRow="0" w:firstColumn="0" w:lastColumn="0" w:oddVBand="1" w:evenVBand="0" w:oddHBand="0" w:evenHBand="0" w:firstRowFirstColumn="0" w:firstRowLastColumn="0" w:lastRowFirstColumn="0" w:lastRowLastColumn="0"/>
            <w:tcW w:w="1134" w:type="dxa"/>
          </w:tcPr>
          <w:p w14:paraId="43CEC577" w14:textId="4A1F1001" w:rsidR="00FA79D8" w:rsidRDefault="002D2707" w:rsidP="002D5C10">
            <w:pPr>
              <w:jc w:val="center"/>
              <w:rPr>
                <w:b/>
              </w:rPr>
            </w:pPr>
            <w:r>
              <w:rPr>
                <w:b/>
              </w:rPr>
              <w:t>202</w:t>
            </w:r>
            <w:r w:rsidR="005226F4">
              <w:rPr>
                <w:b/>
              </w:rPr>
              <w:t>4</w:t>
            </w:r>
            <w:r w:rsidR="00FA79D8">
              <w:rPr>
                <w:b/>
              </w:rPr>
              <w:t>/</w:t>
            </w:r>
            <w:r w:rsidR="008A2F52">
              <w:rPr>
                <w:b/>
              </w:rPr>
              <w:t>2</w:t>
            </w:r>
            <w:r w:rsidR="005226F4">
              <w:rPr>
                <w:b/>
              </w:rPr>
              <w:t>5</w:t>
            </w:r>
          </w:p>
          <w:p w14:paraId="6E7A3E58" w14:textId="77777777" w:rsidR="00FA79D8" w:rsidRDefault="00FA79D8" w:rsidP="002D5C10">
            <w:pPr>
              <w:jc w:val="center"/>
              <w:rPr>
                <w:rFonts w:eastAsia="Arial Unicode MS"/>
                <w:b/>
              </w:rPr>
            </w:pPr>
            <w:r>
              <w:rPr>
                <w:b/>
              </w:rPr>
              <w:t>%</w:t>
            </w:r>
          </w:p>
        </w:tc>
        <w:tc>
          <w:tcPr>
            <w:tcW w:w="1134" w:type="dxa"/>
          </w:tcPr>
          <w:p w14:paraId="62B6A72F" w14:textId="5F6800D6" w:rsidR="00FA79D8" w:rsidRDefault="008A2F52" w:rsidP="002D5C10">
            <w:pPr>
              <w:jc w:val="center"/>
              <w:cnfStyle w:val="000000100000" w:firstRow="0" w:lastRow="0" w:firstColumn="0" w:lastColumn="0" w:oddVBand="0" w:evenVBand="0" w:oddHBand="1" w:evenHBand="0" w:firstRowFirstColumn="0" w:firstRowLastColumn="0" w:lastRowFirstColumn="0" w:lastRowLastColumn="0"/>
              <w:rPr>
                <w:b/>
              </w:rPr>
            </w:pPr>
            <w:r>
              <w:rPr>
                <w:b/>
              </w:rPr>
              <w:t>202</w:t>
            </w:r>
            <w:r w:rsidR="005226F4">
              <w:rPr>
                <w:b/>
              </w:rPr>
              <w:t>5</w:t>
            </w:r>
            <w:r w:rsidR="00FA79D8">
              <w:rPr>
                <w:b/>
              </w:rPr>
              <w:t>/</w:t>
            </w:r>
            <w:r w:rsidR="002851B9">
              <w:rPr>
                <w:b/>
              </w:rPr>
              <w:t>2</w:t>
            </w:r>
            <w:r w:rsidR="005226F4">
              <w:rPr>
                <w:b/>
              </w:rPr>
              <w:t>6</w:t>
            </w:r>
          </w:p>
          <w:p w14:paraId="1438A199" w14:textId="77777777" w:rsidR="00FA79D8" w:rsidRDefault="00FA79D8" w:rsidP="002D5C10">
            <w:pPr>
              <w:jc w:val="center"/>
              <w:cnfStyle w:val="000000100000" w:firstRow="0" w:lastRow="0" w:firstColumn="0" w:lastColumn="0" w:oddVBand="0" w:evenVBand="0" w:oddHBand="1" w:evenHBand="0" w:firstRowFirstColumn="0" w:firstRowLastColumn="0" w:lastRowFirstColumn="0" w:lastRowLastColumn="0"/>
              <w:rPr>
                <w:b/>
              </w:rPr>
            </w:pPr>
            <w:r>
              <w:rPr>
                <w:b/>
              </w:rPr>
              <w:t>%</w:t>
            </w:r>
          </w:p>
        </w:tc>
      </w:tr>
      <w:tr w:rsidR="00174246" w14:paraId="4DFA5A8C" w14:textId="77777777" w:rsidTr="008F0C00">
        <w:trPr>
          <w:trHeight w:val="479"/>
        </w:trPr>
        <w:tc>
          <w:tcPr>
            <w:cnfStyle w:val="000010000000" w:firstRow="0" w:lastRow="0" w:firstColumn="0" w:lastColumn="0" w:oddVBand="1" w:evenVBand="0" w:oddHBand="0" w:evenHBand="0" w:firstRowFirstColumn="0" w:firstRowLastColumn="0" w:lastRowFirstColumn="0" w:lastRowLastColumn="0"/>
            <w:tcW w:w="0" w:type="dxa"/>
          </w:tcPr>
          <w:p w14:paraId="12FCEBCD" w14:textId="77777777" w:rsidR="00FA79D8" w:rsidRPr="00190678" w:rsidRDefault="00FA79D8" w:rsidP="002D5C10">
            <w:pPr>
              <w:pStyle w:val="Heading1"/>
              <w:spacing w:after="0"/>
              <w:outlineLvl w:val="0"/>
              <w:rPr>
                <w:rFonts w:ascii="Arial" w:eastAsia="Arial Unicode MS" w:hAnsi="Arial"/>
                <w:sz w:val="22"/>
              </w:rPr>
            </w:pPr>
            <w:r w:rsidRPr="00190678">
              <w:rPr>
                <w:sz w:val="22"/>
              </w:rPr>
              <w:t xml:space="preserve"> </w:t>
            </w:r>
            <w:r w:rsidRPr="00190678">
              <w:rPr>
                <w:rFonts w:ascii="Arial" w:hAnsi="Arial"/>
                <w:sz w:val="22"/>
              </w:rPr>
              <w:t>Upper limit for fixed interest rate exposure</w:t>
            </w:r>
          </w:p>
        </w:tc>
        <w:tc>
          <w:tcPr>
            <w:tcW w:w="0" w:type="dxa"/>
            <w:shd w:val="clear" w:color="auto" w:fill="D9E2F3" w:themeFill="accent1" w:themeFillTint="33"/>
          </w:tcPr>
          <w:p w14:paraId="0BEECB07" w14:textId="77777777" w:rsidR="00FA79D8" w:rsidRDefault="00FA79D8" w:rsidP="002D5C10">
            <w:pPr>
              <w:jc w:val="center"/>
              <w:cnfStyle w:val="000000000000" w:firstRow="0" w:lastRow="0" w:firstColumn="0" w:lastColumn="0" w:oddVBand="0" w:evenVBand="0" w:oddHBand="0" w:evenHBand="0" w:firstRowFirstColumn="0" w:firstRowLastColumn="0" w:lastRowFirstColumn="0" w:lastRowLastColumn="0"/>
              <w:rPr>
                <w:rFonts w:eastAsia="Arial Unicode MS"/>
              </w:rPr>
            </w:pPr>
          </w:p>
        </w:tc>
        <w:tc>
          <w:tcPr>
            <w:cnfStyle w:val="000010000000" w:firstRow="0" w:lastRow="0" w:firstColumn="0" w:lastColumn="0" w:oddVBand="1" w:evenVBand="0" w:oddHBand="0" w:evenHBand="0" w:firstRowFirstColumn="0" w:firstRowLastColumn="0" w:lastRowFirstColumn="0" w:lastRowLastColumn="0"/>
            <w:tcW w:w="0" w:type="dxa"/>
          </w:tcPr>
          <w:p w14:paraId="62EF7DD1" w14:textId="77777777" w:rsidR="00FA79D8" w:rsidRDefault="00FA79D8" w:rsidP="002D5C10">
            <w:pPr>
              <w:jc w:val="center"/>
              <w:rPr>
                <w:rFonts w:eastAsia="Arial Unicode MS"/>
              </w:rPr>
            </w:pPr>
          </w:p>
        </w:tc>
        <w:tc>
          <w:tcPr>
            <w:tcW w:w="0" w:type="dxa"/>
            <w:shd w:val="clear" w:color="auto" w:fill="D9E2F3" w:themeFill="accent1" w:themeFillTint="33"/>
          </w:tcPr>
          <w:p w14:paraId="18BAB68F" w14:textId="77777777" w:rsidR="00FA79D8" w:rsidRDefault="00FA79D8" w:rsidP="002D5C10">
            <w:pPr>
              <w:jc w:val="center"/>
              <w:cnfStyle w:val="000000000000" w:firstRow="0" w:lastRow="0" w:firstColumn="0" w:lastColumn="0" w:oddVBand="0" w:evenVBand="0" w:oddHBand="0" w:evenHBand="0" w:firstRowFirstColumn="0" w:firstRowLastColumn="0" w:lastRowFirstColumn="0" w:lastRowLastColumn="0"/>
              <w:rPr>
                <w:rFonts w:eastAsia="Arial Unicode MS"/>
              </w:rPr>
            </w:pPr>
            <w:r>
              <w:t> </w:t>
            </w:r>
          </w:p>
        </w:tc>
      </w:tr>
      <w:tr w:rsidR="00174246" w14:paraId="7E4D550B" w14:textId="77777777" w:rsidTr="00174246">
        <w:trPr>
          <w:cnfStyle w:val="000000100000" w:firstRow="0" w:lastRow="0" w:firstColumn="0" w:lastColumn="0" w:oddVBand="0" w:evenVBand="0" w:oddHBand="1" w:evenHBand="0" w:firstRowFirstColumn="0" w:firstRowLastColumn="0" w:lastRowFirstColumn="0" w:lastRowLastColumn="0"/>
          <w:trHeight w:val="330"/>
        </w:trPr>
        <w:tc>
          <w:tcPr>
            <w:cnfStyle w:val="000010000000" w:firstRow="0" w:lastRow="0" w:firstColumn="0" w:lastColumn="0" w:oddVBand="1" w:evenVBand="0" w:oddHBand="0" w:evenHBand="0" w:firstRowFirstColumn="0" w:firstRowLastColumn="0" w:lastRowFirstColumn="0" w:lastRowLastColumn="0"/>
            <w:tcW w:w="4554" w:type="dxa"/>
          </w:tcPr>
          <w:p w14:paraId="18709B75" w14:textId="77777777" w:rsidR="00FA79D8" w:rsidRDefault="00FA79D8" w:rsidP="002D5C10">
            <w:pPr>
              <w:rPr>
                <w:rFonts w:eastAsia="Arial Unicode MS"/>
              </w:rPr>
            </w:pPr>
            <w:r>
              <w:t xml:space="preserve">     Net principal fixed rate borrowing / investments </w:t>
            </w:r>
          </w:p>
        </w:tc>
        <w:tc>
          <w:tcPr>
            <w:tcW w:w="1218" w:type="dxa"/>
          </w:tcPr>
          <w:p w14:paraId="33088EE1" w14:textId="77777777" w:rsidR="00FA79D8" w:rsidRPr="001322A8" w:rsidRDefault="00FA79D8" w:rsidP="002D5C10">
            <w:pPr>
              <w:jc w:val="center"/>
              <w:cnfStyle w:val="000000100000" w:firstRow="0" w:lastRow="0" w:firstColumn="0" w:lastColumn="0" w:oddVBand="0" w:evenVBand="0" w:oddHBand="1" w:evenHBand="0" w:firstRowFirstColumn="0" w:firstRowLastColumn="0" w:lastRowFirstColumn="0" w:lastRowLastColumn="0"/>
              <w:rPr>
                <w:rFonts w:eastAsia="Arial Unicode MS"/>
              </w:rPr>
            </w:pPr>
            <w:r w:rsidRPr="001322A8">
              <w:rPr>
                <w:rFonts w:eastAsia="Arial Unicode MS"/>
              </w:rPr>
              <w:t>100</w:t>
            </w:r>
          </w:p>
        </w:tc>
        <w:tc>
          <w:tcPr>
            <w:cnfStyle w:val="000010000000" w:firstRow="0" w:lastRow="0" w:firstColumn="0" w:lastColumn="0" w:oddVBand="1" w:evenVBand="0" w:oddHBand="0" w:evenHBand="0" w:firstRowFirstColumn="0" w:firstRowLastColumn="0" w:lastRowFirstColumn="0" w:lastRowLastColumn="0"/>
            <w:tcW w:w="1134" w:type="dxa"/>
          </w:tcPr>
          <w:p w14:paraId="6A5E0A21" w14:textId="77777777" w:rsidR="00FA79D8" w:rsidRPr="001322A8" w:rsidRDefault="00FA79D8" w:rsidP="002D5C10">
            <w:pPr>
              <w:jc w:val="center"/>
              <w:rPr>
                <w:rFonts w:eastAsia="Arial Unicode MS"/>
              </w:rPr>
            </w:pPr>
            <w:r w:rsidRPr="001322A8">
              <w:rPr>
                <w:rFonts w:eastAsia="Arial Unicode MS"/>
              </w:rPr>
              <w:t>100</w:t>
            </w:r>
          </w:p>
        </w:tc>
        <w:tc>
          <w:tcPr>
            <w:tcW w:w="1134" w:type="dxa"/>
          </w:tcPr>
          <w:p w14:paraId="34B77D43" w14:textId="77777777" w:rsidR="00FA79D8" w:rsidRPr="001322A8" w:rsidRDefault="00FA79D8" w:rsidP="002D5C10">
            <w:pPr>
              <w:jc w:val="center"/>
              <w:cnfStyle w:val="000000100000" w:firstRow="0" w:lastRow="0" w:firstColumn="0" w:lastColumn="0" w:oddVBand="0" w:evenVBand="0" w:oddHBand="1" w:evenHBand="0" w:firstRowFirstColumn="0" w:firstRowLastColumn="0" w:lastRowFirstColumn="0" w:lastRowLastColumn="0"/>
              <w:rPr>
                <w:rFonts w:eastAsia="Arial Unicode MS"/>
              </w:rPr>
            </w:pPr>
            <w:r w:rsidRPr="001322A8">
              <w:rPr>
                <w:rFonts w:eastAsia="Arial Unicode MS"/>
              </w:rPr>
              <w:t>100</w:t>
            </w:r>
          </w:p>
        </w:tc>
      </w:tr>
      <w:tr w:rsidR="00174246" w14:paraId="56625BDC" w14:textId="77777777" w:rsidTr="008F0C00">
        <w:trPr>
          <w:trHeight w:val="330"/>
        </w:trPr>
        <w:tc>
          <w:tcPr>
            <w:cnfStyle w:val="000010000000" w:firstRow="0" w:lastRow="0" w:firstColumn="0" w:lastColumn="0" w:oddVBand="1" w:evenVBand="0" w:oddHBand="0" w:evenHBand="0" w:firstRowFirstColumn="0" w:firstRowLastColumn="0" w:lastRowFirstColumn="0" w:lastRowLastColumn="0"/>
            <w:tcW w:w="0" w:type="dxa"/>
          </w:tcPr>
          <w:p w14:paraId="77C481CD" w14:textId="77777777" w:rsidR="00FA79D8" w:rsidRDefault="00FA79D8" w:rsidP="002D5C10">
            <w:pPr>
              <w:rPr>
                <w:rFonts w:eastAsia="Arial Unicode MS"/>
              </w:rPr>
            </w:pPr>
            <w:r>
              <w:rPr>
                <w:b/>
              </w:rPr>
              <w:t xml:space="preserve"> Upper limit for variable rate exposure</w:t>
            </w:r>
          </w:p>
        </w:tc>
        <w:tc>
          <w:tcPr>
            <w:tcW w:w="0" w:type="dxa"/>
            <w:shd w:val="clear" w:color="auto" w:fill="D9E2F3" w:themeFill="accent1" w:themeFillTint="33"/>
          </w:tcPr>
          <w:p w14:paraId="48B48A96" w14:textId="77777777" w:rsidR="00FA79D8" w:rsidRPr="001322A8" w:rsidRDefault="00FA79D8" w:rsidP="002D5C10">
            <w:pPr>
              <w:jc w:val="center"/>
              <w:cnfStyle w:val="000000000000" w:firstRow="0" w:lastRow="0" w:firstColumn="0" w:lastColumn="0" w:oddVBand="0" w:evenVBand="0" w:oddHBand="0" w:evenHBand="0" w:firstRowFirstColumn="0" w:firstRowLastColumn="0" w:lastRowFirstColumn="0" w:lastRowLastColumn="0"/>
              <w:rPr>
                <w:rFonts w:eastAsia="Arial Unicode MS"/>
              </w:rPr>
            </w:pPr>
          </w:p>
        </w:tc>
        <w:tc>
          <w:tcPr>
            <w:cnfStyle w:val="000010000000" w:firstRow="0" w:lastRow="0" w:firstColumn="0" w:lastColumn="0" w:oddVBand="1" w:evenVBand="0" w:oddHBand="0" w:evenHBand="0" w:firstRowFirstColumn="0" w:firstRowLastColumn="0" w:lastRowFirstColumn="0" w:lastRowLastColumn="0"/>
            <w:tcW w:w="0" w:type="dxa"/>
          </w:tcPr>
          <w:p w14:paraId="513572BC" w14:textId="77777777" w:rsidR="00FA79D8" w:rsidRPr="001322A8" w:rsidRDefault="00FA79D8" w:rsidP="002D5C10">
            <w:pPr>
              <w:jc w:val="center"/>
              <w:rPr>
                <w:rFonts w:eastAsia="Arial Unicode MS"/>
              </w:rPr>
            </w:pPr>
          </w:p>
        </w:tc>
        <w:tc>
          <w:tcPr>
            <w:tcW w:w="0" w:type="dxa"/>
            <w:shd w:val="clear" w:color="auto" w:fill="D9E2F3" w:themeFill="accent1" w:themeFillTint="33"/>
          </w:tcPr>
          <w:p w14:paraId="0A7F72C3" w14:textId="77777777" w:rsidR="00FA79D8" w:rsidRPr="001322A8" w:rsidRDefault="00FA79D8" w:rsidP="002D5C10">
            <w:pPr>
              <w:jc w:val="center"/>
              <w:cnfStyle w:val="000000000000" w:firstRow="0" w:lastRow="0" w:firstColumn="0" w:lastColumn="0" w:oddVBand="0" w:evenVBand="0" w:oddHBand="0" w:evenHBand="0" w:firstRowFirstColumn="0" w:firstRowLastColumn="0" w:lastRowFirstColumn="0" w:lastRowLastColumn="0"/>
              <w:rPr>
                <w:rFonts w:eastAsia="Arial Unicode MS"/>
              </w:rPr>
            </w:pPr>
          </w:p>
        </w:tc>
      </w:tr>
      <w:tr w:rsidR="00174246" w14:paraId="3766B112" w14:textId="77777777" w:rsidTr="00174246">
        <w:trPr>
          <w:cnfStyle w:val="000000100000" w:firstRow="0" w:lastRow="0" w:firstColumn="0" w:lastColumn="0" w:oddVBand="0" w:evenVBand="0" w:oddHBand="1" w:evenHBand="0" w:firstRowFirstColumn="0" w:firstRowLastColumn="0" w:lastRowFirstColumn="0" w:lastRowLastColumn="0"/>
          <w:trHeight w:val="330"/>
        </w:trPr>
        <w:tc>
          <w:tcPr>
            <w:cnfStyle w:val="000010000000" w:firstRow="0" w:lastRow="0" w:firstColumn="0" w:lastColumn="0" w:oddVBand="1" w:evenVBand="0" w:oddHBand="0" w:evenHBand="0" w:firstRowFirstColumn="0" w:firstRowLastColumn="0" w:lastRowFirstColumn="0" w:lastRowLastColumn="0"/>
            <w:tcW w:w="4554" w:type="dxa"/>
          </w:tcPr>
          <w:p w14:paraId="166AE988" w14:textId="77777777" w:rsidR="00FA79D8" w:rsidRDefault="00FA79D8" w:rsidP="002D5C10">
            <w:pPr>
              <w:rPr>
                <w:rFonts w:eastAsia="Arial Unicode MS"/>
              </w:rPr>
            </w:pPr>
            <w:r>
              <w:t xml:space="preserve">     Net principal variable rate borrowing / investments</w:t>
            </w:r>
          </w:p>
        </w:tc>
        <w:tc>
          <w:tcPr>
            <w:tcW w:w="1218" w:type="dxa"/>
          </w:tcPr>
          <w:p w14:paraId="1E8DBB62" w14:textId="77777777" w:rsidR="00FA79D8" w:rsidRPr="001322A8" w:rsidRDefault="00FA79D8" w:rsidP="002D5C10">
            <w:pPr>
              <w:jc w:val="center"/>
              <w:cnfStyle w:val="000000100000" w:firstRow="0" w:lastRow="0" w:firstColumn="0" w:lastColumn="0" w:oddVBand="0" w:evenVBand="0" w:oddHBand="1" w:evenHBand="0" w:firstRowFirstColumn="0" w:firstRowLastColumn="0" w:lastRowFirstColumn="0" w:lastRowLastColumn="0"/>
              <w:rPr>
                <w:rFonts w:eastAsia="Arial Unicode MS"/>
              </w:rPr>
            </w:pPr>
            <w:r w:rsidRPr="001322A8">
              <w:rPr>
                <w:rFonts w:eastAsia="Arial Unicode MS"/>
              </w:rPr>
              <w:t>20</w:t>
            </w:r>
          </w:p>
        </w:tc>
        <w:tc>
          <w:tcPr>
            <w:cnfStyle w:val="000010000000" w:firstRow="0" w:lastRow="0" w:firstColumn="0" w:lastColumn="0" w:oddVBand="1" w:evenVBand="0" w:oddHBand="0" w:evenHBand="0" w:firstRowFirstColumn="0" w:firstRowLastColumn="0" w:lastRowFirstColumn="0" w:lastRowLastColumn="0"/>
            <w:tcW w:w="1134" w:type="dxa"/>
          </w:tcPr>
          <w:p w14:paraId="3E5A6230" w14:textId="77777777" w:rsidR="00FA79D8" w:rsidRPr="001322A8" w:rsidRDefault="00FA79D8" w:rsidP="002D5C10">
            <w:pPr>
              <w:jc w:val="center"/>
              <w:rPr>
                <w:rFonts w:eastAsia="Arial Unicode MS"/>
              </w:rPr>
            </w:pPr>
            <w:r w:rsidRPr="001322A8">
              <w:rPr>
                <w:rFonts w:eastAsia="Arial Unicode MS"/>
              </w:rPr>
              <w:t>20</w:t>
            </w:r>
          </w:p>
        </w:tc>
        <w:tc>
          <w:tcPr>
            <w:tcW w:w="1134" w:type="dxa"/>
          </w:tcPr>
          <w:p w14:paraId="2C759F22" w14:textId="77777777" w:rsidR="00FA79D8" w:rsidRPr="001322A8" w:rsidRDefault="00FA79D8" w:rsidP="002D5C10">
            <w:pPr>
              <w:jc w:val="center"/>
              <w:cnfStyle w:val="000000100000" w:firstRow="0" w:lastRow="0" w:firstColumn="0" w:lastColumn="0" w:oddVBand="0" w:evenVBand="0" w:oddHBand="1" w:evenHBand="0" w:firstRowFirstColumn="0" w:firstRowLastColumn="0" w:lastRowFirstColumn="0" w:lastRowLastColumn="0"/>
              <w:rPr>
                <w:rFonts w:eastAsia="Arial Unicode MS"/>
              </w:rPr>
            </w:pPr>
            <w:r w:rsidRPr="001322A8">
              <w:rPr>
                <w:rFonts w:eastAsia="Arial Unicode MS"/>
              </w:rPr>
              <w:t>20</w:t>
            </w:r>
          </w:p>
        </w:tc>
      </w:tr>
    </w:tbl>
    <w:p w14:paraId="1CAC3D5D" w14:textId="77777777" w:rsidR="00FA79D8" w:rsidRDefault="00FA79D8" w:rsidP="00FA79D8">
      <w:pPr>
        <w:pStyle w:val="BodyTextIndent"/>
        <w:spacing w:after="0"/>
        <w:ind w:left="720" w:hanging="720"/>
        <w:rPr>
          <w:i/>
        </w:rPr>
      </w:pPr>
      <w:r>
        <w:rPr>
          <w:i/>
        </w:rPr>
        <w:tab/>
      </w:r>
    </w:p>
    <w:p w14:paraId="39084124" w14:textId="76CEE558" w:rsidR="006E5B44" w:rsidRDefault="00FA79D8" w:rsidP="001D3578">
      <w:pPr>
        <w:pStyle w:val="BodyTextIndent"/>
        <w:spacing w:after="0"/>
        <w:ind w:left="720"/>
        <w:jc w:val="both"/>
        <w:rPr>
          <w:rFonts w:ascii="Arial" w:hAnsi="Arial"/>
          <w:b/>
        </w:rPr>
      </w:pPr>
      <w:r w:rsidRPr="00D201B4">
        <w:rPr>
          <w:rFonts w:ascii="Arial" w:hAnsi="Arial"/>
          <w:b/>
        </w:rPr>
        <w:t>Maturity structure of borrowing and Investments longer than 364 days</w:t>
      </w:r>
    </w:p>
    <w:p w14:paraId="7A415C4C" w14:textId="77777777" w:rsidR="00ED039D" w:rsidRPr="00ED039D" w:rsidRDefault="00ED039D" w:rsidP="001D3578">
      <w:pPr>
        <w:pStyle w:val="BodyTextIndent"/>
        <w:spacing w:after="0"/>
        <w:ind w:left="720"/>
        <w:jc w:val="both"/>
        <w:rPr>
          <w:rFonts w:ascii="Arial" w:hAnsi="Arial"/>
          <w:b/>
        </w:rPr>
      </w:pPr>
    </w:p>
    <w:p w14:paraId="182C6D27" w14:textId="77777777" w:rsidR="00FA79D8" w:rsidRDefault="00FA79D8" w:rsidP="001D3578">
      <w:pPr>
        <w:pStyle w:val="BodyTextIndent"/>
        <w:spacing w:after="0"/>
        <w:ind w:left="720" w:hanging="720"/>
        <w:jc w:val="both"/>
        <w:rPr>
          <w:rFonts w:ascii="Arial" w:hAnsi="Arial"/>
          <w:bCs/>
        </w:rPr>
      </w:pPr>
      <w:r>
        <w:tab/>
      </w:r>
      <w:r w:rsidRPr="00D201B4">
        <w:rPr>
          <w:rFonts w:ascii="Arial" w:hAnsi="Arial"/>
          <w:bCs/>
        </w:rPr>
        <w:t>The purpose of the prudential limits for principal sums invested for periods longer than 364 days is for the C</w:t>
      </w:r>
      <w:r w:rsidR="00043F4D">
        <w:rPr>
          <w:rFonts w:ascii="Arial" w:hAnsi="Arial"/>
          <w:bCs/>
        </w:rPr>
        <w:t>ommissioner</w:t>
      </w:r>
      <w:r w:rsidRPr="00D201B4">
        <w:rPr>
          <w:rFonts w:ascii="Arial" w:hAnsi="Arial"/>
          <w:bCs/>
        </w:rPr>
        <w:t xml:space="preserve"> to contain hi</w:t>
      </w:r>
      <w:r w:rsidR="00043F4D">
        <w:rPr>
          <w:rFonts w:ascii="Arial" w:hAnsi="Arial"/>
          <w:bCs/>
        </w:rPr>
        <w:t>s</w:t>
      </w:r>
      <w:r w:rsidRPr="00D201B4">
        <w:rPr>
          <w:rFonts w:ascii="Arial" w:hAnsi="Arial"/>
          <w:bCs/>
        </w:rPr>
        <w:t xml:space="preserve"> exposure to the possibility of loss that might arise as a result of having to seek early repayment of principal sums invested. The maturity structure of fixed rate borrowing is designed to protect against excessive exposures to interest rate changes in any one period, in particular in the course of the next ten years.</w:t>
      </w:r>
    </w:p>
    <w:p w14:paraId="6880A121" w14:textId="71CF7BC4" w:rsidR="001D3578" w:rsidRDefault="001D3578" w:rsidP="00D00204">
      <w:pPr>
        <w:pStyle w:val="BodyTextIndent"/>
        <w:spacing w:after="0"/>
        <w:ind w:left="0"/>
        <w:jc w:val="both"/>
      </w:pPr>
    </w:p>
    <w:tbl>
      <w:tblPr>
        <w:tblStyle w:val="ListTable2-Accent1"/>
        <w:tblW w:w="8227" w:type="dxa"/>
        <w:tblInd w:w="709" w:type="dxa"/>
        <w:tblLayout w:type="fixed"/>
        <w:tblLook w:val="0000" w:firstRow="0" w:lastRow="0" w:firstColumn="0" w:lastColumn="0" w:noHBand="0" w:noVBand="0"/>
      </w:tblPr>
      <w:tblGrid>
        <w:gridCol w:w="4423"/>
        <w:gridCol w:w="1177"/>
        <w:gridCol w:w="532"/>
        <w:gridCol w:w="2095"/>
      </w:tblGrid>
      <w:tr w:rsidR="00FA79D8" w14:paraId="3064372D" w14:textId="77777777" w:rsidTr="008F0C00">
        <w:trPr>
          <w:cnfStyle w:val="000000100000" w:firstRow="0" w:lastRow="0" w:firstColumn="0" w:lastColumn="0" w:oddVBand="0" w:evenVBand="0" w:oddHBand="1" w:evenHBand="0" w:firstRowFirstColumn="0" w:firstRowLastColumn="0" w:lastRowFirstColumn="0" w:lastRowLastColumn="0"/>
          <w:trHeight w:val="330"/>
        </w:trPr>
        <w:tc>
          <w:tcPr>
            <w:cnfStyle w:val="000010000000" w:firstRow="0" w:lastRow="0" w:firstColumn="0" w:lastColumn="0" w:oddVBand="1" w:evenVBand="0" w:oddHBand="0" w:evenHBand="0" w:firstRowFirstColumn="0" w:firstRowLastColumn="0" w:lastRowFirstColumn="0" w:lastRowLastColumn="0"/>
            <w:tcW w:w="5600" w:type="dxa"/>
            <w:gridSpan w:val="2"/>
          </w:tcPr>
          <w:p w14:paraId="4BAAE1F1" w14:textId="77777777" w:rsidR="00FA79D8" w:rsidRDefault="00FA79D8" w:rsidP="002D5C10">
            <w:pPr>
              <w:rPr>
                <w:rFonts w:eastAsia="Arial Unicode MS"/>
              </w:rPr>
            </w:pPr>
            <w:r>
              <w:rPr>
                <w:b/>
              </w:rPr>
              <w:t>Upper limit of principal invested for periods over 364 days</w:t>
            </w:r>
          </w:p>
        </w:tc>
        <w:tc>
          <w:tcPr>
            <w:tcW w:w="2627" w:type="dxa"/>
            <w:gridSpan w:val="2"/>
          </w:tcPr>
          <w:p w14:paraId="75AAB164" w14:textId="2E297328" w:rsidR="00FA79D8" w:rsidRPr="008F0C00" w:rsidRDefault="00FA79D8" w:rsidP="00541EF9">
            <w:pPr>
              <w:jc w:val="center"/>
              <w:cnfStyle w:val="000000100000" w:firstRow="0" w:lastRow="0" w:firstColumn="0" w:lastColumn="0" w:oddVBand="0" w:evenVBand="0" w:oddHBand="1" w:evenHBand="0" w:firstRowFirstColumn="0" w:firstRowLastColumn="0" w:lastRowFirstColumn="0" w:lastRowLastColumn="0"/>
              <w:rPr>
                <w:rFonts w:eastAsia="Arial Unicode MS"/>
                <w:b/>
              </w:rPr>
            </w:pPr>
            <w:r w:rsidRPr="008F0C00">
              <w:rPr>
                <w:rFonts w:eastAsia="Arial Unicode MS"/>
                <w:b/>
              </w:rPr>
              <w:t>£</w:t>
            </w:r>
            <w:r w:rsidR="00541EF9" w:rsidRPr="008F0C00">
              <w:rPr>
                <w:rFonts w:eastAsia="Arial Unicode MS"/>
                <w:b/>
              </w:rPr>
              <w:t>4</w:t>
            </w:r>
            <w:r w:rsidRPr="008F0C00">
              <w:rPr>
                <w:rFonts w:eastAsia="Arial Unicode MS"/>
                <w:b/>
              </w:rPr>
              <w:t>0m</w:t>
            </w:r>
          </w:p>
        </w:tc>
      </w:tr>
      <w:tr w:rsidR="00FA79D8" w14:paraId="5130FD5C" w14:textId="77777777" w:rsidTr="008F0C00">
        <w:trPr>
          <w:trHeight w:val="330"/>
        </w:trPr>
        <w:tc>
          <w:tcPr>
            <w:cnfStyle w:val="000010000000" w:firstRow="0" w:lastRow="0" w:firstColumn="0" w:lastColumn="0" w:oddVBand="1" w:evenVBand="0" w:oddHBand="0" w:evenHBand="0" w:firstRowFirstColumn="0" w:firstRowLastColumn="0" w:lastRowFirstColumn="0" w:lastRowLastColumn="0"/>
            <w:tcW w:w="8227" w:type="dxa"/>
            <w:gridSpan w:val="4"/>
          </w:tcPr>
          <w:p w14:paraId="0FA577EB" w14:textId="77777777" w:rsidR="00FA79D8" w:rsidRDefault="00FA79D8" w:rsidP="002D5C10">
            <w:pPr>
              <w:rPr>
                <w:b/>
              </w:rPr>
            </w:pPr>
          </w:p>
          <w:p w14:paraId="59F6192F" w14:textId="77777777" w:rsidR="00FA79D8" w:rsidRDefault="00FA79D8" w:rsidP="002D5C10">
            <w:pPr>
              <w:jc w:val="center"/>
              <w:rPr>
                <w:rFonts w:eastAsia="Arial Unicode MS"/>
              </w:rPr>
            </w:pPr>
          </w:p>
        </w:tc>
      </w:tr>
      <w:tr w:rsidR="00FA79D8" w14:paraId="50F61734" w14:textId="77777777" w:rsidTr="008F0C00">
        <w:trPr>
          <w:cnfStyle w:val="000000100000" w:firstRow="0" w:lastRow="0" w:firstColumn="0" w:lastColumn="0" w:oddVBand="0" w:evenVBand="0" w:oddHBand="1" w:evenHBand="0" w:firstRowFirstColumn="0" w:firstRowLastColumn="0" w:lastRowFirstColumn="0" w:lastRowLastColumn="0"/>
          <w:trHeight w:val="330"/>
        </w:trPr>
        <w:tc>
          <w:tcPr>
            <w:cnfStyle w:val="000010000000" w:firstRow="0" w:lastRow="0" w:firstColumn="0" w:lastColumn="0" w:oddVBand="1" w:evenVBand="0" w:oddHBand="0" w:evenHBand="0" w:firstRowFirstColumn="0" w:firstRowLastColumn="0" w:lastRowFirstColumn="0" w:lastRowLastColumn="0"/>
            <w:tcW w:w="4423" w:type="dxa"/>
          </w:tcPr>
          <w:p w14:paraId="5F7491BB" w14:textId="77777777" w:rsidR="00FA79D8" w:rsidRDefault="00FA79D8" w:rsidP="002D5C10">
            <w:pPr>
              <w:rPr>
                <w:rFonts w:eastAsia="Arial Unicode MS"/>
                <w:b/>
              </w:rPr>
            </w:pPr>
            <w:r>
              <w:rPr>
                <w:b/>
              </w:rPr>
              <w:t xml:space="preserve">Maturity structure of fixed rate borrowing </w:t>
            </w:r>
          </w:p>
        </w:tc>
        <w:tc>
          <w:tcPr>
            <w:tcW w:w="1709" w:type="dxa"/>
            <w:gridSpan w:val="2"/>
          </w:tcPr>
          <w:p w14:paraId="16078E93" w14:textId="77777777" w:rsidR="00FA79D8" w:rsidRDefault="00FA79D8" w:rsidP="002D5C10">
            <w:pPr>
              <w:jc w:val="center"/>
              <w:cnfStyle w:val="000000100000" w:firstRow="0" w:lastRow="0" w:firstColumn="0" w:lastColumn="0" w:oddVBand="0" w:evenVBand="0" w:oddHBand="1" w:evenHBand="0" w:firstRowFirstColumn="0" w:firstRowLastColumn="0" w:lastRowFirstColumn="0" w:lastRowLastColumn="0"/>
              <w:rPr>
                <w:b/>
              </w:rPr>
            </w:pPr>
            <w:r>
              <w:rPr>
                <w:b/>
              </w:rPr>
              <w:t>Upper limit</w:t>
            </w:r>
          </w:p>
          <w:p w14:paraId="3AF55680" w14:textId="77777777" w:rsidR="00FA79D8" w:rsidRDefault="00FA79D8" w:rsidP="002D5C10">
            <w:pPr>
              <w:jc w:val="center"/>
              <w:cnfStyle w:val="000000100000" w:firstRow="0" w:lastRow="0" w:firstColumn="0" w:lastColumn="0" w:oddVBand="0" w:evenVBand="0" w:oddHBand="1" w:evenHBand="0" w:firstRowFirstColumn="0" w:firstRowLastColumn="0" w:lastRowFirstColumn="0" w:lastRowLastColumn="0"/>
              <w:rPr>
                <w:rFonts w:eastAsia="Arial Unicode MS"/>
                <w:b/>
              </w:rPr>
            </w:pPr>
            <w:r>
              <w:rPr>
                <w:b/>
              </w:rPr>
              <w:t>%</w:t>
            </w:r>
          </w:p>
        </w:tc>
        <w:tc>
          <w:tcPr>
            <w:cnfStyle w:val="000010000000" w:firstRow="0" w:lastRow="0" w:firstColumn="0" w:lastColumn="0" w:oddVBand="1" w:evenVBand="0" w:oddHBand="0" w:evenHBand="0" w:firstRowFirstColumn="0" w:firstRowLastColumn="0" w:lastRowFirstColumn="0" w:lastRowLastColumn="0"/>
            <w:tcW w:w="2095" w:type="dxa"/>
          </w:tcPr>
          <w:p w14:paraId="71042FB5" w14:textId="77777777" w:rsidR="00FA79D8" w:rsidRDefault="00FA79D8" w:rsidP="002D5C10">
            <w:pPr>
              <w:jc w:val="center"/>
              <w:rPr>
                <w:b/>
              </w:rPr>
            </w:pPr>
            <w:r>
              <w:rPr>
                <w:b/>
              </w:rPr>
              <w:t>Lower limit</w:t>
            </w:r>
          </w:p>
          <w:p w14:paraId="48A73055" w14:textId="77777777" w:rsidR="00FA79D8" w:rsidRDefault="00FA79D8" w:rsidP="002D5C10">
            <w:pPr>
              <w:jc w:val="center"/>
              <w:rPr>
                <w:rFonts w:eastAsia="Arial Unicode MS"/>
                <w:b/>
              </w:rPr>
            </w:pPr>
            <w:r>
              <w:rPr>
                <w:b/>
              </w:rPr>
              <w:t>%</w:t>
            </w:r>
          </w:p>
        </w:tc>
      </w:tr>
      <w:tr w:rsidR="00FA79D8" w14:paraId="5B1CE818" w14:textId="77777777" w:rsidTr="008F0C00">
        <w:trPr>
          <w:trHeight w:val="330"/>
        </w:trPr>
        <w:tc>
          <w:tcPr>
            <w:cnfStyle w:val="000010000000" w:firstRow="0" w:lastRow="0" w:firstColumn="0" w:lastColumn="0" w:oddVBand="1" w:evenVBand="0" w:oddHBand="0" w:evenHBand="0" w:firstRowFirstColumn="0" w:firstRowLastColumn="0" w:lastRowFirstColumn="0" w:lastRowLastColumn="0"/>
            <w:tcW w:w="4423" w:type="dxa"/>
          </w:tcPr>
          <w:p w14:paraId="0BE4F611" w14:textId="10BDAF29" w:rsidR="00FA79D8" w:rsidRDefault="00F543B8" w:rsidP="00F543B8">
            <w:pPr>
              <w:rPr>
                <w:rFonts w:eastAsia="Arial Unicode MS"/>
              </w:rPr>
            </w:pPr>
            <w:r>
              <w:t>U</w:t>
            </w:r>
            <w:r w:rsidR="00FA79D8">
              <w:t>nder 12 months</w:t>
            </w:r>
          </w:p>
        </w:tc>
        <w:tc>
          <w:tcPr>
            <w:tcW w:w="1709" w:type="dxa"/>
            <w:gridSpan w:val="2"/>
            <w:shd w:val="clear" w:color="auto" w:fill="D9E2F3" w:themeFill="accent1" w:themeFillTint="33"/>
          </w:tcPr>
          <w:p w14:paraId="69C0AB49" w14:textId="77777777" w:rsidR="00FA79D8" w:rsidRDefault="00FA79D8" w:rsidP="002D5C10">
            <w:pPr>
              <w:jc w:val="center"/>
              <w:cnfStyle w:val="000000000000" w:firstRow="0" w:lastRow="0" w:firstColumn="0" w:lastColumn="0" w:oddVBand="0" w:evenVBand="0" w:oddHBand="0" w:evenHBand="0" w:firstRowFirstColumn="0" w:firstRowLastColumn="0" w:lastRowFirstColumn="0" w:lastRowLastColumn="0"/>
              <w:rPr>
                <w:rFonts w:eastAsia="Arial Unicode MS"/>
              </w:rPr>
            </w:pPr>
            <w:r>
              <w:rPr>
                <w:rFonts w:eastAsia="Arial Unicode MS"/>
              </w:rPr>
              <w:t>25</w:t>
            </w:r>
          </w:p>
        </w:tc>
        <w:tc>
          <w:tcPr>
            <w:cnfStyle w:val="000010000000" w:firstRow="0" w:lastRow="0" w:firstColumn="0" w:lastColumn="0" w:oddVBand="1" w:evenVBand="0" w:oddHBand="0" w:evenHBand="0" w:firstRowFirstColumn="0" w:firstRowLastColumn="0" w:lastRowFirstColumn="0" w:lastRowLastColumn="0"/>
            <w:tcW w:w="2095" w:type="dxa"/>
          </w:tcPr>
          <w:p w14:paraId="1F7809CE" w14:textId="77777777" w:rsidR="00FA79D8" w:rsidRDefault="00FA79D8" w:rsidP="002D5C10">
            <w:pPr>
              <w:jc w:val="center"/>
              <w:rPr>
                <w:rFonts w:eastAsia="Arial Unicode MS"/>
              </w:rPr>
            </w:pPr>
            <w:r>
              <w:rPr>
                <w:rFonts w:eastAsia="Arial Unicode MS"/>
              </w:rPr>
              <w:t>0</w:t>
            </w:r>
          </w:p>
        </w:tc>
      </w:tr>
      <w:tr w:rsidR="00FA79D8" w14:paraId="7C409988" w14:textId="77777777" w:rsidTr="008F0C00">
        <w:trPr>
          <w:cnfStyle w:val="000000100000" w:firstRow="0" w:lastRow="0" w:firstColumn="0" w:lastColumn="0" w:oddVBand="0" w:evenVBand="0" w:oddHBand="1" w:evenHBand="0" w:firstRowFirstColumn="0" w:firstRowLastColumn="0" w:lastRowFirstColumn="0" w:lastRowLastColumn="0"/>
          <w:trHeight w:val="330"/>
        </w:trPr>
        <w:tc>
          <w:tcPr>
            <w:cnfStyle w:val="000010000000" w:firstRow="0" w:lastRow="0" w:firstColumn="0" w:lastColumn="0" w:oddVBand="1" w:evenVBand="0" w:oddHBand="0" w:evenHBand="0" w:firstRowFirstColumn="0" w:firstRowLastColumn="0" w:lastRowFirstColumn="0" w:lastRowLastColumn="0"/>
            <w:tcW w:w="4423" w:type="dxa"/>
          </w:tcPr>
          <w:p w14:paraId="7F00CCC3" w14:textId="0E59B922" w:rsidR="00FA79D8" w:rsidRDefault="00FA79D8" w:rsidP="00F543B8">
            <w:pPr>
              <w:rPr>
                <w:rFonts w:eastAsia="Arial Unicode MS"/>
              </w:rPr>
            </w:pPr>
            <w:r>
              <w:t>12 months and within 24 months</w:t>
            </w:r>
          </w:p>
        </w:tc>
        <w:tc>
          <w:tcPr>
            <w:tcW w:w="1709" w:type="dxa"/>
            <w:gridSpan w:val="2"/>
          </w:tcPr>
          <w:p w14:paraId="5CBC5232" w14:textId="77777777" w:rsidR="00FA79D8" w:rsidRDefault="00FA79D8" w:rsidP="002D5C10">
            <w:pPr>
              <w:jc w:val="center"/>
              <w:cnfStyle w:val="000000100000" w:firstRow="0" w:lastRow="0" w:firstColumn="0" w:lastColumn="0" w:oddVBand="0" w:evenVBand="0" w:oddHBand="1" w:evenHBand="0" w:firstRowFirstColumn="0" w:firstRowLastColumn="0" w:lastRowFirstColumn="0" w:lastRowLastColumn="0"/>
              <w:rPr>
                <w:rFonts w:eastAsia="Arial Unicode MS"/>
              </w:rPr>
            </w:pPr>
            <w:r>
              <w:rPr>
                <w:rFonts w:eastAsia="Arial Unicode MS"/>
              </w:rPr>
              <w:t>25</w:t>
            </w:r>
          </w:p>
        </w:tc>
        <w:tc>
          <w:tcPr>
            <w:cnfStyle w:val="000010000000" w:firstRow="0" w:lastRow="0" w:firstColumn="0" w:lastColumn="0" w:oddVBand="1" w:evenVBand="0" w:oddHBand="0" w:evenHBand="0" w:firstRowFirstColumn="0" w:firstRowLastColumn="0" w:lastRowFirstColumn="0" w:lastRowLastColumn="0"/>
            <w:tcW w:w="2095" w:type="dxa"/>
          </w:tcPr>
          <w:p w14:paraId="3FAA1DA8" w14:textId="77777777" w:rsidR="00FA79D8" w:rsidRDefault="00FA79D8" w:rsidP="002D5C10">
            <w:pPr>
              <w:jc w:val="center"/>
              <w:rPr>
                <w:rFonts w:eastAsia="Arial Unicode MS"/>
              </w:rPr>
            </w:pPr>
            <w:r>
              <w:rPr>
                <w:rFonts w:eastAsia="Arial Unicode MS"/>
              </w:rPr>
              <w:t>0</w:t>
            </w:r>
          </w:p>
        </w:tc>
      </w:tr>
      <w:tr w:rsidR="00FA79D8" w14:paraId="239F6D40" w14:textId="77777777" w:rsidTr="008F0C00">
        <w:trPr>
          <w:trHeight w:val="330"/>
        </w:trPr>
        <w:tc>
          <w:tcPr>
            <w:cnfStyle w:val="000010000000" w:firstRow="0" w:lastRow="0" w:firstColumn="0" w:lastColumn="0" w:oddVBand="1" w:evenVBand="0" w:oddHBand="0" w:evenHBand="0" w:firstRowFirstColumn="0" w:firstRowLastColumn="0" w:lastRowFirstColumn="0" w:lastRowLastColumn="0"/>
            <w:tcW w:w="4423" w:type="dxa"/>
          </w:tcPr>
          <w:p w14:paraId="554EFF00" w14:textId="231FFB36" w:rsidR="00FA79D8" w:rsidRDefault="00FA79D8" w:rsidP="00F543B8">
            <w:pPr>
              <w:rPr>
                <w:rFonts w:eastAsia="Arial Unicode MS"/>
              </w:rPr>
            </w:pPr>
            <w:r>
              <w:t>24 months and within 5 years</w:t>
            </w:r>
          </w:p>
        </w:tc>
        <w:tc>
          <w:tcPr>
            <w:tcW w:w="1709" w:type="dxa"/>
            <w:gridSpan w:val="2"/>
            <w:shd w:val="clear" w:color="auto" w:fill="D9E2F3" w:themeFill="accent1" w:themeFillTint="33"/>
          </w:tcPr>
          <w:p w14:paraId="529981EF" w14:textId="77777777" w:rsidR="00FA79D8" w:rsidRDefault="00FA79D8" w:rsidP="002D5C10">
            <w:pPr>
              <w:jc w:val="center"/>
              <w:cnfStyle w:val="000000000000" w:firstRow="0" w:lastRow="0" w:firstColumn="0" w:lastColumn="0" w:oddVBand="0" w:evenVBand="0" w:oddHBand="0" w:evenHBand="0" w:firstRowFirstColumn="0" w:firstRowLastColumn="0" w:lastRowFirstColumn="0" w:lastRowLastColumn="0"/>
              <w:rPr>
                <w:rFonts w:eastAsia="Arial Unicode MS"/>
              </w:rPr>
            </w:pPr>
            <w:r>
              <w:rPr>
                <w:rFonts w:eastAsia="Arial Unicode MS"/>
              </w:rPr>
              <w:t>50</w:t>
            </w:r>
          </w:p>
        </w:tc>
        <w:tc>
          <w:tcPr>
            <w:cnfStyle w:val="000010000000" w:firstRow="0" w:lastRow="0" w:firstColumn="0" w:lastColumn="0" w:oddVBand="1" w:evenVBand="0" w:oddHBand="0" w:evenHBand="0" w:firstRowFirstColumn="0" w:firstRowLastColumn="0" w:lastRowFirstColumn="0" w:lastRowLastColumn="0"/>
            <w:tcW w:w="2095" w:type="dxa"/>
          </w:tcPr>
          <w:p w14:paraId="661A8CFB" w14:textId="77777777" w:rsidR="00FA79D8" w:rsidRDefault="00FA79D8" w:rsidP="002D5C10">
            <w:pPr>
              <w:jc w:val="center"/>
              <w:rPr>
                <w:rFonts w:eastAsia="Arial Unicode MS"/>
              </w:rPr>
            </w:pPr>
            <w:r>
              <w:rPr>
                <w:rFonts w:eastAsia="Arial Unicode MS"/>
              </w:rPr>
              <w:t>0</w:t>
            </w:r>
          </w:p>
        </w:tc>
      </w:tr>
      <w:tr w:rsidR="00FA79D8" w14:paraId="5374F3BE" w14:textId="77777777" w:rsidTr="008F0C00">
        <w:trPr>
          <w:cnfStyle w:val="000000100000" w:firstRow="0" w:lastRow="0" w:firstColumn="0" w:lastColumn="0" w:oddVBand="0" w:evenVBand="0" w:oddHBand="1" w:evenHBand="0" w:firstRowFirstColumn="0" w:firstRowLastColumn="0" w:lastRowFirstColumn="0" w:lastRowLastColumn="0"/>
          <w:trHeight w:val="330"/>
        </w:trPr>
        <w:tc>
          <w:tcPr>
            <w:cnfStyle w:val="000010000000" w:firstRow="0" w:lastRow="0" w:firstColumn="0" w:lastColumn="0" w:oddVBand="1" w:evenVBand="0" w:oddHBand="0" w:evenHBand="0" w:firstRowFirstColumn="0" w:firstRowLastColumn="0" w:lastRowFirstColumn="0" w:lastRowLastColumn="0"/>
            <w:tcW w:w="4423" w:type="dxa"/>
          </w:tcPr>
          <w:p w14:paraId="362EF197" w14:textId="1CF50064" w:rsidR="00FA79D8" w:rsidRDefault="00FA79D8" w:rsidP="00F543B8">
            <w:pPr>
              <w:rPr>
                <w:rFonts w:eastAsia="Arial Unicode MS"/>
              </w:rPr>
            </w:pPr>
            <w:r>
              <w:t>5 years and within 10 years</w:t>
            </w:r>
          </w:p>
        </w:tc>
        <w:tc>
          <w:tcPr>
            <w:tcW w:w="1709" w:type="dxa"/>
            <w:gridSpan w:val="2"/>
          </w:tcPr>
          <w:p w14:paraId="41F6F051" w14:textId="77777777" w:rsidR="00FA79D8" w:rsidRDefault="00FA79D8" w:rsidP="002D5C10">
            <w:pPr>
              <w:jc w:val="center"/>
              <w:cnfStyle w:val="000000100000" w:firstRow="0" w:lastRow="0" w:firstColumn="0" w:lastColumn="0" w:oddVBand="0" w:evenVBand="0" w:oddHBand="1" w:evenHBand="0" w:firstRowFirstColumn="0" w:firstRowLastColumn="0" w:lastRowFirstColumn="0" w:lastRowLastColumn="0"/>
              <w:rPr>
                <w:rFonts w:eastAsia="Arial Unicode MS"/>
              </w:rPr>
            </w:pPr>
            <w:r>
              <w:rPr>
                <w:rFonts w:eastAsia="Arial Unicode MS"/>
              </w:rPr>
              <w:t>75</w:t>
            </w:r>
          </w:p>
        </w:tc>
        <w:tc>
          <w:tcPr>
            <w:cnfStyle w:val="000010000000" w:firstRow="0" w:lastRow="0" w:firstColumn="0" w:lastColumn="0" w:oddVBand="1" w:evenVBand="0" w:oddHBand="0" w:evenHBand="0" w:firstRowFirstColumn="0" w:firstRowLastColumn="0" w:lastRowFirstColumn="0" w:lastRowLastColumn="0"/>
            <w:tcW w:w="2095" w:type="dxa"/>
          </w:tcPr>
          <w:p w14:paraId="396E31B0" w14:textId="77777777" w:rsidR="00FA79D8" w:rsidRDefault="00FA79D8" w:rsidP="002D5C10">
            <w:pPr>
              <w:jc w:val="center"/>
              <w:rPr>
                <w:rFonts w:eastAsia="Arial Unicode MS"/>
              </w:rPr>
            </w:pPr>
            <w:r>
              <w:rPr>
                <w:rFonts w:eastAsia="Arial Unicode MS"/>
              </w:rPr>
              <w:t>0</w:t>
            </w:r>
          </w:p>
        </w:tc>
      </w:tr>
      <w:tr w:rsidR="00753F06" w14:paraId="29633871" w14:textId="77777777" w:rsidTr="008F0C00">
        <w:trPr>
          <w:trHeight w:val="330"/>
        </w:trPr>
        <w:tc>
          <w:tcPr>
            <w:cnfStyle w:val="000010000000" w:firstRow="0" w:lastRow="0" w:firstColumn="0" w:lastColumn="0" w:oddVBand="1" w:evenVBand="0" w:oddHBand="0" w:evenHBand="0" w:firstRowFirstColumn="0" w:firstRowLastColumn="0" w:lastRowFirstColumn="0" w:lastRowLastColumn="0"/>
            <w:tcW w:w="0" w:type="dxa"/>
          </w:tcPr>
          <w:p w14:paraId="48B7B2D0" w14:textId="7E1CB186" w:rsidR="00FA79D8" w:rsidRDefault="00FA79D8" w:rsidP="00F543B8">
            <w:pPr>
              <w:rPr>
                <w:rFonts w:eastAsia="Arial Unicode MS"/>
              </w:rPr>
            </w:pPr>
            <w:r>
              <w:t>10 years and above</w:t>
            </w:r>
          </w:p>
        </w:tc>
        <w:tc>
          <w:tcPr>
            <w:tcW w:w="0" w:type="dxa"/>
            <w:shd w:val="clear" w:color="auto" w:fill="D9E2F3" w:themeFill="accent1" w:themeFillTint="33"/>
          </w:tcPr>
          <w:p w14:paraId="4A53B9E4" w14:textId="069E7E72" w:rsidR="00FA79D8" w:rsidRDefault="00617B1A" w:rsidP="002D5C10">
            <w:pPr>
              <w:jc w:val="center"/>
              <w:cnfStyle w:val="000000000000" w:firstRow="0" w:lastRow="0" w:firstColumn="0" w:lastColumn="0" w:oddVBand="0" w:evenVBand="0" w:oddHBand="0" w:evenHBand="0" w:firstRowFirstColumn="0" w:firstRowLastColumn="0" w:lastRowFirstColumn="0" w:lastRowLastColumn="0"/>
              <w:rPr>
                <w:rFonts w:eastAsia="Arial Unicode MS"/>
              </w:rPr>
            </w:pPr>
            <w:r>
              <w:rPr>
                <w:rFonts w:eastAsia="Arial Unicode MS"/>
              </w:rPr>
              <w:t xml:space="preserve">        </w:t>
            </w:r>
            <w:r w:rsidR="00FA79D8">
              <w:rPr>
                <w:rFonts w:eastAsia="Arial Unicode MS"/>
              </w:rPr>
              <w:t>100</w:t>
            </w:r>
          </w:p>
        </w:tc>
        <w:tc>
          <w:tcPr>
            <w:cnfStyle w:val="000010000000" w:firstRow="0" w:lastRow="0" w:firstColumn="0" w:lastColumn="0" w:oddVBand="1" w:evenVBand="0" w:oddHBand="0" w:evenHBand="0" w:firstRowFirstColumn="0" w:firstRowLastColumn="0" w:lastRowFirstColumn="0" w:lastRowLastColumn="0"/>
            <w:tcW w:w="0" w:type="dxa"/>
            <w:gridSpan w:val="2"/>
          </w:tcPr>
          <w:p w14:paraId="090F41FD" w14:textId="386457EF" w:rsidR="00FA79D8" w:rsidRDefault="00753F06" w:rsidP="002D5C10">
            <w:pPr>
              <w:jc w:val="center"/>
              <w:rPr>
                <w:rFonts w:eastAsia="Arial Unicode MS"/>
              </w:rPr>
            </w:pPr>
            <w:r>
              <w:rPr>
                <w:rFonts w:eastAsia="Arial Unicode MS"/>
              </w:rPr>
              <w:t xml:space="preserve">        </w:t>
            </w:r>
            <w:r w:rsidR="00FA79D8">
              <w:rPr>
                <w:rFonts w:eastAsia="Arial Unicode MS"/>
              </w:rPr>
              <w:t>25</w:t>
            </w:r>
          </w:p>
        </w:tc>
      </w:tr>
    </w:tbl>
    <w:p w14:paraId="25ACF91E" w14:textId="7859F784" w:rsidR="002D2707" w:rsidRDefault="002D2707" w:rsidP="00F543B8">
      <w:pPr>
        <w:pStyle w:val="BodyTextIndent"/>
        <w:ind w:left="0"/>
        <w:rPr>
          <w:rFonts w:ascii="Arial" w:hAnsi="Arial"/>
          <w:b/>
          <w:bCs/>
        </w:rPr>
      </w:pPr>
    </w:p>
    <w:p w14:paraId="628EBA72" w14:textId="0A37B65D" w:rsidR="00FA79D8" w:rsidRDefault="00FA79D8" w:rsidP="001D3578">
      <w:pPr>
        <w:ind w:left="720" w:hanging="720"/>
        <w:jc w:val="both"/>
      </w:pPr>
      <w:r w:rsidRPr="00E777F3">
        <w:rPr>
          <w:bCs/>
        </w:rPr>
        <w:t>3.</w:t>
      </w:r>
      <w:r w:rsidR="0050158B">
        <w:rPr>
          <w:bCs/>
        </w:rPr>
        <w:t>5</w:t>
      </w:r>
      <w:r>
        <w:rPr>
          <w:b/>
          <w:bCs/>
        </w:rPr>
        <w:tab/>
      </w:r>
      <w:r w:rsidRPr="001454AE">
        <w:t xml:space="preserve">In considering the </w:t>
      </w:r>
      <w:r>
        <w:t xml:space="preserve">capital </w:t>
      </w:r>
      <w:r w:rsidRPr="001454AE">
        <w:t>programme for 20</w:t>
      </w:r>
      <w:r w:rsidR="002D2707">
        <w:t>2</w:t>
      </w:r>
      <w:r w:rsidR="00B639F7">
        <w:t>3</w:t>
      </w:r>
      <w:r w:rsidRPr="001454AE">
        <w:t>/</w:t>
      </w:r>
      <w:r w:rsidR="002D2707">
        <w:t>2</w:t>
      </w:r>
      <w:r w:rsidR="00B639F7">
        <w:t>4</w:t>
      </w:r>
      <w:r w:rsidRPr="001454AE">
        <w:t xml:space="preserve">, the anticipated future borrowing requirements </w:t>
      </w:r>
      <w:r>
        <w:t>we</w:t>
      </w:r>
      <w:r w:rsidRPr="001454AE">
        <w:t xml:space="preserve">re considered in the </w:t>
      </w:r>
      <w:r>
        <w:t>context of overall capital resources</w:t>
      </w:r>
      <w:r w:rsidRPr="001454AE">
        <w:t xml:space="preserve"> and </w:t>
      </w:r>
      <w:r>
        <w:t xml:space="preserve">the impact on the revenue </w:t>
      </w:r>
      <w:r w:rsidRPr="001454AE">
        <w:t>b</w:t>
      </w:r>
      <w:r>
        <w:t>udget</w:t>
      </w:r>
      <w:r w:rsidRPr="001454AE">
        <w:t xml:space="preserve">. </w:t>
      </w:r>
    </w:p>
    <w:p w14:paraId="18939244" w14:textId="0511C8C2" w:rsidR="00FA79D8" w:rsidRDefault="00FA79D8" w:rsidP="00FA79D8">
      <w:pPr>
        <w:ind w:left="720" w:hanging="720"/>
        <w:jc w:val="both"/>
      </w:pPr>
    </w:p>
    <w:tbl>
      <w:tblPr>
        <w:tblStyle w:val="GridTable4-Accent1"/>
        <w:tblW w:w="8680" w:type="dxa"/>
        <w:tblInd w:w="607" w:type="dxa"/>
        <w:tblLook w:val="04A0" w:firstRow="1" w:lastRow="0" w:firstColumn="1" w:lastColumn="0" w:noHBand="0" w:noVBand="1"/>
      </w:tblPr>
      <w:tblGrid>
        <w:gridCol w:w="2534"/>
        <w:gridCol w:w="1230"/>
        <w:gridCol w:w="1229"/>
        <w:gridCol w:w="1229"/>
        <w:gridCol w:w="1229"/>
        <w:gridCol w:w="1229"/>
      </w:tblGrid>
      <w:tr w:rsidR="00D13363" w:rsidRPr="003639FD" w14:paraId="4EA5F368" w14:textId="77777777" w:rsidTr="008F0C00">
        <w:trPr>
          <w:cnfStyle w:val="100000000000" w:firstRow="1" w:lastRow="0" w:firstColumn="0" w:lastColumn="0" w:oddVBand="0" w:evenVBand="0" w:oddHBand="0"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0" w:type="dxa"/>
            <w:noWrap/>
            <w:hideMark/>
          </w:tcPr>
          <w:p w14:paraId="5ECA4CBF" w14:textId="77777777" w:rsidR="00D13363" w:rsidRPr="0020545F" w:rsidRDefault="00D13363" w:rsidP="008F0C00">
            <w:pPr>
              <w:ind w:left="1440"/>
              <w:rPr>
                <w:rFonts w:ascii="Calibri" w:eastAsia="Times New Roman" w:hAnsi="Calibri" w:cs="Calibri"/>
                <w:color w:val="000000"/>
              </w:rPr>
            </w:pPr>
            <w:r w:rsidRPr="0020545F">
              <w:rPr>
                <w:rFonts w:ascii="Calibri" w:eastAsia="Times New Roman" w:hAnsi="Calibri" w:cs="Calibri"/>
                <w:color w:val="000000"/>
              </w:rPr>
              <w:t> </w:t>
            </w:r>
          </w:p>
        </w:tc>
        <w:tc>
          <w:tcPr>
            <w:tcW w:w="0" w:type="dxa"/>
          </w:tcPr>
          <w:p w14:paraId="17A7E0FC" w14:textId="0EC8089A" w:rsidR="00D13363" w:rsidRPr="0020545F" w:rsidRDefault="00D13363" w:rsidP="00D13363">
            <w:pPr>
              <w:jc w:val="center"/>
              <w:cnfStyle w:val="100000000000" w:firstRow="1" w:lastRow="0" w:firstColumn="0" w:lastColumn="0" w:oddVBand="0" w:evenVBand="0" w:oddHBand="0" w:evenHBand="0" w:firstRowFirstColumn="0" w:firstRowLastColumn="0" w:lastRowFirstColumn="0" w:lastRowLastColumn="0"/>
              <w:rPr>
                <w:b w:val="0"/>
                <w:bCs w:val="0"/>
              </w:rPr>
            </w:pPr>
            <w:r w:rsidRPr="0020545F">
              <w:rPr>
                <w:b w:val="0"/>
                <w:bCs w:val="0"/>
              </w:rPr>
              <w:t>31 March 202</w:t>
            </w:r>
            <w:r w:rsidR="00B639F7">
              <w:rPr>
                <w:b w:val="0"/>
                <w:bCs w:val="0"/>
              </w:rPr>
              <w:t>2</w:t>
            </w:r>
          </w:p>
          <w:p w14:paraId="11EF1D79" w14:textId="1E6EF419" w:rsidR="00D13363" w:rsidRPr="0020545F" w:rsidRDefault="00D13363" w:rsidP="00D13363">
            <w:pPr>
              <w:jc w:val="center"/>
              <w:cnfStyle w:val="100000000000" w:firstRow="1" w:lastRow="0" w:firstColumn="0" w:lastColumn="0" w:oddVBand="0" w:evenVBand="0" w:oddHBand="0" w:evenHBand="0" w:firstRowFirstColumn="0" w:firstRowLastColumn="0" w:lastRowFirstColumn="0" w:lastRowLastColumn="0"/>
              <w:rPr>
                <w:rFonts w:eastAsia="Times New Roman"/>
                <w:b w:val="0"/>
                <w:bCs w:val="0"/>
                <w:color w:val="000000"/>
              </w:rPr>
            </w:pPr>
            <w:r w:rsidRPr="0020545F">
              <w:rPr>
                <w:b w:val="0"/>
                <w:bCs w:val="0"/>
              </w:rPr>
              <w:t>£'m</w:t>
            </w:r>
          </w:p>
        </w:tc>
        <w:tc>
          <w:tcPr>
            <w:tcW w:w="0" w:type="dxa"/>
          </w:tcPr>
          <w:p w14:paraId="219720AD" w14:textId="093A8149" w:rsidR="00D13363" w:rsidRPr="0020545F" w:rsidRDefault="00D13363" w:rsidP="00D13363">
            <w:pPr>
              <w:jc w:val="center"/>
              <w:cnfStyle w:val="100000000000" w:firstRow="1" w:lastRow="0" w:firstColumn="0" w:lastColumn="0" w:oddVBand="0" w:evenVBand="0" w:oddHBand="0" w:evenHBand="0" w:firstRowFirstColumn="0" w:firstRowLastColumn="0" w:lastRowFirstColumn="0" w:lastRowLastColumn="0"/>
              <w:rPr>
                <w:b w:val="0"/>
                <w:bCs w:val="0"/>
              </w:rPr>
            </w:pPr>
            <w:r w:rsidRPr="0020545F">
              <w:rPr>
                <w:b w:val="0"/>
                <w:bCs w:val="0"/>
              </w:rPr>
              <w:t>31 March 202</w:t>
            </w:r>
            <w:r w:rsidR="00B639F7">
              <w:rPr>
                <w:b w:val="0"/>
                <w:bCs w:val="0"/>
              </w:rPr>
              <w:t>3</w:t>
            </w:r>
          </w:p>
          <w:p w14:paraId="1D4A5585" w14:textId="3DCD4C2A" w:rsidR="00D13363" w:rsidRPr="0020545F" w:rsidRDefault="00D13363" w:rsidP="00D13363">
            <w:pPr>
              <w:jc w:val="center"/>
              <w:cnfStyle w:val="100000000000" w:firstRow="1" w:lastRow="0" w:firstColumn="0" w:lastColumn="0" w:oddVBand="0" w:evenVBand="0" w:oddHBand="0" w:evenHBand="0" w:firstRowFirstColumn="0" w:firstRowLastColumn="0" w:lastRowFirstColumn="0" w:lastRowLastColumn="0"/>
              <w:rPr>
                <w:rFonts w:eastAsia="Times New Roman"/>
                <w:b w:val="0"/>
                <w:bCs w:val="0"/>
                <w:color w:val="000000"/>
              </w:rPr>
            </w:pPr>
            <w:r w:rsidRPr="0020545F">
              <w:rPr>
                <w:b w:val="0"/>
                <w:bCs w:val="0"/>
              </w:rPr>
              <w:t>£'m</w:t>
            </w:r>
          </w:p>
        </w:tc>
        <w:tc>
          <w:tcPr>
            <w:tcW w:w="0" w:type="dxa"/>
          </w:tcPr>
          <w:p w14:paraId="07EFAD65" w14:textId="272425E9" w:rsidR="00D13363" w:rsidRPr="0020545F" w:rsidRDefault="00D13363" w:rsidP="00D13363">
            <w:pPr>
              <w:jc w:val="center"/>
              <w:cnfStyle w:val="100000000000" w:firstRow="1" w:lastRow="0" w:firstColumn="0" w:lastColumn="0" w:oddVBand="0" w:evenVBand="0" w:oddHBand="0" w:evenHBand="0" w:firstRowFirstColumn="0" w:firstRowLastColumn="0" w:lastRowFirstColumn="0" w:lastRowLastColumn="0"/>
              <w:rPr>
                <w:b w:val="0"/>
                <w:bCs w:val="0"/>
              </w:rPr>
            </w:pPr>
            <w:r w:rsidRPr="0020545F">
              <w:rPr>
                <w:b w:val="0"/>
                <w:bCs w:val="0"/>
              </w:rPr>
              <w:t>31 March 202</w:t>
            </w:r>
            <w:r w:rsidR="00B639F7">
              <w:rPr>
                <w:b w:val="0"/>
                <w:bCs w:val="0"/>
              </w:rPr>
              <w:t>4</w:t>
            </w:r>
          </w:p>
          <w:p w14:paraId="47BF8963" w14:textId="10DBAFC5" w:rsidR="00D13363" w:rsidRPr="0020545F" w:rsidRDefault="00D13363" w:rsidP="00D13363">
            <w:pPr>
              <w:jc w:val="center"/>
              <w:cnfStyle w:val="100000000000" w:firstRow="1" w:lastRow="0" w:firstColumn="0" w:lastColumn="0" w:oddVBand="0" w:evenVBand="0" w:oddHBand="0" w:evenHBand="0" w:firstRowFirstColumn="0" w:firstRowLastColumn="0" w:lastRowFirstColumn="0" w:lastRowLastColumn="0"/>
              <w:rPr>
                <w:rFonts w:eastAsia="Times New Roman"/>
                <w:b w:val="0"/>
                <w:bCs w:val="0"/>
                <w:color w:val="000000"/>
              </w:rPr>
            </w:pPr>
            <w:r w:rsidRPr="0020545F">
              <w:rPr>
                <w:b w:val="0"/>
                <w:bCs w:val="0"/>
              </w:rPr>
              <w:t>£'m</w:t>
            </w:r>
          </w:p>
        </w:tc>
        <w:tc>
          <w:tcPr>
            <w:tcW w:w="0" w:type="dxa"/>
          </w:tcPr>
          <w:p w14:paraId="56F2D542" w14:textId="14E54E85" w:rsidR="00D13363" w:rsidRPr="0020545F" w:rsidRDefault="00D13363" w:rsidP="00D13363">
            <w:pPr>
              <w:jc w:val="center"/>
              <w:cnfStyle w:val="100000000000" w:firstRow="1" w:lastRow="0" w:firstColumn="0" w:lastColumn="0" w:oddVBand="0" w:evenVBand="0" w:oddHBand="0" w:evenHBand="0" w:firstRowFirstColumn="0" w:firstRowLastColumn="0" w:lastRowFirstColumn="0" w:lastRowLastColumn="0"/>
              <w:rPr>
                <w:b w:val="0"/>
                <w:bCs w:val="0"/>
              </w:rPr>
            </w:pPr>
            <w:r w:rsidRPr="0020545F">
              <w:rPr>
                <w:b w:val="0"/>
                <w:bCs w:val="0"/>
              </w:rPr>
              <w:t>31 March 202</w:t>
            </w:r>
            <w:r w:rsidR="00B639F7">
              <w:rPr>
                <w:b w:val="0"/>
                <w:bCs w:val="0"/>
              </w:rPr>
              <w:t>5</w:t>
            </w:r>
          </w:p>
          <w:p w14:paraId="1A066C0A" w14:textId="3CEC23C3" w:rsidR="00D13363" w:rsidRPr="0020545F" w:rsidRDefault="00D13363" w:rsidP="00D13363">
            <w:pPr>
              <w:jc w:val="center"/>
              <w:cnfStyle w:val="100000000000" w:firstRow="1" w:lastRow="0" w:firstColumn="0" w:lastColumn="0" w:oddVBand="0" w:evenVBand="0" w:oddHBand="0" w:evenHBand="0" w:firstRowFirstColumn="0" w:firstRowLastColumn="0" w:lastRowFirstColumn="0" w:lastRowLastColumn="0"/>
              <w:rPr>
                <w:rFonts w:eastAsia="Times New Roman"/>
                <w:b w:val="0"/>
                <w:bCs w:val="0"/>
                <w:color w:val="000000"/>
              </w:rPr>
            </w:pPr>
            <w:r w:rsidRPr="0020545F">
              <w:rPr>
                <w:b w:val="0"/>
                <w:bCs w:val="0"/>
              </w:rPr>
              <w:t>£'m</w:t>
            </w:r>
          </w:p>
        </w:tc>
        <w:tc>
          <w:tcPr>
            <w:tcW w:w="0" w:type="dxa"/>
          </w:tcPr>
          <w:p w14:paraId="4A24C110" w14:textId="33C82A31" w:rsidR="00D13363" w:rsidRPr="0020545F" w:rsidRDefault="00D13363" w:rsidP="00D13363">
            <w:pPr>
              <w:jc w:val="center"/>
              <w:cnfStyle w:val="100000000000" w:firstRow="1" w:lastRow="0" w:firstColumn="0" w:lastColumn="0" w:oddVBand="0" w:evenVBand="0" w:oddHBand="0" w:evenHBand="0" w:firstRowFirstColumn="0" w:firstRowLastColumn="0" w:lastRowFirstColumn="0" w:lastRowLastColumn="0"/>
              <w:rPr>
                <w:b w:val="0"/>
                <w:bCs w:val="0"/>
              </w:rPr>
            </w:pPr>
            <w:r w:rsidRPr="0020545F">
              <w:rPr>
                <w:b w:val="0"/>
                <w:bCs w:val="0"/>
              </w:rPr>
              <w:t>31</w:t>
            </w:r>
            <w:r w:rsidRPr="0020545F">
              <w:rPr>
                <w:b w:val="0"/>
                <w:bCs w:val="0"/>
                <w:vertAlign w:val="superscript"/>
              </w:rPr>
              <w:t xml:space="preserve"> </w:t>
            </w:r>
            <w:r w:rsidRPr="0020545F">
              <w:rPr>
                <w:b w:val="0"/>
                <w:bCs w:val="0"/>
              </w:rPr>
              <w:t>March 202</w:t>
            </w:r>
            <w:r w:rsidR="00B639F7">
              <w:rPr>
                <w:b w:val="0"/>
                <w:bCs w:val="0"/>
              </w:rPr>
              <w:t>6</w:t>
            </w:r>
            <w:r w:rsidRPr="0020545F">
              <w:rPr>
                <w:b w:val="0"/>
                <w:bCs w:val="0"/>
              </w:rPr>
              <w:t xml:space="preserve"> </w:t>
            </w:r>
          </w:p>
          <w:p w14:paraId="036B83A5" w14:textId="7F0F58C0" w:rsidR="00D13363" w:rsidRPr="0020545F" w:rsidRDefault="00D13363" w:rsidP="00D13363">
            <w:pPr>
              <w:jc w:val="center"/>
              <w:cnfStyle w:val="100000000000" w:firstRow="1" w:lastRow="0" w:firstColumn="0" w:lastColumn="0" w:oddVBand="0" w:evenVBand="0" w:oddHBand="0" w:evenHBand="0" w:firstRowFirstColumn="0" w:firstRowLastColumn="0" w:lastRowFirstColumn="0" w:lastRowLastColumn="0"/>
              <w:rPr>
                <w:rFonts w:eastAsia="Times New Roman"/>
                <w:b w:val="0"/>
                <w:bCs w:val="0"/>
                <w:color w:val="000000"/>
              </w:rPr>
            </w:pPr>
            <w:r w:rsidRPr="0020545F">
              <w:rPr>
                <w:b w:val="0"/>
                <w:bCs w:val="0"/>
              </w:rPr>
              <w:t>£'m</w:t>
            </w:r>
          </w:p>
        </w:tc>
      </w:tr>
      <w:tr w:rsidR="00B639F7" w:rsidRPr="003639FD" w14:paraId="0C24EDEE" w14:textId="77777777" w:rsidTr="008F0C00">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4472C4" w:themeColor="accent1"/>
              <w:bottom w:val="single" w:sz="4" w:space="0" w:color="4472C4" w:themeColor="accent1"/>
            </w:tcBorders>
            <w:hideMark/>
          </w:tcPr>
          <w:p w14:paraId="5C010F9C" w14:textId="77777777" w:rsidR="00B639F7" w:rsidRPr="0020545F" w:rsidRDefault="00B639F7" w:rsidP="00B639F7">
            <w:pPr>
              <w:rPr>
                <w:rFonts w:ascii="Calibri" w:eastAsia="Times New Roman" w:hAnsi="Calibri" w:cs="Calibri"/>
                <w:i/>
                <w:color w:val="000000"/>
              </w:rPr>
            </w:pPr>
            <w:r w:rsidRPr="0020545F">
              <w:rPr>
                <w:rFonts w:ascii="Calibri" w:eastAsia="Times New Roman" w:hAnsi="Calibri" w:cs="Calibri"/>
                <w:i/>
                <w:color w:val="000000"/>
              </w:rPr>
              <w:t>Capital Financing Requirements</w:t>
            </w:r>
          </w:p>
        </w:tc>
        <w:tc>
          <w:tcPr>
            <w:tcW w:w="0" w:type="dxa"/>
            <w:tcBorders>
              <w:top w:val="single" w:sz="4" w:space="0" w:color="4472C4" w:themeColor="accent1"/>
              <w:bottom w:val="single" w:sz="4" w:space="0" w:color="4472C4" w:themeColor="accent1"/>
            </w:tcBorders>
            <w:noWrap/>
            <w:hideMark/>
          </w:tcPr>
          <w:p w14:paraId="2FC0B501" w14:textId="58136D9A" w:rsidR="00B639F7" w:rsidRPr="0020545F" w:rsidRDefault="00B639F7" w:rsidP="00B639F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color w:val="000000"/>
              </w:rPr>
            </w:pPr>
            <w:r>
              <w:rPr>
                <w:rFonts w:ascii="Calibri" w:eastAsia="Times New Roman" w:hAnsi="Calibri" w:cs="Calibri"/>
                <w:i/>
                <w:color w:val="000000"/>
              </w:rPr>
              <w:t>76.2</w:t>
            </w:r>
          </w:p>
        </w:tc>
        <w:tc>
          <w:tcPr>
            <w:tcW w:w="0" w:type="dxa"/>
            <w:tcBorders>
              <w:top w:val="single" w:sz="4" w:space="0" w:color="4472C4" w:themeColor="accent1"/>
              <w:bottom w:val="single" w:sz="4" w:space="0" w:color="4472C4" w:themeColor="accent1"/>
            </w:tcBorders>
            <w:noWrap/>
            <w:hideMark/>
          </w:tcPr>
          <w:p w14:paraId="0EECBF55" w14:textId="0EA4D902" w:rsidR="00B639F7" w:rsidRPr="0020545F" w:rsidRDefault="00B639F7" w:rsidP="00B639F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color w:val="000000"/>
              </w:rPr>
            </w:pPr>
            <w:r>
              <w:rPr>
                <w:rFonts w:ascii="Calibri" w:eastAsia="Times New Roman" w:hAnsi="Calibri" w:cs="Calibri"/>
                <w:i/>
                <w:color w:val="000000"/>
              </w:rPr>
              <w:t>74.2</w:t>
            </w:r>
          </w:p>
        </w:tc>
        <w:tc>
          <w:tcPr>
            <w:tcW w:w="0" w:type="dxa"/>
            <w:tcBorders>
              <w:top w:val="single" w:sz="4" w:space="0" w:color="4472C4" w:themeColor="accent1"/>
              <w:bottom w:val="single" w:sz="4" w:space="0" w:color="4472C4" w:themeColor="accent1"/>
            </w:tcBorders>
            <w:noWrap/>
            <w:hideMark/>
          </w:tcPr>
          <w:p w14:paraId="2B74DCCC" w14:textId="3DBC40C5" w:rsidR="00B639F7" w:rsidRPr="0020545F" w:rsidRDefault="00B639F7" w:rsidP="00B639F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color w:val="000000"/>
              </w:rPr>
            </w:pPr>
            <w:r w:rsidRPr="0020545F">
              <w:rPr>
                <w:rFonts w:ascii="Calibri" w:eastAsia="Times New Roman" w:hAnsi="Calibri" w:cs="Calibri"/>
                <w:i/>
                <w:color w:val="000000"/>
              </w:rPr>
              <w:t>10</w:t>
            </w:r>
            <w:r>
              <w:rPr>
                <w:rFonts w:ascii="Calibri" w:eastAsia="Times New Roman" w:hAnsi="Calibri" w:cs="Calibri"/>
                <w:i/>
                <w:color w:val="000000"/>
              </w:rPr>
              <w:t>9</w:t>
            </w:r>
            <w:r w:rsidRPr="0020545F">
              <w:rPr>
                <w:rFonts w:ascii="Calibri" w:eastAsia="Times New Roman" w:hAnsi="Calibri" w:cs="Calibri"/>
                <w:i/>
                <w:color w:val="000000"/>
              </w:rPr>
              <w:t>.</w:t>
            </w:r>
            <w:r>
              <w:rPr>
                <w:rFonts w:ascii="Calibri" w:eastAsia="Times New Roman" w:hAnsi="Calibri" w:cs="Calibri"/>
                <w:i/>
                <w:color w:val="000000"/>
              </w:rPr>
              <w:t>2</w:t>
            </w:r>
          </w:p>
        </w:tc>
        <w:tc>
          <w:tcPr>
            <w:tcW w:w="0" w:type="dxa"/>
            <w:tcBorders>
              <w:top w:val="single" w:sz="4" w:space="0" w:color="4472C4" w:themeColor="accent1"/>
              <w:bottom w:val="single" w:sz="4" w:space="0" w:color="4472C4" w:themeColor="accent1"/>
            </w:tcBorders>
            <w:noWrap/>
            <w:hideMark/>
          </w:tcPr>
          <w:p w14:paraId="3D474B70" w14:textId="71ABF549" w:rsidR="00B639F7" w:rsidRPr="0020545F" w:rsidRDefault="00B639F7" w:rsidP="00B639F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color w:val="000000"/>
              </w:rPr>
            </w:pPr>
            <w:r w:rsidRPr="0020545F">
              <w:rPr>
                <w:rFonts w:ascii="Calibri" w:eastAsia="Times New Roman" w:hAnsi="Calibri" w:cs="Calibri"/>
                <w:i/>
                <w:color w:val="000000"/>
              </w:rPr>
              <w:t>1</w:t>
            </w:r>
            <w:r w:rsidR="00587077">
              <w:rPr>
                <w:rFonts w:ascii="Calibri" w:eastAsia="Times New Roman" w:hAnsi="Calibri" w:cs="Calibri"/>
                <w:i/>
                <w:color w:val="000000"/>
              </w:rPr>
              <w:t>35</w:t>
            </w:r>
            <w:r w:rsidRPr="0020545F">
              <w:rPr>
                <w:rFonts w:ascii="Calibri" w:eastAsia="Times New Roman" w:hAnsi="Calibri" w:cs="Calibri"/>
                <w:i/>
                <w:color w:val="000000"/>
              </w:rPr>
              <w:t>.</w:t>
            </w:r>
            <w:r w:rsidR="00587077">
              <w:rPr>
                <w:rFonts w:ascii="Calibri" w:eastAsia="Times New Roman" w:hAnsi="Calibri" w:cs="Calibri"/>
                <w:i/>
                <w:color w:val="000000"/>
              </w:rPr>
              <w:t>1</w:t>
            </w:r>
          </w:p>
        </w:tc>
        <w:tc>
          <w:tcPr>
            <w:tcW w:w="0" w:type="dxa"/>
            <w:tcBorders>
              <w:top w:val="single" w:sz="4" w:space="0" w:color="4472C4" w:themeColor="accent1"/>
              <w:bottom w:val="single" w:sz="4" w:space="0" w:color="4472C4" w:themeColor="accent1"/>
            </w:tcBorders>
            <w:noWrap/>
            <w:hideMark/>
          </w:tcPr>
          <w:p w14:paraId="7325CC8B" w14:textId="7194B086" w:rsidR="00B639F7" w:rsidRPr="0020545F" w:rsidRDefault="00B639F7" w:rsidP="00B639F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color w:val="000000"/>
              </w:rPr>
            </w:pPr>
            <w:r w:rsidRPr="0020545F">
              <w:rPr>
                <w:rFonts w:ascii="Calibri" w:eastAsia="Times New Roman" w:hAnsi="Calibri" w:cs="Calibri"/>
                <w:i/>
                <w:color w:val="000000"/>
              </w:rPr>
              <w:t>1</w:t>
            </w:r>
            <w:r w:rsidR="00587077">
              <w:rPr>
                <w:rFonts w:ascii="Calibri" w:eastAsia="Times New Roman" w:hAnsi="Calibri" w:cs="Calibri"/>
                <w:i/>
                <w:color w:val="000000"/>
              </w:rPr>
              <w:t>45</w:t>
            </w:r>
            <w:r w:rsidRPr="0020545F">
              <w:rPr>
                <w:rFonts w:ascii="Calibri" w:eastAsia="Times New Roman" w:hAnsi="Calibri" w:cs="Calibri"/>
                <w:i/>
                <w:color w:val="000000"/>
              </w:rPr>
              <w:t>.</w:t>
            </w:r>
            <w:r w:rsidR="00587077">
              <w:rPr>
                <w:rFonts w:ascii="Calibri" w:eastAsia="Times New Roman" w:hAnsi="Calibri" w:cs="Calibri"/>
                <w:i/>
                <w:color w:val="000000"/>
              </w:rPr>
              <w:t>2</w:t>
            </w:r>
          </w:p>
        </w:tc>
      </w:tr>
      <w:tr w:rsidR="00A267CA" w:rsidRPr="003639FD" w14:paraId="25D0F832" w14:textId="77777777" w:rsidTr="008F0C00">
        <w:trPr>
          <w:trHeight w:val="185"/>
        </w:trPr>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4472C4" w:themeColor="accent1"/>
            </w:tcBorders>
          </w:tcPr>
          <w:p w14:paraId="11764CC9" w14:textId="77777777" w:rsidR="00A267CA" w:rsidRPr="0020545F" w:rsidRDefault="00A267CA" w:rsidP="00B639F7">
            <w:pPr>
              <w:rPr>
                <w:rFonts w:ascii="Calibri" w:eastAsia="Times New Roman" w:hAnsi="Calibri" w:cs="Calibri"/>
                <w:i/>
                <w:color w:val="000000"/>
              </w:rPr>
            </w:pPr>
          </w:p>
        </w:tc>
        <w:tc>
          <w:tcPr>
            <w:tcW w:w="0" w:type="dxa"/>
            <w:tcBorders>
              <w:top w:val="single" w:sz="4" w:space="0" w:color="4472C4" w:themeColor="accent1"/>
            </w:tcBorders>
            <w:noWrap/>
          </w:tcPr>
          <w:p w14:paraId="026C7338" w14:textId="77777777" w:rsidR="00A267CA" w:rsidRDefault="00A267CA" w:rsidP="00B639F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color w:val="000000"/>
              </w:rPr>
            </w:pPr>
          </w:p>
        </w:tc>
        <w:tc>
          <w:tcPr>
            <w:tcW w:w="0" w:type="dxa"/>
            <w:tcBorders>
              <w:top w:val="single" w:sz="4" w:space="0" w:color="4472C4" w:themeColor="accent1"/>
            </w:tcBorders>
            <w:noWrap/>
          </w:tcPr>
          <w:p w14:paraId="158CE7AA" w14:textId="77777777" w:rsidR="00A267CA" w:rsidRDefault="00A267CA" w:rsidP="00B639F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color w:val="000000"/>
              </w:rPr>
            </w:pPr>
          </w:p>
        </w:tc>
        <w:tc>
          <w:tcPr>
            <w:tcW w:w="0" w:type="dxa"/>
            <w:tcBorders>
              <w:top w:val="single" w:sz="4" w:space="0" w:color="4472C4" w:themeColor="accent1"/>
            </w:tcBorders>
            <w:noWrap/>
          </w:tcPr>
          <w:p w14:paraId="59A020B4" w14:textId="77777777" w:rsidR="00A267CA" w:rsidRPr="0020545F" w:rsidRDefault="00A267CA" w:rsidP="00B639F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color w:val="000000"/>
              </w:rPr>
            </w:pPr>
          </w:p>
        </w:tc>
        <w:tc>
          <w:tcPr>
            <w:tcW w:w="0" w:type="dxa"/>
            <w:tcBorders>
              <w:top w:val="single" w:sz="4" w:space="0" w:color="4472C4" w:themeColor="accent1"/>
            </w:tcBorders>
            <w:noWrap/>
          </w:tcPr>
          <w:p w14:paraId="6F136FDB" w14:textId="77777777" w:rsidR="00A267CA" w:rsidRPr="0020545F" w:rsidRDefault="00A267CA" w:rsidP="00B639F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color w:val="000000"/>
              </w:rPr>
            </w:pPr>
          </w:p>
        </w:tc>
        <w:tc>
          <w:tcPr>
            <w:tcW w:w="0" w:type="dxa"/>
            <w:tcBorders>
              <w:top w:val="single" w:sz="4" w:space="0" w:color="4472C4" w:themeColor="accent1"/>
            </w:tcBorders>
            <w:noWrap/>
          </w:tcPr>
          <w:p w14:paraId="57B715ED" w14:textId="77777777" w:rsidR="00A267CA" w:rsidRPr="0020545F" w:rsidRDefault="00A267CA" w:rsidP="00B639F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color w:val="000000"/>
              </w:rPr>
            </w:pPr>
          </w:p>
        </w:tc>
      </w:tr>
      <w:tr w:rsidR="00B639F7" w:rsidRPr="003639FD" w14:paraId="6DE659FB" w14:textId="77777777" w:rsidTr="008F0C00">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0" w:type="dxa"/>
            <w:noWrap/>
            <w:hideMark/>
          </w:tcPr>
          <w:p w14:paraId="7FC879A1" w14:textId="77777777" w:rsidR="00B639F7" w:rsidRPr="0020545F" w:rsidRDefault="00B639F7" w:rsidP="00B639F7">
            <w:pPr>
              <w:rPr>
                <w:rFonts w:ascii="Calibri" w:eastAsia="Times New Roman" w:hAnsi="Calibri" w:cs="Calibri"/>
                <w:color w:val="000000"/>
              </w:rPr>
            </w:pPr>
            <w:r w:rsidRPr="0020545F">
              <w:rPr>
                <w:rFonts w:ascii="Calibri" w:eastAsia="Times New Roman" w:hAnsi="Calibri" w:cs="Calibri"/>
                <w:color w:val="000000"/>
              </w:rPr>
              <w:t xml:space="preserve">Existing borrowing </w:t>
            </w:r>
          </w:p>
        </w:tc>
        <w:tc>
          <w:tcPr>
            <w:tcW w:w="0" w:type="dxa"/>
            <w:noWrap/>
            <w:hideMark/>
          </w:tcPr>
          <w:p w14:paraId="48EF2234" w14:textId="04E77AB9" w:rsidR="00B639F7" w:rsidRPr="008F0C00" w:rsidRDefault="00B639F7" w:rsidP="00B639F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00000"/>
              </w:rPr>
            </w:pPr>
            <w:r w:rsidRPr="008F0C00">
              <w:rPr>
                <w:rFonts w:ascii="Calibri" w:eastAsia="Times New Roman" w:hAnsi="Calibri" w:cs="Calibri"/>
                <w:b/>
                <w:color w:val="000000"/>
              </w:rPr>
              <w:t>93.8</w:t>
            </w:r>
          </w:p>
        </w:tc>
        <w:tc>
          <w:tcPr>
            <w:tcW w:w="0" w:type="dxa"/>
            <w:noWrap/>
            <w:hideMark/>
          </w:tcPr>
          <w:p w14:paraId="19000387" w14:textId="3D4D55A5" w:rsidR="00B639F7" w:rsidRPr="008F0C00" w:rsidRDefault="00B639F7" w:rsidP="00B639F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00000"/>
              </w:rPr>
            </w:pPr>
            <w:r w:rsidRPr="008F0C00">
              <w:rPr>
                <w:rFonts w:ascii="Calibri" w:eastAsia="Times New Roman" w:hAnsi="Calibri" w:cs="Calibri"/>
                <w:b/>
                <w:color w:val="000000"/>
              </w:rPr>
              <w:t>101.3</w:t>
            </w:r>
          </w:p>
        </w:tc>
        <w:tc>
          <w:tcPr>
            <w:tcW w:w="0" w:type="dxa"/>
            <w:noWrap/>
            <w:hideMark/>
          </w:tcPr>
          <w:p w14:paraId="30941554" w14:textId="6485ED76" w:rsidR="00B639F7" w:rsidRPr="008F0C00" w:rsidRDefault="00B639F7" w:rsidP="00B639F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00000"/>
              </w:rPr>
            </w:pPr>
            <w:r w:rsidRPr="008F0C00">
              <w:rPr>
                <w:rFonts w:ascii="Calibri" w:eastAsia="Times New Roman" w:hAnsi="Calibri" w:cs="Calibri"/>
                <w:b/>
                <w:color w:val="000000"/>
              </w:rPr>
              <w:t>105.3</w:t>
            </w:r>
          </w:p>
        </w:tc>
        <w:tc>
          <w:tcPr>
            <w:tcW w:w="0" w:type="dxa"/>
            <w:noWrap/>
            <w:hideMark/>
          </w:tcPr>
          <w:p w14:paraId="3C0315B3" w14:textId="7BAA82A1" w:rsidR="00B639F7" w:rsidRPr="008F0C00" w:rsidRDefault="00B639F7" w:rsidP="00B639F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00000"/>
              </w:rPr>
            </w:pPr>
            <w:r w:rsidRPr="008F0C00">
              <w:rPr>
                <w:rFonts w:ascii="Calibri" w:eastAsia="Times New Roman" w:hAnsi="Calibri" w:cs="Calibri"/>
                <w:b/>
                <w:color w:val="000000"/>
              </w:rPr>
              <w:t>12</w:t>
            </w:r>
            <w:r w:rsidR="00587077" w:rsidRPr="008F0C00">
              <w:rPr>
                <w:rFonts w:ascii="Calibri" w:eastAsia="Times New Roman" w:hAnsi="Calibri" w:cs="Calibri"/>
                <w:b/>
                <w:color w:val="000000"/>
              </w:rPr>
              <w:t>7</w:t>
            </w:r>
            <w:r w:rsidRPr="008F0C00">
              <w:rPr>
                <w:rFonts w:ascii="Calibri" w:eastAsia="Times New Roman" w:hAnsi="Calibri" w:cs="Calibri"/>
                <w:b/>
                <w:color w:val="000000"/>
              </w:rPr>
              <w:t>.0</w:t>
            </w:r>
          </w:p>
        </w:tc>
        <w:tc>
          <w:tcPr>
            <w:tcW w:w="0" w:type="dxa"/>
            <w:noWrap/>
            <w:hideMark/>
          </w:tcPr>
          <w:p w14:paraId="5D645A3A" w14:textId="03539377" w:rsidR="00B639F7" w:rsidRPr="008F0C00" w:rsidRDefault="00B639F7" w:rsidP="00B639F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00000"/>
              </w:rPr>
            </w:pPr>
            <w:r w:rsidRPr="008F0C00">
              <w:rPr>
                <w:rFonts w:ascii="Calibri" w:eastAsia="Times New Roman" w:hAnsi="Calibri" w:cs="Calibri"/>
                <w:b/>
                <w:color w:val="000000"/>
              </w:rPr>
              <w:t>1</w:t>
            </w:r>
            <w:r w:rsidR="00587077" w:rsidRPr="008F0C00">
              <w:rPr>
                <w:rFonts w:ascii="Calibri" w:eastAsia="Times New Roman" w:hAnsi="Calibri" w:cs="Calibri"/>
                <w:b/>
                <w:color w:val="000000"/>
              </w:rPr>
              <w:t>54</w:t>
            </w:r>
            <w:r w:rsidRPr="008F0C00">
              <w:rPr>
                <w:rFonts w:ascii="Calibri" w:eastAsia="Times New Roman" w:hAnsi="Calibri" w:cs="Calibri"/>
                <w:b/>
                <w:color w:val="000000"/>
              </w:rPr>
              <w:t>.</w:t>
            </w:r>
            <w:r w:rsidR="00587077" w:rsidRPr="008F0C00">
              <w:rPr>
                <w:rFonts w:ascii="Calibri" w:eastAsia="Times New Roman" w:hAnsi="Calibri" w:cs="Calibri"/>
                <w:b/>
                <w:color w:val="000000"/>
              </w:rPr>
              <w:t>8</w:t>
            </w:r>
          </w:p>
        </w:tc>
      </w:tr>
      <w:tr w:rsidR="00B639F7" w:rsidRPr="003639FD" w14:paraId="72F41963" w14:textId="77777777" w:rsidTr="008F0C00">
        <w:trPr>
          <w:trHeight w:val="290"/>
        </w:trPr>
        <w:tc>
          <w:tcPr>
            <w:cnfStyle w:val="001000000000" w:firstRow="0" w:lastRow="0" w:firstColumn="1" w:lastColumn="0" w:oddVBand="0" w:evenVBand="0" w:oddHBand="0" w:evenHBand="0" w:firstRowFirstColumn="0" w:firstRowLastColumn="0" w:lastRowFirstColumn="0" w:lastRowLastColumn="0"/>
            <w:tcW w:w="0" w:type="dxa"/>
            <w:noWrap/>
            <w:hideMark/>
          </w:tcPr>
          <w:p w14:paraId="3916D624" w14:textId="77777777" w:rsidR="00B639F7" w:rsidRPr="0020545F" w:rsidRDefault="00B639F7" w:rsidP="00B639F7">
            <w:pPr>
              <w:rPr>
                <w:rFonts w:ascii="Calibri" w:eastAsia="Times New Roman" w:hAnsi="Calibri" w:cs="Calibri"/>
                <w:color w:val="000000"/>
              </w:rPr>
            </w:pPr>
            <w:r w:rsidRPr="0020545F">
              <w:rPr>
                <w:rFonts w:ascii="Calibri" w:eastAsia="Times New Roman" w:hAnsi="Calibri" w:cs="Calibri"/>
                <w:color w:val="000000"/>
              </w:rPr>
              <w:t>Repayments</w:t>
            </w:r>
          </w:p>
        </w:tc>
        <w:tc>
          <w:tcPr>
            <w:tcW w:w="0" w:type="dxa"/>
            <w:noWrap/>
            <w:hideMark/>
          </w:tcPr>
          <w:p w14:paraId="3C21E28B" w14:textId="42B9DB60" w:rsidR="00B639F7" w:rsidRPr="0020545F" w:rsidRDefault="00B639F7" w:rsidP="00B639F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20545F">
              <w:rPr>
                <w:rFonts w:ascii="Calibri" w:eastAsia="Times New Roman" w:hAnsi="Calibri" w:cs="Calibri"/>
                <w:color w:val="000000"/>
              </w:rPr>
              <w:t>0.0</w:t>
            </w:r>
          </w:p>
        </w:tc>
        <w:tc>
          <w:tcPr>
            <w:tcW w:w="0" w:type="dxa"/>
            <w:noWrap/>
            <w:hideMark/>
          </w:tcPr>
          <w:p w14:paraId="7AFCC290" w14:textId="7FB62FF5" w:rsidR="00B639F7" w:rsidRPr="0020545F" w:rsidRDefault="00B639F7" w:rsidP="00B639F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20545F">
              <w:rPr>
                <w:rFonts w:ascii="Calibri" w:eastAsia="Times New Roman" w:hAnsi="Calibri" w:cs="Calibri"/>
                <w:color w:val="000000"/>
              </w:rPr>
              <w:t>-3.0</w:t>
            </w:r>
          </w:p>
        </w:tc>
        <w:tc>
          <w:tcPr>
            <w:tcW w:w="0" w:type="dxa"/>
            <w:noWrap/>
            <w:hideMark/>
          </w:tcPr>
          <w:p w14:paraId="4DC106DF" w14:textId="353A22EF" w:rsidR="00B639F7" w:rsidRPr="0020545F" w:rsidRDefault="00B639F7" w:rsidP="00B639F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20545F">
              <w:rPr>
                <w:rFonts w:ascii="Calibri" w:eastAsia="Times New Roman" w:hAnsi="Calibri" w:cs="Calibri"/>
                <w:color w:val="000000"/>
              </w:rPr>
              <w:t>-0.8</w:t>
            </w:r>
          </w:p>
        </w:tc>
        <w:tc>
          <w:tcPr>
            <w:tcW w:w="0" w:type="dxa"/>
            <w:noWrap/>
            <w:hideMark/>
          </w:tcPr>
          <w:p w14:paraId="01317CE5" w14:textId="45A703C5" w:rsidR="00B639F7" w:rsidRPr="0020545F" w:rsidRDefault="00B639F7" w:rsidP="00B639F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20545F">
              <w:rPr>
                <w:rFonts w:ascii="Calibri" w:eastAsia="Times New Roman" w:hAnsi="Calibri" w:cs="Calibri"/>
                <w:color w:val="000000"/>
              </w:rPr>
              <w:t>-2.2</w:t>
            </w:r>
          </w:p>
        </w:tc>
        <w:tc>
          <w:tcPr>
            <w:tcW w:w="0" w:type="dxa"/>
            <w:noWrap/>
            <w:hideMark/>
          </w:tcPr>
          <w:p w14:paraId="62911589" w14:textId="3C740A63" w:rsidR="00B639F7" w:rsidRPr="0020545F" w:rsidRDefault="00B639F7" w:rsidP="00B639F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20545F">
              <w:rPr>
                <w:rFonts w:ascii="Calibri" w:eastAsia="Times New Roman" w:hAnsi="Calibri" w:cs="Calibri"/>
                <w:color w:val="000000"/>
              </w:rPr>
              <w:t>-2.</w:t>
            </w:r>
            <w:r w:rsidR="00587077">
              <w:rPr>
                <w:rFonts w:ascii="Calibri" w:eastAsia="Times New Roman" w:hAnsi="Calibri" w:cs="Calibri"/>
                <w:color w:val="000000"/>
              </w:rPr>
              <w:t>0</w:t>
            </w:r>
          </w:p>
        </w:tc>
      </w:tr>
      <w:tr w:rsidR="00B639F7" w:rsidRPr="003639FD" w14:paraId="5B54E288" w14:textId="77777777" w:rsidTr="008F0C00">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0" w:type="dxa"/>
            <w:noWrap/>
            <w:hideMark/>
          </w:tcPr>
          <w:p w14:paraId="197ED07F" w14:textId="77777777" w:rsidR="00B639F7" w:rsidRPr="0020545F" w:rsidRDefault="00B639F7" w:rsidP="00B639F7">
            <w:pPr>
              <w:rPr>
                <w:rFonts w:ascii="Calibri" w:eastAsia="Times New Roman" w:hAnsi="Calibri" w:cs="Calibri"/>
                <w:color w:val="000000"/>
              </w:rPr>
            </w:pPr>
            <w:r w:rsidRPr="0020545F">
              <w:rPr>
                <w:rFonts w:ascii="Calibri" w:eastAsia="Times New Roman" w:hAnsi="Calibri" w:cs="Calibri"/>
                <w:color w:val="000000"/>
              </w:rPr>
              <w:t xml:space="preserve">New Borrowing </w:t>
            </w:r>
          </w:p>
        </w:tc>
        <w:tc>
          <w:tcPr>
            <w:tcW w:w="0" w:type="dxa"/>
            <w:noWrap/>
            <w:hideMark/>
          </w:tcPr>
          <w:p w14:paraId="31115069" w14:textId="7EF319F1" w:rsidR="00B639F7" w:rsidRPr="0020545F" w:rsidRDefault="00B639F7" w:rsidP="00B639F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20545F">
              <w:rPr>
                <w:rFonts w:ascii="Calibri" w:eastAsia="Times New Roman" w:hAnsi="Calibri" w:cs="Calibri"/>
                <w:color w:val="000000"/>
              </w:rPr>
              <w:t>7.5</w:t>
            </w:r>
          </w:p>
        </w:tc>
        <w:tc>
          <w:tcPr>
            <w:tcW w:w="0" w:type="dxa"/>
            <w:noWrap/>
            <w:hideMark/>
          </w:tcPr>
          <w:p w14:paraId="00468F6F" w14:textId="70122FA5" w:rsidR="00B639F7" w:rsidRPr="0020545F" w:rsidRDefault="00B639F7" w:rsidP="00B639F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7.0</w:t>
            </w:r>
          </w:p>
        </w:tc>
        <w:tc>
          <w:tcPr>
            <w:tcW w:w="0" w:type="dxa"/>
            <w:noWrap/>
            <w:hideMark/>
          </w:tcPr>
          <w:p w14:paraId="2DF94D26" w14:textId="5BB18DEC" w:rsidR="00B639F7" w:rsidRPr="0020545F" w:rsidRDefault="00B639F7" w:rsidP="00B639F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20545F">
              <w:rPr>
                <w:rFonts w:ascii="Calibri" w:eastAsia="Times New Roman" w:hAnsi="Calibri" w:cs="Calibri"/>
                <w:color w:val="000000"/>
              </w:rPr>
              <w:t>2</w:t>
            </w:r>
            <w:r>
              <w:rPr>
                <w:rFonts w:ascii="Calibri" w:eastAsia="Times New Roman" w:hAnsi="Calibri" w:cs="Calibri"/>
                <w:color w:val="000000"/>
              </w:rPr>
              <w:t>2</w:t>
            </w:r>
            <w:r w:rsidRPr="0020545F">
              <w:rPr>
                <w:rFonts w:ascii="Calibri" w:eastAsia="Times New Roman" w:hAnsi="Calibri" w:cs="Calibri"/>
                <w:color w:val="000000"/>
              </w:rPr>
              <w:t>.</w:t>
            </w:r>
            <w:r>
              <w:rPr>
                <w:rFonts w:ascii="Calibri" w:eastAsia="Times New Roman" w:hAnsi="Calibri" w:cs="Calibri"/>
                <w:color w:val="000000"/>
              </w:rPr>
              <w:t>5</w:t>
            </w:r>
          </w:p>
        </w:tc>
        <w:tc>
          <w:tcPr>
            <w:tcW w:w="0" w:type="dxa"/>
            <w:noWrap/>
            <w:hideMark/>
          </w:tcPr>
          <w:p w14:paraId="50116AA5" w14:textId="5C47EB9C" w:rsidR="00B639F7" w:rsidRPr="0020545F" w:rsidRDefault="00587077" w:rsidP="00B639F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30</w:t>
            </w:r>
            <w:r w:rsidR="00B639F7" w:rsidRPr="0020545F">
              <w:rPr>
                <w:rFonts w:ascii="Calibri" w:eastAsia="Times New Roman" w:hAnsi="Calibri" w:cs="Calibri"/>
                <w:color w:val="000000"/>
              </w:rPr>
              <w:t>.0</w:t>
            </w:r>
          </w:p>
        </w:tc>
        <w:tc>
          <w:tcPr>
            <w:tcW w:w="0" w:type="dxa"/>
            <w:noWrap/>
            <w:hideMark/>
          </w:tcPr>
          <w:p w14:paraId="47351AE0" w14:textId="77777777" w:rsidR="00B639F7" w:rsidRPr="0020545F" w:rsidRDefault="00B639F7" w:rsidP="00B639F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20545F">
              <w:rPr>
                <w:rFonts w:ascii="Calibri" w:eastAsia="Times New Roman" w:hAnsi="Calibri" w:cs="Calibri"/>
                <w:color w:val="000000"/>
              </w:rPr>
              <w:t>15.0</w:t>
            </w:r>
          </w:p>
        </w:tc>
      </w:tr>
      <w:tr w:rsidR="00B639F7" w:rsidRPr="003639FD" w14:paraId="44034175" w14:textId="77777777" w:rsidTr="008F0C00">
        <w:trPr>
          <w:trHeight w:val="300"/>
        </w:trPr>
        <w:tc>
          <w:tcPr>
            <w:cnfStyle w:val="001000000000" w:firstRow="0" w:lastRow="0" w:firstColumn="1" w:lastColumn="0" w:oddVBand="0" w:evenVBand="0" w:oddHBand="0" w:evenHBand="0" w:firstRowFirstColumn="0" w:firstRowLastColumn="0" w:lastRowFirstColumn="0" w:lastRowLastColumn="0"/>
            <w:tcW w:w="0" w:type="dxa"/>
            <w:noWrap/>
            <w:hideMark/>
          </w:tcPr>
          <w:p w14:paraId="62836F78" w14:textId="77777777" w:rsidR="00B639F7" w:rsidRPr="0020545F" w:rsidRDefault="00B639F7" w:rsidP="00B639F7">
            <w:pPr>
              <w:rPr>
                <w:rFonts w:ascii="Calibri" w:eastAsia="Times New Roman" w:hAnsi="Calibri" w:cs="Calibri"/>
                <w:b w:val="0"/>
                <w:bCs w:val="0"/>
                <w:color w:val="000000"/>
              </w:rPr>
            </w:pPr>
            <w:r w:rsidRPr="0020545F">
              <w:rPr>
                <w:rFonts w:ascii="Calibri" w:eastAsia="Times New Roman" w:hAnsi="Calibri" w:cs="Calibri"/>
                <w:b w:val="0"/>
                <w:bCs w:val="0"/>
                <w:color w:val="000000"/>
              </w:rPr>
              <w:t>Net External borrowing</w:t>
            </w:r>
          </w:p>
        </w:tc>
        <w:tc>
          <w:tcPr>
            <w:tcW w:w="0" w:type="dxa"/>
            <w:noWrap/>
            <w:hideMark/>
          </w:tcPr>
          <w:p w14:paraId="6758364B" w14:textId="38D97C3A" w:rsidR="00B639F7" w:rsidRPr="0020545F" w:rsidRDefault="00B639F7" w:rsidP="00B639F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rPr>
            </w:pPr>
            <w:r w:rsidRPr="0020545F">
              <w:rPr>
                <w:rFonts w:ascii="Calibri" w:eastAsia="Times New Roman" w:hAnsi="Calibri" w:cs="Calibri"/>
                <w:b/>
                <w:bCs/>
                <w:color w:val="000000"/>
              </w:rPr>
              <w:t>101.3</w:t>
            </w:r>
          </w:p>
        </w:tc>
        <w:tc>
          <w:tcPr>
            <w:tcW w:w="0" w:type="dxa"/>
            <w:noWrap/>
            <w:hideMark/>
          </w:tcPr>
          <w:p w14:paraId="3E27C412" w14:textId="2DE620FC" w:rsidR="00B639F7" w:rsidRPr="0020545F" w:rsidRDefault="00B639F7" w:rsidP="00B639F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rPr>
            </w:pPr>
            <w:r w:rsidRPr="0020545F">
              <w:rPr>
                <w:rFonts w:ascii="Calibri" w:eastAsia="Times New Roman" w:hAnsi="Calibri" w:cs="Calibri"/>
                <w:b/>
                <w:bCs/>
                <w:color w:val="000000"/>
              </w:rPr>
              <w:t>10</w:t>
            </w:r>
            <w:r>
              <w:rPr>
                <w:rFonts w:ascii="Calibri" w:eastAsia="Times New Roman" w:hAnsi="Calibri" w:cs="Calibri"/>
                <w:b/>
                <w:bCs/>
                <w:color w:val="000000"/>
              </w:rPr>
              <w:t>5</w:t>
            </w:r>
            <w:r w:rsidRPr="0020545F">
              <w:rPr>
                <w:rFonts w:ascii="Calibri" w:eastAsia="Times New Roman" w:hAnsi="Calibri" w:cs="Calibri"/>
                <w:b/>
                <w:bCs/>
                <w:color w:val="000000"/>
              </w:rPr>
              <w:t>.</w:t>
            </w:r>
            <w:r>
              <w:rPr>
                <w:rFonts w:ascii="Calibri" w:eastAsia="Times New Roman" w:hAnsi="Calibri" w:cs="Calibri"/>
                <w:b/>
                <w:bCs/>
                <w:color w:val="000000"/>
              </w:rPr>
              <w:t>3</w:t>
            </w:r>
          </w:p>
        </w:tc>
        <w:tc>
          <w:tcPr>
            <w:tcW w:w="0" w:type="dxa"/>
            <w:noWrap/>
            <w:hideMark/>
          </w:tcPr>
          <w:p w14:paraId="1699C4CD" w14:textId="58177256" w:rsidR="00B639F7" w:rsidRPr="0020545F" w:rsidRDefault="00B639F7" w:rsidP="00B639F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rPr>
            </w:pPr>
            <w:r w:rsidRPr="0020545F">
              <w:rPr>
                <w:rFonts w:ascii="Calibri" w:eastAsia="Times New Roman" w:hAnsi="Calibri" w:cs="Calibri"/>
                <w:b/>
                <w:bCs/>
                <w:color w:val="000000"/>
              </w:rPr>
              <w:t>12</w:t>
            </w:r>
            <w:r w:rsidR="00587077">
              <w:rPr>
                <w:rFonts w:ascii="Calibri" w:eastAsia="Times New Roman" w:hAnsi="Calibri" w:cs="Calibri"/>
                <w:b/>
                <w:bCs/>
                <w:color w:val="000000"/>
              </w:rPr>
              <w:t>7</w:t>
            </w:r>
            <w:r w:rsidRPr="0020545F">
              <w:rPr>
                <w:rFonts w:ascii="Calibri" w:eastAsia="Times New Roman" w:hAnsi="Calibri" w:cs="Calibri"/>
                <w:b/>
                <w:bCs/>
                <w:color w:val="000000"/>
              </w:rPr>
              <w:t>.0</w:t>
            </w:r>
          </w:p>
        </w:tc>
        <w:tc>
          <w:tcPr>
            <w:tcW w:w="0" w:type="dxa"/>
            <w:noWrap/>
            <w:hideMark/>
          </w:tcPr>
          <w:p w14:paraId="241FB348" w14:textId="2A9DADE3" w:rsidR="00B639F7" w:rsidRPr="0020545F" w:rsidRDefault="00B639F7" w:rsidP="00B639F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rPr>
            </w:pPr>
            <w:r w:rsidRPr="0020545F">
              <w:rPr>
                <w:rFonts w:ascii="Calibri" w:eastAsia="Times New Roman" w:hAnsi="Calibri" w:cs="Calibri"/>
                <w:b/>
                <w:bCs/>
                <w:color w:val="000000"/>
              </w:rPr>
              <w:t>1</w:t>
            </w:r>
            <w:r w:rsidR="00587077">
              <w:rPr>
                <w:rFonts w:ascii="Calibri" w:eastAsia="Times New Roman" w:hAnsi="Calibri" w:cs="Calibri"/>
                <w:b/>
                <w:bCs/>
                <w:color w:val="000000"/>
              </w:rPr>
              <w:t>54</w:t>
            </w:r>
            <w:r w:rsidRPr="0020545F">
              <w:rPr>
                <w:rFonts w:ascii="Calibri" w:eastAsia="Times New Roman" w:hAnsi="Calibri" w:cs="Calibri"/>
                <w:b/>
                <w:bCs/>
                <w:color w:val="000000"/>
              </w:rPr>
              <w:t>.8</w:t>
            </w:r>
          </w:p>
        </w:tc>
        <w:tc>
          <w:tcPr>
            <w:tcW w:w="0" w:type="dxa"/>
            <w:noWrap/>
            <w:hideMark/>
          </w:tcPr>
          <w:p w14:paraId="6F2D9D95" w14:textId="1F35CDC1" w:rsidR="00B639F7" w:rsidRPr="0020545F" w:rsidRDefault="00B639F7" w:rsidP="00B639F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rPr>
            </w:pPr>
            <w:r w:rsidRPr="0020545F">
              <w:rPr>
                <w:rFonts w:ascii="Calibri" w:eastAsia="Times New Roman" w:hAnsi="Calibri" w:cs="Calibri"/>
                <w:b/>
                <w:bCs/>
                <w:color w:val="000000"/>
              </w:rPr>
              <w:t>1</w:t>
            </w:r>
            <w:r w:rsidR="00587077">
              <w:rPr>
                <w:rFonts w:ascii="Calibri" w:eastAsia="Times New Roman" w:hAnsi="Calibri" w:cs="Calibri"/>
                <w:b/>
                <w:bCs/>
                <w:color w:val="000000"/>
              </w:rPr>
              <w:t>6</w:t>
            </w:r>
            <w:r w:rsidRPr="0020545F">
              <w:rPr>
                <w:rFonts w:ascii="Calibri" w:eastAsia="Times New Roman" w:hAnsi="Calibri" w:cs="Calibri"/>
                <w:b/>
                <w:bCs/>
                <w:color w:val="000000"/>
              </w:rPr>
              <w:t>7.8</w:t>
            </w:r>
          </w:p>
        </w:tc>
      </w:tr>
    </w:tbl>
    <w:p w14:paraId="164F7D8A" w14:textId="77777777" w:rsidR="003639FD" w:rsidRDefault="003639FD" w:rsidP="00FA79D8">
      <w:pPr>
        <w:ind w:left="720" w:hanging="720"/>
        <w:jc w:val="both"/>
      </w:pPr>
    </w:p>
    <w:p w14:paraId="380BDDE9" w14:textId="3FEB40B7" w:rsidR="00DF133E" w:rsidRDefault="00DF133E" w:rsidP="00FA79D8">
      <w:pPr>
        <w:ind w:left="720" w:hanging="720"/>
        <w:jc w:val="both"/>
      </w:pPr>
    </w:p>
    <w:p w14:paraId="3F1E79BB" w14:textId="77777777" w:rsidR="00DF133E" w:rsidRDefault="00DF133E" w:rsidP="00FA79D8">
      <w:pPr>
        <w:ind w:left="720" w:hanging="720"/>
        <w:jc w:val="both"/>
      </w:pPr>
    </w:p>
    <w:p w14:paraId="5935B725" w14:textId="6827212D" w:rsidR="00FA79D8" w:rsidRPr="0020545F" w:rsidRDefault="0020545F" w:rsidP="0020545F">
      <w:pPr>
        <w:ind w:left="720" w:hanging="720"/>
        <w:jc w:val="both"/>
      </w:pPr>
      <w:r w:rsidRPr="0020545F">
        <w:t>3.6</w:t>
      </w:r>
      <w:r w:rsidRPr="0020545F">
        <w:tab/>
      </w:r>
      <w:r w:rsidR="00926C47" w:rsidRPr="0020545F">
        <w:t xml:space="preserve">The CFR is </w:t>
      </w:r>
      <w:r w:rsidR="00D162C6" w:rsidRPr="0020545F">
        <w:t xml:space="preserve">the </w:t>
      </w:r>
      <w:r w:rsidR="00BD5CA1" w:rsidRPr="0020545F">
        <w:t xml:space="preserve">historic </w:t>
      </w:r>
      <w:r w:rsidR="00D162C6" w:rsidRPr="0020545F">
        <w:t xml:space="preserve">underlying need to borrow for capital expenditure net of all capital receipts, grant, revenue contributions etc. </w:t>
      </w:r>
      <w:r w:rsidR="0032793E" w:rsidRPr="0020545F">
        <w:t>The CFR increases when unfinanced expenditure is incurred and reduces when provision is made to repay that debt</w:t>
      </w:r>
      <w:r w:rsidR="005437B0" w:rsidRPr="0020545F">
        <w:t xml:space="preserve"> (through MRP)</w:t>
      </w:r>
      <w:r w:rsidR="0032793E" w:rsidRPr="0020545F">
        <w:t>.</w:t>
      </w:r>
      <w:r w:rsidR="0094727B" w:rsidRPr="0020545F">
        <w:t xml:space="preserve"> </w:t>
      </w:r>
    </w:p>
    <w:p w14:paraId="7714B4FB" w14:textId="706FEE34" w:rsidR="00043FDE" w:rsidRDefault="00043FDE" w:rsidP="00BD5CA1">
      <w:pPr>
        <w:ind w:left="720"/>
        <w:jc w:val="both"/>
      </w:pPr>
    </w:p>
    <w:p w14:paraId="17C24507" w14:textId="425CE1FC" w:rsidR="00926C47" w:rsidRDefault="001275D2" w:rsidP="008F0C00">
      <w:pPr>
        <w:ind w:left="709"/>
        <w:jc w:val="both"/>
      </w:pPr>
      <w:r>
        <w:rPr>
          <w:noProof/>
        </w:rPr>
        <w:drawing>
          <wp:inline distT="0" distB="0" distL="0" distR="0" wp14:anchorId="00566388" wp14:editId="32A229F0">
            <wp:extent cx="5731510" cy="3081655"/>
            <wp:effectExtent l="0" t="0" r="2540" b="4445"/>
            <wp:docPr id="6" name="Chart 6">
              <a:extLst xmlns:a="http://schemas.openxmlformats.org/drawingml/2006/main">
                <a:ext uri="{FF2B5EF4-FFF2-40B4-BE49-F238E27FC236}">
                  <a16:creationId xmlns:a16="http://schemas.microsoft.com/office/drawing/2014/main" id="{BFE636A0-E502-462C-A8CE-C9D83D9FD29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BBC5AE2" w14:textId="474F1262" w:rsidR="00D5034A" w:rsidRDefault="00D5034A" w:rsidP="00ED039D">
      <w:pPr>
        <w:ind w:left="495"/>
      </w:pPr>
    </w:p>
    <w:p w14:paraId="6BE633C6" w14:textId="77777777" w:rsidR="00A83E68" w:rsidRDefault="00A83E68" w:rsidP="00ED039D">
      <w:pPr>
        <w:ind w:left="495"/>
      </w:pPr>
    </w:p>
    <w:p w14:paraId="3DF600D4" w14:textId="5D2572EE" w:rsidR="003A7DA9" w:rsidRDefault="003A7DA9" w:rsidP="003A7DA9"/>
    <w:p w14:paraId="37F3FBF5" w14:textId="5AB199B1" w:rsidR="00C93348" w:rsidRDefault="003A7DA9" w:rsidP="0020545F">
      <w:pPr>
        <w:pStyle w:val="ListParagraph"/>
        <w:numPr>
          <w:ilvl w:val="1"/>
          <w:numId w:val="2"/>
        </w:numPr>
        <w:ind w:left="709" w:hanging="709"/>
        <w:jc w:val="both"/>
      </w:pPr>
      <w:r>
        <w:t xml:space="preserve">External </w:t>
      </w:r>
      <w:r w:rsidR="00CC33A5">
        <w:t>b</w:t>
      </w:r>
      <w:r>
        <w:t>orrowing is used to finance capital expenditure in land and b</w:t>
      </w:r>
      <w:r w:rsidR="004C73E6">
        <w:t xml:space="preserve">uildings. </w:t>
      </w:r>
      <w:r w:rsidR="00C93348">
        <w:t xml:space="preserve"> </w:t>
      </w:r>
      <w:r w:rsidR="00234DE4">
        <w:t xml:space="preserve"> </w:t>
      </w:r>
      <w:r w:rsidR="00355A49">
        <w:t>Therefore,</w:t>
      </w:r>
      <w:r>
        <w:t xml:space="preserve"> </w:t>
      </w:r>
      <w:r w:rsidR="004C73E6">
        <w:t xml:space="preserve">although there is an increased liability on the balance sheet this is offset by </w:t>
      </w:r>
      <w:r w:rsidR="00A34796">
        <w:t xml:space="preserve">an </w:t>
      </w:r>
      <w:r w:rsidR="004C73E6">
        <w:t>increase in the value of assets to be utilised by the commissioner.</w:t>
      </w:r>
    </w:p>
    <w:p w14:paraId="1DB19476" w14:textId="77777777" w:rsidR="00C93348" w:rsidRDefault="00C93348" w:rsidP="00C93348">
      <w:pPr>
        <w:pStyle w:val="ListParagraph"/>
        <w:ind w:left="360"/>
        <w:jc w:val="both"/>
      </w:pPr>
    </w:p>
    <w:p w14:paraId="556B0DA3" w14:textId="077F3387" w:rsidR="002E2030" w:rsidRPr="00B86444" w:rsidRDefault="002E2030" w:rsidP="0020545F">
      <w:pPr>
        <w:pStyle w:val="ListParagraph"/>
        <w:numPr>
          <w:ilvl w:val="1"/>
          <w:numId w:val="2"/>
        </w:numPr>
        <w:ind w:left="709" w:hanging="709"/>
        <w:jc w:val="both"/>
      </w:pPr>
      <w:r w:rsidRPr="00B86444">
        <w:t xml:space="preserve">The PCC is currently in a ‘overborrowed position’. </w:t>
      </w:r>
      <w:r w:rsidR="00561106">
        <w:t xml:space="preserve"> </w:t>
      </w:r>
      <w:r w:rsidR="00DC2666" w:rsidRPr="00B86444">
        <w:t xml:space="preserve"> </w:t>
      </w:r>
      <w:r w:rsidRPr="00B86444">
        <w:t>There are a number of reasons why the PCC is in an ‘overborrowed</w:t>
      </w:r>
      <w:r w:rsidR="00DC2666" w:rsidRPr="00B86444">
        <w:t xml:space="preserve">’ </w:t>
      </w:r>
      <w:r w:rsidRPr="00B86444">
        <w:t>position</w:t>
      </w:r>
      <w:r w:rsidR="00DC2666" w:rsidRPr="00B86444">
        <w:t xml:space="preserve"> but among them is the meaningful levels of Minimum </w:t>
      </w:r>
      <w:r w:rsidR="0059627E">
        <w:t>R</w:t>
      </w:r>
      <w:r w:rsidR="00DC2666" w:rsidRPr="00B86444">
        <w:t xml:space="preserve">evenue </w:t>
      </w:r>
      <w:r w:rsidR="0059627E">
        <w:t>P</w:t>
      </w:r>
      <w:r w:rsidR="00DC2666" w:rsidRPr="00B86444">
        <w:t>rovision (MRP)</w:t>
      </w:r>
      <w:r w:rsidR="00561106">
        <w:t xml:space="preserve"> </w:t>
      </w:r>
      <w:r w:rsidR="00DC2666" w:rsidRPr="00B86444">
        <w:t xml:space="preserve">that have been applied on recent years. In </w:t>
      </w:r>
      <w:r w:rsidR="00DC2666" w:rsidRPr="00B86444">
        <w:lastRenderedPageBreak/>
        <w:t>essence this is a natural position to be in if new external debt is not required</w:t>
      </w:r>
      <w:r w:rsidR="00CF462D" w:rsidRPr="00B86444">
        <w:t xml:space="preserve"> (or it not cost effective to repay debt early- see 3.9)</w:t>
      </w:r>
      <w:r w:rsidR="00DC2666" w:rsidRPr="00B86444">
        <w:t>, as an annual provision is made to set aside cash in advance of loans maturing. If loans are not due for maturity for some time then all other things being equal the CFR will reduce as historic borrowing is depreciated through the MRP charge</w:t>
      </w:r>
      <w:r w:rsidR="00A34796">
        <w:t>.</w:t>
      </w:r>
    </w:p>
    <w:p w14:paraId="06F6FD5C" w14:textId="77777777" w:rsidR="002E2030" w:rsidRPr="00B86444" w:rsidRDefault="002E2030" w:rsidP="0020545F">
      <w:pPr>
        <w:pStyle w:val="ListParagraph"/>
        <w:ind w:left="709" w:hanging="709"/>
      </w:pPr>
    </w:p>
    <w:p w14:paraId="306C605F" w14:textId="242BC5BB" w:rsidR="00C93348" w:rsidRPr="00B86444" w:rsidRDefault="002E2030" w:rsidP="0020545F">
      <w:pPr>
        <w:pStyle w:val="ListParagraph"/>
        <w:numPr>
          <w:ilvl w:val="1"/>
          <w:numId w:val="2"/>
        </w:numPr>
        <w:ind w:left="709" w:hanging="709"/>
        <w:jc w:val="both"/>
      </w:pPr>
      <w:r w:rsidRPr="00B86444">
        <w:t>The table above shoes how the CFR is expected to change over the period of the MTFP. Although the level of actual debt exceeds the Capital Financing Requirement it is currently prohibitively expensive to prematurely repay existing debt. If there are cost-effective opportunities to avoid, or reduce, an overborrowed position they will be considered as long as they are in the best long-term financial interests of the PCC.</w:t>
      </w:r>
      <w:r w:rsidR="00DC2666" w:rsidRPr="00B86444">
        <w:t xml:space="preserve"> </w:t>
      </w:r>
    </w:p>
    <w:p w14:paraId="6FB1F44B" w14:textId="7B16B9CD" w:rsidR="00BD5CA1" w:rsidRDefault="00BD5CA1" w:rsidP="00D00204">
      <w:pPr>
        <w:pStyle w:val="BodyTextIndent"/>
        <w:ind w:left="0"/>
        <w:rPr>
          <w:rFonts w:ascii="Arial" w:hAnsi="Arial"/>
          <w:b/>
          <w:bCs/>
        </w:rPr>
      </w:pPr>
    </w:p>
    <w:p w14:paraId="6C6749A6" w14:textId="77777777" w:rsidR="00FA79D8" w:rsidRDefault="00FA79D8" w:rsidP="001D3578">
      <w:pPr>
        <w:jc w:val="both"/>
        <w:rPr>
          <w:b/>
        </w:rPr>
      </w:pPr>
      <w:r>
        <w:rPr>
          <w:b/>
        </w:rPr>
        <w:t>4.0</w:t>
      </w:r>
      <w:r>
        <w:rPr>
          <w:b/>
        </w:rPr>
        <w:tab/>
        <w:t xml:space="preserve">PROSPECTS FOR INTEREST </w:t>
      </w:r>
      <w:r w:rsidRPr="00BF46E7">
        <w:rPr>
          <w:b/>
        </w:rPr>
        <w:t>RATES</w:t>
      </w:r>
    </w:p>
    <w:p w14:paraId="70BF4A31" w14:textId="77777777" w:rsidR="00253052" w:rsidRPr="00561106" w:rsidRDefault="00253052" w:rsidP="001D3578">
      <w:pPr>
        <w:jc w:val="both"/>
      </w:pPr>
    </w:p>
    <w:p w14:paraId="0BAC9D6C" w14:textId="399AD485" w:rsidR="00B86444" w:rsidRPr="00561106" w:rsidRDefault="00B86444" w:rsidP="00C22B55">
      <w:pPr>
        <w:pStyle w:val="BodyTextIndent"/>
        <w:numPr>
          <w:ilvl w:val="1"/>
          <w:numId w:val="7"/>
        </w:numPr>
        <w:spacing w:after="0"/>
        <w:jc w:val="both"/>
        <w:rPr>
          <w:rFonts w:ascii="Arial" w:hAnsi="Arial"/>
          <w:bCs/>
        </w:rPr>
      </w:pPr>
      <w:r w:rsidRPr="00561106">
        <w:rPr>
          <w:rFonts w:ascii="Arial" w:hAnsi="Arial"/>
          <w:bCs/>
        </w:rPr>
        <w:t xml:space="preserve">The prospect for interest rates is important for the PCC to understand as it can </w:t>
      </w:r>
      <w:r w:rsidR="00561106">
        <w:rPr>
          <w:rFonts w:ascii="Arial" w:hAnsi="Arial"/>
          <w:bCs/>
        </w:rPr>
        <w:t>a</w:t>
      </w:r>
      <w:r w:rsidRPr="00561106">
        <w:rPr>
          <w:rFonts w:ascii="Arial" w:hAnsi="Arial"/>
          <w:bCs/>
        </w:rPr>
        <w:t>ffect the interest rate earned on investments and the rate at which it can borrow money for capital purposes.</w:t>
      </w:r>
    </w:p>
    <w:p w14:paraId="79AE4D4A" w14:textId="77777777" w:rsidR="00B86444" w:rsidRPr="00561106" w:rsidRDefault="00B86444" w:rsidP="00B86444">
      <w:pPr>
        <w:pStyle w:val="BodyTextIndent"/>
        <w:spacing w:after="0"/>
        <w:ind w:left="567" w:hanging="567"/>
        <w:jc w:val="both"/>
        <w:rPr>
          <w:rFonts w:ascii="Arial" w:hAnsi="Arial"/>
          <w:bCs/>
        </w:rPr>
      </w:pPr>
    </w:p>
    <w:p w14:paraId="11270D26" w14:textId="4F0DE1FA" w:rsidR="00734400" w:rsidRDefault="00FA79D8" w:rsidP="00FD39C9">
      <w:pPr>
        <w:pStyle w:val="BodyTextIndent"/>
        <w:numPr>
          <w:ilvl w:val="1"/>
          <w:numId w:val="7"/>
        </w:numPr>
        <w:spacing w:after="0"/>
        <w:jc w:val="both"/>
        <w:rPr>
          <w:rFonts w:ascii="Arial" w:hAnsi="Arial"/>
          <w:bCs/>
        </w:rPr>
      </w:pPr>
      <w:r w:rsidRPr="00561106">
        <w:rPr>
          <w:rFonts w:ascii="Arial" w:hAnsi="Arial"/>
          <w:bCs/>
        </w:rPr>
        <w:t>The C</w:t>
      </w:r>
      <w:r w:rsidR="00940B37" w:rsidRPr="00561106">
        <w:rPr>
          <w:rFonts w:ascii="Arial" w:hAnsi="Arial"/>
          <w:bCs/>
        </w:rPr>
        <w:t>ommissioner</w:t>
      </w:r>
      <w:r w:rsidRPr="00561106">
        <w:rPr>
          <w:rFonts w:ascii="Arial" w:hAnsi="Arial"/>
          <w:bCs/>
        </w:rPr>
        <w:t xml:space="preserve"> continues to use </w:t>
      </w:r>
      <w:r w:rsidR="00847697" w:rsidRPr="00561106">
        <w:rPr>
          <w:rFonts w:ascii="Arial" w:hAnsi="Arial"/>
          <w:bCs/>
        </w:rPr>
        <w:t>Link</w:t>
      </w:r>
      <w:r w:rsidRPr="00561106">
        <w:rPr>
          <w:rFonts w:ascii="Arial" w:hAnsi="Arial"/>
          <w:bCs/>
        </w:rPr>
        <w:t xml:space="preserve"> </w:t>
      </w:r>
      <w:r w:rsidR="00DB43B9" w:rsidRPr="00561106">
        <w:rPr>
          <w:rFonts w:ascii="Arial" w:hAnsi="Arial"/>
          <w:bCs/>
        </w:rPr>
        <w:t>Asset</w:t>
      </w:r>
      <w:r w:rsidRPr="00561106">
        <w:rPr>
          <w:rFonts w:ascii="Arial" w:hAnsi="Arial"/>
          <w:bCs/>
        </w:rPr>
        <w:t xml:space="preserve"> Services</w:t>
      </w:r>
      <w:r w:rsidR="00E826F2" w:rsidRPr="00561106">
        <w:rPr>
          <w:rFonts w:ascii="Arial" w:hAnsi="Arial"/>
          <w:bCs/>
        </w:rPr>
        <w:t xml:space="preserve"> (L</w:t>
      </w:r>
      <w:r w:rsidR="00BD32A8">
        <w:rPr>
          <w:rFonts w:ascii="Arial" w:hAnsi="Arial"/>
          <w:bCs/>
        </w:rPr>
        <w:t>ink</w:t>
      </w:r>
      <w:r w:rsidR="00E826F2" w:rsidRPr="00561106">
        <w:rPr>
          <w:rFonts w:ascii="Arial" w:hAnsi="Arial"/>
          <w:bCs/>
        </w:rPr>
        <w:t>)</w:t>
      </w:r>
      <w:r w:rsidRPr="00561106">
        <w:rPr>
          <w:rFonts w:ascii="Arial" w:hAnsi="Arial"/>
          <w:bCs/>
        </w:rPr>
        <w:t xml:space="preserve"> as a treasury advisor and has made use of their services in formulating a view on interest rates.  </w:t>
      </w:r>
      <w:r w:rsidR="00BB2ED1" w:rsidRPr="00561106">
        <w:rPr>
          <w:rFonts w:ascii="Arial" w:hAnsi="Arial"/>
          <w:bCs/>
        </w:rPr>
        <w:t>L</w:t>
      </w:r>
      <w:r w:rsidR="00BD32A8">
        <w:rPr>
          <w:rFonts w:ascii="Arial" w:hAnsi="Arial"/>
          <w:bCs/>
        </w:rPr>
        <w:t>ink</w:t>
      </w:r>
      <w:r w:rsidRPr="00561106">
        <w:rPr>
          <w:rFonts w:ascii="Arial" w:hAnsi="Arial"/>
          <w:bCs/>
        </w:rPr>
        <w:t xml:space="preserve"> has in turn drawn upon the work of a number of City economic forecasters.  </w:t>
      </w:r>
    </w:p>
    <w:p w14:paraId="22301E6F" w14:textId="77777777" w:rsidR="00734400" w:rsidRDefault="00734400" w:rsidP="00734400">
      <w:pPr>
        <w:pStyle w:val="ListParagraph"/>
      </w:pPr>
    </w:p>
    <w:p w14:paraId="5AC2DD49" w14:textId="4510F83C" w:rsidR="00F71E7B" w:rsidRPr="00BD32A8" w:rsidRDefault="00F71E7B" w:rsidP="00FD39C9">
      <w:pPr>
        <w:pStyle w:val="BodyTextIndent"/>
        <w:numPr>
          <w:ilvl w:val="1"/>
          <w:numId w:val="7"/>
        </w:numPr>
        <w:spacing w:after="0"/>
        <w:jc w:val="both"/>
        <w:rPr>
          <w:rFonts w:ascii="Arial" w:hAnsi="Arial"/>
          <w:bCs/>
        </w:rPr>
      </w:pPr>
      <w:r w:rsidRPr="00734400">
        <w:rPr>
          <w:rFonts w:ascii="Arial" w:hAnsi="Arial" w:cs="Arial"/>
        </w:rPr>
        <w:t>LINK group have provided the following interest rate forecasts</w:t>
      </w:r>
      <w:r w:rsidR="00DA26B4">
        <w:rPr>
          <w:rFonts w:ascii="Arial" w:hAnsi="Arial" w:cs="Arial"/>
        </w:rPr>
        <w:t xml:space="preserve"> </w:t>
      </w:r>
      <w:r w:rsidR="00C7016A">
        <w:rPr>
          <w:rFonts w:ascii="Arial" w:hAnsi="Arial" w:cs="Arial"/>
        </w:rPr>
        <w:t xml:space="preserve">on </w:t>
      </w:r>
      <w:r w:rsidR="00C7016A" w:rsidRPr="00C7016A">
        <w:rPr>
          <w:rFonts w:ascii="Arial" w:hAnsi="Arial" w:cs="Arial"/>
        </w:rPr>
        <w:t>7 February 2023</w:t>
      </w:r>
      <w:r>
        <w:t>:</w:t>
      </w:r>
    </w:p>
    <w:p w14:paraId="69CA6B33" w14:textId="77777777" w:rsidR="00C7016A" w:rsidRDefault="00C7016A" w:rsidP="00BD32A8">
      <w:pPr>
        <w:rPr>
          <w:bCs/>
        </w:rPr>
      </w:pPr>
    </w:p>
    <w:p w14:paraId="4DE47099" w14:textId="4FCF966B" w:rsidR="00BD32A8" w:rsidRPr="00C7016A" w:rsidRDefault="00C7016A" w:rsidP="008F0C00">
      <w:pPr>
        <w:rPr>
          <w:bCs/>
        </w:rPr>
      </w:pPr>
      <w:r>
        <w:rPr>
          <w:noProof/>
        </w:rPr>
        <w:drawing>
          <wp:inline distT="0" distB="0" distL="0" distR="0" wp14:anchorId="1E90137D" wp14:editId="34B3580C">
            <wp:extent cx="6459220" cy="1479550"/>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477776" cy="1483800"/>
                    </a:xfrm>
                    <a:prstGeom prst="rect">
                      <a:avLst/>
                    </a:prstGeom>
                    <a:noFill/>
                    <a:ln>
                      <a:noFill/>
                    </a:ln>
                  </pic:spPr>
                </pic:pic>
              </a:graphicData>
            </a:graphic>
          </wp:inline>
        </w:drawing>
      </w:r>
    </w:p>
    <w:p w14:paraId="2647B52F" w14:textId="27FE8EFD" w:rsidR="00BD32A8" w:rsidRDefault="00BD32A8" w:rsidP="00BD32A8">
      <w:pPr>
        <w:pStyle w:val="ListParagraph"/>
        <w:rPr>
          <w:bCs/>
        </w:rPr>
      </w:pPr>
    </w:p>
    <w:p w14:paraId="6BC03B40" w14:textId="77777777" w:rsidR="00BD32A8" w:rsidRDefault="00BD32A8" w:rsidP="00BD32A8">
      <w:pPr>
        <w:pStyle w:val="ListParagraph"/>
        <w:rPr>
          <w:bCs/>
        </w:rPr>
      </w:pPr>
    </w:p>
    <w:p w14:paraId="3D45FC11" w14:textId="51B3DFD5" w:rsidR="00BD32A8" w:rsidRDefault="00BD32A8" w:rsidP="00BD32A8">
      <w:pPr>
        <w:pStyle w:val="BodyTextIndent"/>
        <w:numPr>
          <w:ilvl w:val="1"/>
          <w:numId w:val="7"/>
        </w:numPr>
        <w:jc w:val="both"/>
        <w:rPr>
          <w:rFonts w:ascii="Arial" w:hAnsi="Arial"/>
          <w:bCs/>
        </w:rPr>
      </w:pPr>
      <w:r>
        <w:rPr>
          <w:rFonts w:ascii="Arial" w:hAnsi="Arial"/>
          <w:bCs/>
        </w:rPr>
        <w:t>Additional Notes from Link to accompany current forecasts:</w:t>
      </w:r>
    </w:p>
    <w:p w14:paraId="796BCC59" w14:textId="22233A10" w:rsidR="00C7016A" w:rsidRDefault="00C7016A" w:rsidP="00BD32A8">
      <w:pPr>
        <w:pStyle w:val="BodyTextIndent"/>
        <w:ind w:left="720"/>
        <w:jc w:val="both"/>
        <w:rPr>
          <w:rFonts w:ascii="Arial" w:hAnsi="Arial"/>
          <w:bCs/>
        </w:rPr>
      </w:pPr>
      <w:r w:rsidRPr="00C7016A">
        <w:rPr>
          <w:rFonts w:ascii="Arial" w:hAnsi="Arial"/>
          <w:bCs/>
        </w:rPr>
        <w:t>Our central forecast for interest rates was previously updated on 19 December and reflected a view that the M</w:t>
      </w:r>
      <w:r w:rsidR="00023FBD">
        <w:rPr>
          <w:rFonts w:ascii="Arial" w:hAnsi="Arial"/>
          <w:bCs/>
        </w:rPr>
        <w:t xml:space="preserve">onetary </w:t>
      </w:r>
      <w:r w:rsidRPr="00C7016A">
        <w:rPr>
          <w:rFonts w:ascii="Arial" w:hAnsi="Arial"/>
          <w:bCs/>
        </w:rPr>
        <w:t>P</w:t>
      </w:r>
      <w:r w:rsidR="00023FBD">
        <w:rPr>
          <w:rFonts w:ascii="Arial" w:hAnsi="Arial"/>
          <w:bCs/>
        </w:rPr>
        <w:t xml:space="preserve">olicy </w:t>
      </w:r>
      <w:r w:rsidRPr="00C7016A">
        <w:rPr>
          <w:rFonts w:ascii="Arial" w:hAnsi="Arial"/>
          <w:bCs/>
        </w:rPr>
        <w:t>C</w:t>
      </w:r>
      <w:r w:rsidR="00023FBD">
        <w:rPr>
          <w:rFonts w:ascii="Arial" w:hAnsi="Arial"/>
          <w:bCs/>
        </w:rPr>
        <w:t>ommittee (MPC)</w:t>
      </w:r>
      <w:r w:rsidRPr="00C7016A">
        <w:rPr>
          <w:rFonts w:ascii="Arial" w:hAnsi="Arial"/>
          <w:bCs/>
        </w:rPr>
        <w:t xml:space="preserve"> would be keen to further demonstrate its anti-inflation credentials by delivering a succession of rate increases.  This has happened but the Government’s continued policy of emphasising fiscal rectitude will probably mean Bank Rate will not need to increase to further than 4.5%.</w:t>
      </w:r>
    </w:p>
    <w:p w14:paraId="1D556CC8" w14:textId="489BB781" w:rsidR="00BD32A8" w:rsidRPr="00BD32A8" w:rsidRDefault="00C7016A" w:rsidP="00BD32A8">
      <w:pPr>
        <w:pStyle w:val="BodyTextIndent"/>
        <w:ind w:left="720"/>
        <w:jc w:val="both"/>
        <w:rPr>
          <w:rFonts w:ascii="Arial" w:hAnsi="Arial"/>
          <w:bCs/>
        </w:rPr>
      </w:pPr>
      <w:r w:rsidRPr="00C7016A">
        <w:rPr>
          <w:rFonts w:ascii="Arial" w:hAnsi="Arial"/>
          <w:bCs/>
        </w:rPr>
        <w:t>Further down the road, we anticipate the Bank of England will be keen to loosen monetary policy when the worst of the inflationary pressures are behind us – but that timing will be one of fine judgment: cut too soon, and inflationary pressures may well build up further; cut too late and any downturn or recession may be prolonged.  Our best judgment is that there will be scope for an early Christmas present for households with a December rate cut priced in, ahead of further reductions in 2024 and 2025</w:t>
      </w:r>
      <w:r>
        <w:rPr>
          <w:rFonts w:ascii="Arial" w:hAnsi="Arial"/>
          <w:bCs/>
        </w:rPr>
        <w:t>.</w:t>
      </w:r>
    </w:p>
    <w:p w14:paraId="4A923AE4" w14:textId="528AF9E2" w:rsidR="00C7016A" w:rsidRDefault="00C7016A" w:rsidP="00BD32A8">
      <w:pPr>
        <w:pStyle w:val="BodyTextIndent"/>
        <w:ind w:left="720"/>
        <w:jc w:val="both"/>
        <w:rPr>
          <w:rFonts w:ascii="Arial" w:hAnsi="Arial"/>
          <w:bCs/>
        </w:rPr>
      </w:pPr>
      <w:r w:rsidRPr="00C7016A">
        <w:rPr>
          <w:rFonts w:ascii="Arial" w:hAnsi="Arial"/>
          <w:bCs/>
        </w:rPr>
        <w:t xml:space="preserve">The CPI measure of inflation looks to have peaked at 11.1% in Q4 2022 (currently 10.1%).  Despite the cost-of-living squeeze that is still taking shape, the Bank will want </w:t>
      </w:r>
      <w:r w:rsidRPr="00C7016A">
        <w:rPr>
          <w:rFonts w:ascii="Arial" w:hAnsi="Arial"/>
          <w:bCs/>
        </w:rPr>
        <w:lastRenderedPageBreak/>
        <w:t>to see evidence that wages are not spiralling upwards in what is evidently a very tight labour market</w:t>
      </w:r>
      <w:r>
        <w:rPr>
          <w:rFonts w:ascii="Arial" w:hAnsi="Arial"/>
          <w:bCs/>
        </w:rPr>
        <w:t>.</w:t>
      </w:r>
    </w:p>
    <w:p w14:paraId="001581EB" w14:textId="57C7FC91" w:rsidR="00BD32A8" w:rsidRPr="00BD32A8" w:rsidRDefault="00C7016A" w:rsidP="00BD32A8">
      <w:pPr>
        <w:pStyle w:val="BodyTextIndent"/>
        <w:ind w:left="720"/>
        <w:jc w:val="both"/>
        <w:rPr>
          <w:rFonts w:ascii="Arial" w:hAnsi="Arial"/>
          <w:bCs/>
        </w:rPr>
      </w:pPr>
      <w:r w:rsidRPr="00C7016A">
        <w:rPr>
          <w:rFonts w:ascii="Arial" w:hAnsi="Arial"/>
          <w:bCs/>
        </w:rPr>
        <w:t>Regarding the plan to sell £10bn of gilts back into the market each quarter (Quantitative Tightening), this has started and will focus on the short, medium and longer end of the curve in equal measure</w:t>
      </w:r>
      <w:r w:rsidR="00BD32A8" w:rsidRPr="00BD32A8">
        <w:rPr>
          <w:rFonts w:ascii="Arial" w:hAnsi="Arial"/>
          <w:bCs/>
        </w:rPr>
        <w:t>.</w:t>
      </w:r>
    </w:p>
    <w:p w14:paraId="5425C90B" w14:textId="10973FA4" w:rsidR="00BD32A8" w:rsidRPr="00BD32A8" w:rsidRDefault="00BD32A8" w:rsidP="00BD32A8">
      <w:pPr>
        <w:pStyle w:val="BodyTextIndent"/>
        <w:ind w:left="720"/>
        <w:jc w:val="both"/>
        <w:rPr>
          <w:rFonts w:ascii="Arial" w:hAnsi="Arial"/>
          <w:bCs/>
        </w:rPr>
      </w:pPr>
      <w:r w:rsidRPr="00BD32A8">
        <w:rPr>
          <w:rFonts w:ascii="Arial" w:hAnsi="Arial"/>
          <w:bCs/>
        </w:rPr>
        <w:t xml:space="preserve">In </w:t>
      </w:r>
      <w:r w:rsidR="00C7016A" w:rsidRPr="00C7016A">
        <w:rPr>
          <w:rFonts w:ascii="Arial" w:hAnsi="Arial"/>
          <w:bCs/>
        </w:rPr>
        <w:t>the upcoming months, our forecasts will be guided not only by economic data releases and clarifications from the MPC over its monetary policies and the Government over its fiscal policies, but the on-going conflict between Russia and Ukraine.  (More recently, the heightened tensions between China/Taiwan/US also have the potential to have a wider and negative economic impact.)</w:t>
      </w:r>
    </w:p>
    <w:p w14:paraId="495B47F5" w14:textId="3950FF1C" w:rsidR="00BD32A8" w:rsidRPr="00734400" w:rsidRDefault="00BD32A8" w:rsidP="00BD32A8">
      <w:pPr>
        <w:pStyle w:val="BodyTextIndent"/>
        <w:spacing w:after="0"/>
        <w:ind w:left="720"/>
        <w:jc w:val="both"/>
        <w:rPr>
          <w:rFonts w:ascii="Arial" w:hAnsi="Arial"/>
          <w:bCs/>
        </w:rPr>
      </w:pPr>
      <w:r w:rsidRPr="00BD32A8">
        <w:rPr>
          <w:rFonts w:ascii="Arial" w:hAnsi="Arial"/>
          <w:bCs/>
        </w:rPr>
        <w:t xml:space="preserve">On </w:t>
      </w:r>
      <w:r w:rsidR="00C7016A" w:rsidRPr="00C7016A">
        <w:rPr>
          <w:rFonts w:ascii="Arial" w:hAnsi="Arial"/>
          <w:bCs/>
        </w:rPr>
        <w:t>the positive side, consumers are still estimated to be sitting on significant excess savings left over from the pandemic so that will cushion some of the impact of the above challenges.   However, most of those are held by more affluent people whereas lower income families already spend nearly all their income on essentials such as food, energy and rent/mortgage payments.</w:t>
      </w:r>
    </w:p>
    <w:p w14:paraId="646EF376" w14:textId="754C4844" w:rsidR="00386BF9" w:rsidRPr="00D07ABD" w:rsidRDefault="00FD39C9" w:rsidP="007E0CD3">
      <w:pPr>
        <w:ind w:left="709" w:hanging="709"/>
        <w:rPr>
          <w:color w:val="0D0D0D"/>
          <w:lang w:val="en-AU"/>
        </w:rPr>
      </w:pPr>
      <w:r>
        <w:tab/>
      </w:r>
    </w:p>
    <w:p w14:paraId="0E3BED7F" w14:textId="513996B2" w:rsidR="00386BF9" w:rsidRDefault="00386BF9" w:rsidP="00386BF9">
      <w:pPr>
        <w:pStyle w:val="ListParagraph"/>
        <w:numPr>
          <w:ilvl w:val="1"/>
          <w:numId w:val="24"/>
        </w:numPr>
        <w:spacing w:line="276" w:lineRule="auto"/>
        <w:ind w:left="709" w:hanging="709"/>
        <w:jc w:val="both"/>
      </w:pPr>
      <w:r>
        <w:t>The balance of risks to the UK economy: -</w:t>
      </w:r>
    </w:p>
    <w:p w14:paraId="2C12D271" w14:textId="2587D1CB" w:rsidR="00386BF9" w:rsidRDefault="00386BF9" w:rsidP="00386BF9">
      <w:pPr>
        <w:pStyle w:val="ListParagraph"/>
        <w:numPr>
          <w:ilvl w:val="0"/>
          <w:numId w:val="33"/>
        </w:numPr>
        <w:spacing w:line="276" w:lineRule="auto"/>
        <w:ind w:left="709" w:hanging="283"/>
        <w:jc w:val="both"/>
      </w:pPr>
      <w:r>
        <w:t>The overall balance of risks to economic growth in the UK is to the downside.</w:t>
      </w:r>
    </w:p>
    <w:p w14:paraId="69200075" w14:textId="77777777" w:rsidR="00386BF9" w:rsidRDefault="00386BF9" w:rsidP="00386BF9">
      <w:pPr>
        <w:pStyle w:val="ListParagraph"/>
        <w:spacing w:line="276" w:lineRule="auto"/>
        <w:ind w:left="360"/>
        <w:jc w:val="both"/>
      </w:pPr>
    </w:p>
    <w:p w14:paraId="0BBE6651" w14:textId="77777777" w:rsidR="00386BF9" w:rsidRDefault="00386BF9" w:rsidP="00386BF9">
      <w:pPr>
        <w:spacing w:line="276" w:lineRule="auto"/>
        <w:ind w:left="709"/>
        <w:jc w:val="both"/>
      </w:pPr>
      <w:r>
        <w:t>Downside risks to current forecasts for UK gilt yields and PWLB rates include: -</w:t>
      </w:r>
    </w:p>
    <w:p w14:paraId="2267F4CA" w14:textId="77777777" w:rsidR="00386BF9" w:rsidRDefault="00386BF9" w:rsidP="00386BF9">
      <w:pPr>
        <w:spacing w:line="276" w:lineRule="auto"/>
        <w:jc w:val="both"/>
      </w:pPr>
    </w:p>
    <w:p w14:paraId="2B0E8211" w14:textId="0A309991" w:rsidR="00386BF9" w:rsidRDefault="00386BF9" w:rsidP="00BE23A9">
      <w:pPr>
        <w:pStyle w:val="ListParagraph"/>
        <w:numPr>
          <w:ilvl w:val="0"/>
          <w:numId w:val="32"/>
        </w:numPr>
        <w:spacing w:line="276" w:lineRule="auto"/>
        <w:ind w:left="709" w:hanging="283"/>
        <w:jc w:val="both"/>
      </w:pPr>
      <w:r>
        <w:t>Labour and supply shortages prove more enduring and disruptive and depress economic activity (accepting that in the near-term this is also an upside risk to inflation and, thus, rising gilt yields).</w:t>
      </w:r>
    </w:p>
    <w:p w14:paraId="39D17A84" w14:textId="3ECBB334" w:rsidR="00386BF9" w:rsidRDefault="00386BF9" w:rsidP="00BE23A9">
      <w:pPr>
        <w:pStyle w:val="ListParagraph"/>
        <w:numPr>
          <w:ilvl w:val="0"/>
          <w:numId w:val="32"/>
        </w:numPr>
        <w:spacing w:line="276" w:lineRule="auto"/>
        <w:ind w:left="709" w:hanging="283"/>
        <w:jc w:val="both"/>
      </w:pPr>
      <w:r>
        <w:t xml:space="preserve">The Bank of England acts too quickly, or too far, over the </w:t>
      </w:r>
      <w:r w:rsidR="00C7016A">
        <w:t>coming year</w:t>
      </w:r>
      <w:r>
        <w:t xml:space="preserve"> to raise Bank Rate and causes UK economic growth, and increases in inflation, to be weaker than we currently anticipate. </w:t>
      </w:r>
    </w:p>
    <w:p w14:paraId="5F26338C" w14:textId="4A415DE3" w:rsidR="00386BF9" w:rsidRDefault="00386BF9" w:rsidP="00BE23A9">
      <w:pPr>
        <w:pStyle w:val="ListParagraph"/>
        <w:numPr>
          <w:ilvl w:val="0"/>
          <w:numId w:val="32"/>
        </w:numPr>
        <w:spacing w:line="276" w:lineRule="auto"/>
        <w:ind w:left="709" w:hanging="283"/>
        <w:jc w:val="both"/>
      </w:pPr>
      <w:r>
        <w:t xml:space="preserve">UK / EU trade arrangements – if there was a major impact on trade flows and financial services due to complications or lack of co-operation in sorting out significant remaining issues. </w:t>
      </w:r>
    </w:p>
    <w:p w14:paraId="5794710D" w14:textId="77777777" w:rsidR="00386BF9" w:rsidRDefault="00386BF9" w:rsidP="00386BF9">
      <w:pPr>
        <w:pStyle w:val="ListParagraph"/>
        <w:numPr>
          <w:ilvl w:val="0"/>
          <w:numId w:val="32"/>
        </w:numPr>
        <w:spacing w:line="276" w:lineRule="auto"/>
        <w:ind w:left="709" w:hanging="283"/>
        <w:jc w:val="both"/>
      </w:pPr>
      <w:r>
        <w:t xml:space="preserve">Geopolitical risks, for example in Ukraine/Russia, China/Taiwan/US, Iran, North Korea and Middle Eastern countries, which could lead to increasing safe-haven flows. </w:t>
      </w:r>
    </w:p>
    <w:p w14:paraId="74C1EED7" w14:textId="77777777" w:rsidR="00386BF9" w:rsidRDefault="00386BF9" w:rsidP="00386BF9">
      <w:pPr>
        <w:pStyle w:val="ListParagraph"/>
        <w:spacing w:line="276" w:lineRule="auto"/>
        <w:ind w:left="360"/>
        <w:jc w:val="both"/>
      </w:pPr>
    </w:p>
    <w:p w14:paraId="4EF49641" w14:textId="77777777" w:rsidR="00386BF9" w:rsidRDefault="00386BF9" w:rsidP="00386BF9">
      <w:pPr>
        <w:pStyle w:val="ListParagraph"/>
        <w:spacing w:line="276" w:lineRule="auto"/>
        <w:ind w:left="360"/>
        <w:jc w:val="both"/>
      </w:pPr>
      <w:r>
        <w:t>Upside risks to current forecasts for UK gilt yields and PWLB rates: -</w:t>
      </w:r>
    </w:p>
    <w:p w14:paraId="1835280A" w14:textId="77777777" w:rsidR="00386BF9" w:rsidRDefault="00386BF9" w:rsidP="00386BF9">
      <w:pPr>
        <w:pStyle w:val="ListParagraph"/>
        <w:spacing w:line="276" w:lineRule="auto"/>
        <w:ind w:left="360"/>
        <w:jc w:val="both"/>
      </w:pPr>
    </w:p>
    <w:p w14:paraId="221B9DD7" w14:textId="11069EAC" w:rsidR="00386BF9" w:rsidRDefault="00386BF9" w:rsidP="00BE23A9">
      <w:pPr>
        <w:pStyle w:val="ListParagraph"/>
        <w:numPr>
          <w:ilvl w:val="3"/>
          <w:numId w:val="30"/>
        </w:numPr>
        <w:spacing w:line="276" w:lineRule="auto"/>
        <w:ind w:hanging="294"/>
        <w:jc w:val="both"/>
      </w:pPr>
      <w:r>
        <w:t xml:space="preserve">The Bank of England is too slow </w:t>
      </w:r>
      <w:r w:rsidR="00C7016A" w:rsidRPr="00C7016A">
        <w:t>in its pace and strength of increases in Bank Rate and, therefore, allows inflationary pressures to remain elevated for a longer period within the UK economy, which then necessitates Bank Rate staying higher for longer than we currently project or even necessitates a further series of increases in Bank Rate later in the year or in 2024</w:t>
      </w:r>
      <w:r>
        <w:t xml:space="preserve">. </w:t>
      </w:r>
    </w:p>
    <w:p w14:paraId="7BCE8707" w14:textId="700B1C5E" w:rsidR="00386BF9" w:rsidRDefault="00386BF9" w:rsidP="00BE23A9">
      <w:pPr>
        <w:pStyle w:val="ListParagraph"/>
        <w:numPr>
          <w:ilvl w:val="3"/>
          <w:numId w:val="30"/>
        </w:numPr>
        <w:spacing w:line="276" w:lineRule="auto"/>
        <w:ind w:hanging="294"/>
        <w:jc w:val="both"/>
      </w:pPr>
      <w:r>
        <w:t>The pound weakens because of a lack of confidence in the UK Government’s fiscal policies, resulting in investors pricing in a risk premium for holding UK sovereign debt.</w:t>
      </w:r>
    </w:p>
    <w:p w14:paraId="3D1F00AB" w14:textId="17EB7BA8" w:rsidR="00386BF9" w:rsidRDefault="00386BF9" w:rsidP="00386BF9">
      <w:pPr>
        <w:pStyle w:val="ListParagraph"/>
        <w:numPr>
          <w:ilvl w:val="3"/>
          <w:numId w:val="30"/>
        </w:numPr>
        <w:spacing w:line="276" w:lineRule="auto"/>
        <w:ind w:hanging="294"/>
        <w:jc w:val="both"/>
      </w:pPr>
      <w:r>
        <w:t xml:space="preserve">Longer term US treasury yields rise </w:t>
      </w:r>
      <w:r w:rsidR="00C7016A" w:rsidRPr="00C7016A">
        <w:t>strongly if inflation remains more stubborn than the market currently anticipates, pulling gilt yields up higher consequently</w:t>
      </w:r>
      <w:r>
        <w:t>.</w:t>
      </w:r>
    </w:p>
    <w:p w14:paraId="7A88D6B8" w14:textId="64BEACDF" w:rsidR="00C7016A" w:rsidRDefault="00C7016A" w:rsidP="00386BF9">
      <w:pPr>
        <w:pStyle w:val="ListParagraph"/>
        <w:numPr>
          <w:ilvl w:val="3"/>
          <w:numId w:val="30"/>
        </w:numPr>
        <w:spacing w:line="276" w:lineRule="auto"/>
        <w:ind w:hanging="294"/>
        <w:jc w:val="both"/>
      </w:pPr>
      <w:r>
        <w:t xml:space="preserve">Projected </w:t>
      </w:r>
      <w:r w:rsidRPr="00C7016A">
        <w:t>gilt issuance, inclusive of natural maturities and QT, could be too much for the markets to comfortably digest without higher yields compensating.</w:t>
      </w:r>
    </w:p>
    <w:p w14:paraId="0F7EE8BC" w14:textId="47E74481" w:rsidR="00386BF9" w:rsidRDefault="00386BF9" w:rsidP="00BE23A9">
      <w:pPr>
        <w:spacing w:line="276" w:lineRule="auto"/>
        <w:jc w:val="both"/>
      </w:pPr>
    </w:p>
    <w:p w14:paraId="057EE970" w14:textId="05D1457B" w:rsidR="00FD39C9" w:rsidRPr="00D07ABD" w:rsidRDefault="00FD39C9" w:rsidP="00FD39C9">
      <w:pPr>
        <w:spacing w:before="120" w:after="120"/>
        <w:contextualSpacing/>
        <w:jc w:val="both"/>
        <w:rPr>
          <w:color w:val="0D0D0D"/>
          <w:lang w:val="en-AU"/>
        </w:rPr>
      </w:pPr>
      <w:bookmarkStart w:id="21" w:name="_Hlk84257704"/>
    </w:p>
    <w:bookmarkEnd w:id="21"/>
    <w:p w14:paraId="6FA18871" w14:textId="1349BAB5" w:rsidR="00FA79D8" w:rsidRDefault="00FA79D8" w:rsidP="00C22B55">
      <w:pPr>
        <w:pStyle w:val="ListParagraph"/>
        <w:numPr>
          <w:ilvl w:val="1"/>
          <w:numId w:val="24"/>
        </w:numPr>
        <w:spacing w:line="276" w:lineRule="auto"/>
        <w:ind w:left="567" w:hanging="567"/>
        <w:jc w:val="both"/>
      </w:pPr>
      <w:r>
        <w:t>The overall</w:t>
      </w:r>
      <w:r w:rsidR="00A833B3">
        <w:t xml:space="preserve"> Treasury Management</w:t>
      </w:r>
      <w:r>
        <w:t xml:space="preserve"> </w:t>
      </w:r>
      <w:r w:rsidR="008A7C5B">
        <w:t>S</w:t>
      </w:r>
      <w:r>
        <w:t>trategy will be based on the projections above. However, the C</w:t>
      </w:r>
      <w:r w:rsidR="00940B37">
        <w:t>ommissioner</w:t>
      </w:r>
      <w:r>
        <w:t xml:space="preserve"> will maintain flexibility to take account of unexpected variations from the forecast.</w:t>
      </w:r>
    </w:p>
    <w:p w14:paraId="7D42CFE1" w14:textId="77777777" w:rsidR="00A833B3" w:rsidRDefault="00A833B3" w:rsidP="00A833B3">
      <w:pPr>
        <w:pStyle w:val="ListParagraph"/>
        <w:spacing w:line="276" w:lineRule="auto"/>
        <w:jc w:val="both"/>
      </w:pPr>
    </w:p>
    <w:p w14:paraId="5EAB906F" w14:textId="74EA5933" w:rsidR="00A833B3" w:rsidRDefault="00A833B3" w:rsidP="00C22B55">
      <w:pPr>
        <w:pStyle w:val="ListParagraph"/>
        <w:numPr>
          <w:ilvl w:val="1"/>
          <w:numId w:val="24"/>
        </w:numPr>
        <w:spacing w:line="276" w:lineRule="auto"/>
        <w:ind w:left="567" w:hanging="567"/>
        <w:jc w:val="both"/>
      </w:pPr>
      <w:r>
        <w:t xml:space="preserve">As a result of the above </w:t>
      </w:r>
      <w:r w:rsidR="00561106">
        <w:t xml:space="preserve">interest rate </w:t>
      </w:r>
      <w:r>
        <w:t>forecast</w:t>
      </w:r>
      <w:r w:rsidR="00C22B55">
        <w:t>,</w:t>
      </w:r>
      <w:r>
        <w:t xml:space="preserve"> </w:t>
      </w:r>
      <w:r w:rsidR="00C22B55">
        <w:t>i</w:t>
      </w:r>
      <w:r>
        <w:t xml:space="preserve">nvestment returns are expected to </w:t>
      </w:r>
      <w:r w:rsidR="00BE23A9">
        <w:t>remain significant in 2023/24</w:t>
      </w:r>
      <w:r>
        <w:t xml:space="preserve">.  However, the cost of borrowing is also likely </w:t>
      </w:r>
      <w:r w:rsidR="00BE23A9">
        <w:t>to stay high</w:t>
      </w:r>
      <w:r>
        <w:t xml:space="preserve"> and given the requirement to borrow for the Capital Programme the interest repayable cost for the PCC is likely to increase.</w:t>
      </w:r>
    </w:p>
    <w:p w14:paraId="22FC4B57" w14:textId="77777777" w:rsidR="00FA79D8" w:rsidRDefault="00FA79D8" w:rsidP="00043FDE">
      <w:pPr>
        <w:ind w:left="567" w:hanging="567"/>
        <w:jc w:val="both"/>
      </w:pPr>
    </w:p>
    <w:p w14:paraId="43E31ED9" w14:textId="77777777" w:rsidR="00FA79D8" w:rsidRDefault="00FA79D8" w:rsidP="00043FDE">
      <w:pPr>
        <w:ind w:left="567" w:hanging="567"/>
        <w:rPr>
          <w:b/>
        </w:rPr>
      </w:pPr>
      <w:r>
        <w:rPr>
          <w:b/>
        </w:rPr>
        <w:t>5.0</w:t>
      </w:r>
      <w:r>
        <w:rPr>
          <w:b/>
        </w:rPr>
        <w:tab/>
        <w:t>ANNUAL INVESTMENT STRATEGY</w:t>
      </w:r>
    </w:p>
    <w:p w14:paraId="01493693" w14:textId="77777777" w:rsidR="00253052" w:rsidRDefault="00253052" w:rsidP="00043FDE">
      <w:pPr>
        <w:ind w:left="567" w:hanging="567"/>
        <w:rPr>
          <w:b/>
        </w:rPr>
      </w:pPr>
    </w:p>
    <w:p w14:paraId="7B23474A" w14:textId="4C585EB7" w:rsidR="00FA79D8" w:rsidRDefault="00FA79D8" w:rsidP="00043FDE">
      <w:pPr>
        <w:ind w:left="567" w:hanging="567"/>
        <w:jc w:val="both"/>
        <w:rPr>
          <w:color w:val="000000"/>
        </w:rPr>
      </w:pPr>
      <w:r w:rsidRPr="00E777F3">
        <w:t>5.1</w:t>
      </w:r>
      <w:r>
        <w:tab/>
      </w:r>
      <w:r w:rsidRPr="00E777F3">
        <w:rPr>
          <w:color w:val="000000"/>
        </w:rPr>
        <w:t xml:space="preserve">The </w:t>
      </w:r>
      <w:r>
        <w:rPr>
          <w:color w:val="000000"/>
        </w:rPr>
        <w:t>C</w:t>
      </w:r>
      <w:r w:rsidR="00320E74">
        <w:rPr>
          <w:color w:val="000000"/>
        </w:rPr>
        <w:t>ommissioner</w:t>
      </w:r>
      <w:r>
        <w:rPr>
          <w:color w:val="000000"/>
        </w:rPr>
        <w:t xml:space="preserve">’s </w:t>
      </w:r>
      <w:r>
        <w:t>investment activities</w:t>
      </w:r>
      <w:r w:rsidRPr="00E777F3">
        <w:rPr>
          <w:color w:val="000000"/>
        </w:rPr>
        <w:t xml:space="preserve"> have regard to </w:t>
      </w:r>
      <w:r w:rsidR="009871E9">
        <w:rPr>
          <w:color w:val="000000"/>
        </w:rPr>
        <w:t xml:space="preserve">guidance issued by the </w:t>
      </w:r>
      <w:r w:rsidRPr="00E777F3">
        <w:rPr>
          <w:color w:val="000000"/>
        </w:rPr>
        <w:t>Government and</w:t>
      </w:r>
      <w:r>
        <w:rPr>
          <w:color w:val="000000"/>
        </w:rPr>
        <w:t xml:space="preserve"> </w:t>
      </w:r>
      <w:r w:rsidR="0061145F">
        <w:rPr>
          <w:color w:val="000000"/>
        </w:rPr>
        <w:t>CIPFA</w:t>
      </w:r>
      <w:r w:rsidRPr="00E777F3">
        <w:rPr>
          <w:color w:val="000000"/>
        </w:rPr>
        <w:t>.</w:t>
      </w:r>
      <w:r w:rsidR="00BE23A9">
        <w:rPr>
          <w:color w:val="000000"/>
        </w:rPr>
        <w:t xml:space="preserve"> </w:t>
      </w:r>
      <w:r w:rsidR="00BE23A9" w:rsidRPr="00BE23A9">
        <w:rPr>
          <w:color w:val="000000"/>
        </w:rPr>
        <w:t>The Department of Levelling Up, Housing and Communities (DLUHC</w:t>
      </w:r>
      <w:r w:rsidR="00BE23A9">
        <w:rPr>
          <w:color w:val="000000"/>
        </w:rPr>
        <w:t xml:space="preserve">) </w:t>
      </w:r>
      <w:r w:rsidR="00BE23A9" w:rsidRPr="00BE23A9">
        <w:rPr>
          <w:color w:val="000000"/>
        </w:rPr>
        <w:t>and CIPFA have extended the meaning of ‘investments’ to include both financial and non-financial investments.  This report deals solely with treasury (financial) investments</w:t>
      </w:r>
      <w:r w:rsidR="00BE23A9">
        <w:rPr>
          <w:color w:val="000000"/>
        </w:rPr>
        <w:t xml:space="preserve">.  </w:t>
      </w:r>
      <w:r w:rsidR="00BE23A9" w:rsidRPr="00BE23A9">
        <w:rPr>
          <w:color w:val="000000"/>
        </w:rPr>
        <w:t>Non-financial investments, essentially the purchase of income yielding assets and service investments, are covered in the Capital Strategy</w:t>
      </w:r>
      <w:r w:rsidR="00BE23A9">
        <w:rPr>
          <w:color w:val="000000"/>
        </w:rPr>
        <w:t>.</w:t>
      </w:r>
    </w:p>
    <w:p w14:paraId="1372E7A2" w14:textId="77777777" w:rsidR="00FA79D8" w:rsidRDefault="00FA79D8" w:rsidP="00043FDE">
      <w:pPr>
        <w:ind w:left="567" w:hanging="567"/>
        <w:jc w:val="both"/>
      </w:pPr>
    </w:p>
    <w:p w14:paraId="0185CE06" w14:textId="77777777" w:rsidR="00B05550" w:rsidRDefault="00FA79D8" w:rsidP="00C22B55">
      <w:pPr>
        <w:pStyle w:val="BodyTextIndent"/>
        <w:numPr>
          <w:ilvl w:val="1"/>
          <w:numId w:val="10"/>
        </w:numPr>
        <w:spacing w:after="0"/>
        <w:ind w:left="567" w:hanging="567"/>
        <w:jc w:val="both"/>
        <w:rPr>
          <w:rFonts w:ascii="Arial" w:hAnsi="Arial" w:cs="Arial"/>
        </w:rPr>
      </w:pPr>
      <w:r w:rsidRPr="00D201B4">
        <w:rPr>
          <w:rFonts w:ascii="Arial" w:hAnsi="Arial"/>
          <w:bCs/>
        </w:rPr>
        <w:t xml:space="preserve">In making investment decisions, </w:t>
      </w:r>
      <w:r w:rsidR="00D60C71">
        <w:rPr>
          <w:rFonts w:ascii="Arial" w:hAnsi="Arial"/>
          <w:bCs/>
        </w:rPr>
        <w:t>the Commissioner’s investment priorities will be security first (capital preservation), liquidity second and then yield (return)</w:t>
      </w:r>
      <w:r w:rsidRPr="00D201B4">
        <w:rPr>
          <w:rFonts w:ascii="Arial" w:hAnsi="Arial"/>
          <w:bCs/>
        </w:rPr>
        <w:t>. Pursuit of the best possible ret</w:t>
      </w:r>
      <w:r w:rsidR="00ED039D">
        <w:rPr>
          <w:rFonts w:ascii="Arial" w:hAnsi="Arial"/>
          <w:bCs/>
        </w:rPr>
        <w:t>urn on investments will only be</w:t>
      </w:r>
      <w:r w:rsidR="00E21164">
        <w:rPr>
          <w:rFonts w:ascii="Arial" w:hAnsi="Arial"/>
          <w:bCs/>
        </w:rPr>
        <w:t xml:space="preserve"> </w:t>
      </w:r>
      <w:r w:rsidRPr="00D201B4">
        <w:rPr>
          <w:rFonts w:ascii="Arial" w:hAnsi="Arial"/>
          <w:bCs/>
        </w:rPr>
        <w:t xml:space="preserve">allowed to the extent that this is </w:t>
      </w:r>
      <w:r w:rsidRPr="00D201B4">
        <w:rPr>
          <w:rFonts w:ascii="Arial" w:hAnsi="Arial" w:cs="Arial"/>
        </w:rPr>
        <w:t>consistent with very low levels of risk in terms of security and liquidity.</w:t>
      </w:r>
    </w:p>
    <w:p w14:paraId="22F3DA8F" w14:textId="77777777" w:rsidR="00B05550" w:rsidRDefault="00B05550" w:rsidP="00043FDE">
      <w:pPr>
        <w:pStyle w:val="BodyTextIndent"/>
        <w:spacing w:after="0"/>
        <w:ind w:left="567" w:hanging="567"/>
        <w:jc w:val="both"/>
        <w:rPr>
          <w:rFonts w:ascii="Arial" w:hAnsi="Arial" w:cs="Arial"/>
        </w:rPr>
      </w:pPr>
    </w:p>
    <w:p w14:paraId="68862F9D" w14:textId="0A43681C" w:rsidR="00D60C71" w:rsidRPr="00BE23A9" w:rsidRDefault="00D60C71" w:rsidP="00C22B55">
      <w:pPr>
        <w:pStyle w:val="BodyTextIndent"/>
        <w:numPr>
          <w:ilvl w:val="1"/>
          <w:numId w:val="10"/>
        </w:numPr>
        <w:spacing w:after="0"/>
        <w:ind w:left="567" w:hanging="567"/>
        <w:jc w:val="both"/>
        <w:rPr>
          <w:rFonts w:ascii="Arial" w:hAnsi="Arial" w:cs="Arial"/>
          <w:color w:val="0D0D0D" w:themeColor="text1" w:themeTint="F2"/>
        </w:rPr>
      </w:pPr>
      <w:r w:rsidRPr="00B05550">
        <w:rPr>
          <w:rFonts w:ascii="Arial" w:hAnsi="Arial" w:cs="Arial"/>
          <w:color w:val="0D0D0D" w:themeColor="text1" w:themeTint="F2"/>
        </w:rPr>
        <w:t xml:space="preserve">In the current economic </w:t>
      </w:r>
      <w:r w:rsidR="00355A49" w:rsidRPr="00B05550">
        <w:rPr>
          <w:rFonts w:ascii="Arial" w:hAnsi="Arial" w:cs="Arial"/>
          <w:color w:val="0D0D0D" w:themeColor="text1" w:themeTint="F2"/>
        </w:rPr>
        <w:t>climate,</w:t>
      </w:r>
      <w:r w:rsidRPr="00B05550">
        <w:rPr>
          <w:rFonts w:ascii="Arial" w:hAnsi="Arial" w:cs="Arial"/>
          <w:color w:val="0D0D0D" w:themeColor="text1" w:themeTint="F2"/>
        </w:rPr>
        <w:t xml:space="preserve"> it is considered appropriate to keep investments short term to cover cash flow needs.  However, where appropriate (from an internal as well as external perspective), the Commis</w:t>
      </w:r>
      <w:r w:rsidR="00B05550">
        <w:rPr>
          <w:rFonts w:ascii="Arial" w:hAnsi="Arial" w:cs="Arial"/>
          <w:color w:val="0D0D0D" w:themeColor="text1" w:themeTint="F2"/>
        </w:rPr>
        <w:t>s</w:t>
      </w:r>
      <w:r w:rsidRPr="00B05550">
        <w:rPr>
          <w:rFonts w:ascii="Arial" w:hAnsi="Arial" w:cs="Arial"/>
          <w:color w:val="0D0D0D" w:themeColor="text1" w:themeTint="F2"/>
        </w:rPr>
        <w:t>ioner will also consider the value available in periods up to 12 months with high credit rated financial institutio</w:t>
      </w:r>
      <w:r w:rsidR="00B05550">
        <w:rPr>
          <w:rFonts w:ascii="Arial" w:hAnsi="Arial" w:cs="Arial"/>
          <w:color w:val="0D0D0D" w:themeColor="text1" w:themeTint="F2"/>
        </w:rPr>
        <w:t>ns,</w:t>
      </w:r>
      <w:r w:rsidR="00BE23A9" w:rsidRPr="00BE23A9">
        <w:rPr>
          <w:rFonts w:cs="Arial"/>
          <w:color w:val="0D0D0D" w:themeColor="text1" w:themeTint="F2"/>
        </w:rPr>
        <w:t xml:space="preserve"> </w:t>
      </w:r>
      <w:r w:rsidR="00BE23A9" w:rsidRPr="00BE23A9">
        <w:rPr>
          <w:rFonts w:ascii="Arial" w:hAnsi="Arial" w:cs="Arial"/>
          <w:color w:val="0D0D0D" w:themeColor="text1" w:themeTint="F2"/>
        </w:rPr>
        <w:t>whilst investment rates remain elevated,</w:t>
      </w:r>
      <w:r w:rsidR="00B05550">
        <w:rPr>
          <w:rFonts w:ascii="Arial" w:hAnsi="Arial" w:cs="Arial"/>
          <w:color w:val="0D0D0D" w:themeColor="text1" w:themeTint="F2"/>
        </w:rPr>
        <w:t xml:space="preserve"> as well as</w:t>
      </w:r>
      <w:r w:rsidR="00606D46">
        <w:rPr>
          <w:rFonts w:ascii="Arial" w:hAnsi="Arial" w:cs="Arial"/>
          <w:color w:val="0D0D0D" w:themeColor="text1" w:themeTint="F2"/>
        </w:rPr>
        <w:t xml:space="preserve"> a</w:t>
      </w:r>
      <w:r w:rsidR="00B05550">
        <w:rPr>
          <w:rFonts w:ascii="Arial" w:hAnsi="Arial" w:cs="Arial"/>
          <w:color w:val="0D0D0D" w:themeColor="text1" w:themeTint="F2"/>
        </w:rPr>
        <w:t xml:space="preserve"> wider range of </w:t>
      </w:r>
      <w:r w:rsidRPr="00B05550">
        <w:rPr>
          <w:rFonts w:ascii="Arial" w:hAnsi="Arial" w:cs="Arial"/>
          <w:color w:val="0D0D0D" w:themeColor="text1" w:themeTint="F2"/>
        </w:rPr>
        <w:t>options.</w:t>
      </w:r>
    </w:p>
    <w:p w14:paraId="05A04E2C" w14:textId="77777777" w:rsidR="00FA79D8" w:rsidRPr="00D201B4" w:rsidRDefault="00FA79D8" w:rsidP="00BE23A9">
      <w:pPr>
        <w:jc w:val="both"/>
      </w:pPr>
    </w:p>
    <w:p w14:paraId="71E399D1" w14:textId="77777777" w:rsidR="00FA79D8" w:rsidRPr="00D201B4" w:rsidRDefault="00FA79D8" w:rsidP="00C22B55">
      <w:pPr>
        <w:numPr>
          <w:ilvl w:val="1"/>
          <w:numId w:val="10"/>
        </w:numPr>
        <w:ind w:left="567" w:hanging="567"/>
        <w:jc w:val="both"/>
      </w:pPr>
      <w:r w:rsidRPr="00D201B4">
        <w:t>The C</w:t>
      </w:r>
      <w:r w:rsidR="005F4EC1">
        <w:t>ommissioner</w:t>
      </w:r>
      <w:r w:rsidRPr="00D201B4">
        <w:t xml:space="preserve"> will make use of </w:t>
      </w:r>
      <w:r w:rsidR="009871E9">
        <w:t xml:space="preserve">both </w:t>
      </w:r>
      <w:r w:rsidRPr="00D201B4">
        <w:t>specified investments</w:t>
      </w:r>
      <w:r w:rsidR="009871E9">
        <w:t xml:space="preserve"> and non-specified investments</w:t>
      </w:r>
      <w:r w:rsidRPr="00D201B4">
        <w:t xml:space="preserve">. </w:t>
      </w:r>
      <w:r w:rsidR="009871E9">
        <w:t>Specified</w:t>
      </w:r>
      <w:r w:rsidRPr="00D201B4">
        <w:t xml:space="preserve"> investments </w:t>
      </w:r>
      <w:r w:rsidR="009871E9">
        <w:t xml:space="preserve">are those </w:t>
      </w:r>
      <w:r w:rsidRPr="00D201B4">
        <w:t>that satisfy the following conditions:</w:t>
      </w:r>
    </w:p>
    <w:p w14:paraId="4390CABB" w14:textId="77777777" w:rsidR="00FA79D8" w:rsidRPr="00D201B4" w:rsidRDefault="00FA79D8" w:rsidP="00043FDE">
      <w:pPr>
        <w:ind w:left="567" w:hanging="567"/>
        <w:jc w:val="both"/>
      </w:pPr>
    </w:p>
    <w:p w14:paraId="24BE3FAD" w14:textId="77777777" w:rsidR="00FA79D8" w:rsidRDefault="00FA79D8" w:rsidP="00C22B55">
      <w:pPr>
        <w:numPr>
          <w:ilvl w:val="0"/>
          <w:numId w:val="11"/>
        </w:numPr>
        <w:tabs>
          <w:tab w:val="clear" w:pos="720"/>
          <w:tab w:val="num" w:pos="1134"/>
        </w:tabs>
        <w:ind w:left="1134" w:hanging="567"/>
        <w:jc w:val="both"/>
      </w:pPr>
      <w:r>
        <w:t>The investment is denominated in sterling and any payments or repayments in respect of the investment are payable only in sterling.</w:t>
      </w:r>
    </w:p>
    <w:p w14:paraId="319D9E39" w14:textId="77777777" w:rsidR="00FA79D8" w:rsidRDefault="00FA79D8" w:rsidP="00C22B55">
      <w:pPr>
        <w:numPr>
          <w:ilvl w:val="0"/>
          <w:numId w:val="11"/>
        </w:numPr>
        <w:ind w:left="1134" w:hanging="567"/>
        <w:jc w:val="both"/>
      </w:pPr>
      <w:r>
        <w:t>The C</w:t>
      </w:r>
      <w:r w:rsidR="005F4EC1">
        <w:t>ommissioner</w:t>
      </w:r>
      <w:r>
        <w:t xml:space="preserve"> requires that the investment be repaid or redeemed within 12 months of the date on which the investment was made.</w:t>
      </w:r>
    </w:p>
    <w:p w14:paraId="06CBCA66" w14:textId="77777777" w:rsidR="00FA79D8" w:rsidRDefault="00FA79D8" w:rsidP="00C22B55">
      <w:pPr>
        <w:numPr>
          <w:ilvl w:val="0"/>
          <w:numId w:val="11"/>
        </w:numPr>
        <w:ind w:left="1134" w:hanging="567"/>
        <w:jc w:val="both"/>
      </w:pPr>
      <w:r>
        <w:t xml:space="preserve">The investment does not involve the acquisition of share capital or loan capital in any </w:t>
      </w:r>
      <w:r w:rsidR="005F4EC1">
        <w:t xml:space="preserve">corporate </w:t>
      </w:r>
      <w:r>
        <w:t>body.</w:t>
      </w:r>
    </w:p>
    <w:p w14:paraId="53206ECA" w14:textId="77777777" w:rsidR="00FA79D8" w:rsidRDefault="00FA79D8" w:rsidP="00C22B55">
      <w:pPr>
        <w:numPr>
          <w:ilvl w:val="0"/>
          <w:numId w:val="11"/>
        </w:numPr>
        <w:ind w:left="1134" w:hanging="567"/>
        <w:jc w:val="both"/>
      </w:pPr>
      <w:r>
        <w:t>The investment satisfies any of the following conditions:</w:t>
      </w:r>
    </w:p>
    <w:p w14:paraId="1E471D04" w14:textId="77777777" w:rsidR="00FA79D8" w:rsidRDefault="00FA79D8" w:rsidP="00043FDE">
      <w:pPr>
        <w:ind w:left="567" w:hanging="567"/>
        <w:jc w:val="both"/>
      </w:pPr>
    </w:p>
    <w:p w14:paraId="2930EFEE" w14:textId="77777777" w:rsidR="00FA79D8" w:rsidRDefault="00FA79D8" w:rsidP="00606D46">
      <w:pPr>
        <w:ind w:left="567"/>
        <w:jc w:val="both"/>
      </w:pPr>
      <w:r>
        <w:t>The investment is made with the UK government (Debt Management Agency Deposit Facility), a local authority, a parish council or a community council.</w:t>
      </w:r>
    </w:p>
    <w:p w14:paraId="55715041" w14:textId="77777777" w:rsidR="00FA79D8" w:rsidRDefault="00FA79D8" w:rsidP="00043FDE">
      <w:pPr>
        <w:ind w:left="567" w:hanging="567"/>
        <w:jc w:val="both"/>
      </w:pPr>
    </w:p>
    <w:p w14:paraId="7720C2CC" w14:textId="77777777" w:rsidR="00FA79D8" w:rsidRDefault="00FA79D8" w:rsidP="00606D46">
      <w:pPr>
        <w:ind w:left="567"/>
        <w:jc w:val="both"/>
      </w:pPr>
      <w:r>
        <w:t>The investment is made with a body which has been awarded a “high credit rating” by a credit rating agency.</w:t>
      </w:r>
    </w:p>
    <w:p w14:paraId="3EDE0F9C" w14:textId="77777777" w:rsidR="005F4EC1" w:rsidRDefault="005F4EC1" w:rsidP="00043FDE">
      <w:pPr>
        <w:ind w:left="567" w:hanging="567"/>
        <w:jc w:val="both"/>
      </w:pPr>
    </w:p>
    <w:p w14:paraId="6809A51E" w14:textId="6F7DD049" w:rsidR="00FA79D8" w:rsidRDefault="00FA79D8" w:rsidP="00C22B55">
      <w:pPr>
        <w:pStyle w:val="ListParagraph"/>
        <w:numPr>
          <w:ilvl w:val="1"/>
          <w:numId w:val="8"/>
        </w:numPr>
        <w:jc w:val="both"/>
      </w:pPr>
      <w:r>
        <w:t>If the body is not a UK bank, the sovereign country must be awarded a “high credit rating” by a credit rating agency.</w:t>
      </w:r>
    </w:p>
    <w:p w14:paraId="55105ABF" w14:textId="77777777" w:rsidR="00FA79D8" w:rsidRDefault="00FA79D8" w:rsidP="001D3578">
      <w:pPr>
        <w:ind w:left="1440"/>
        <w:jc w:val="both"/>
      </w:pPr>
    </w:p>
    <w:p w14:paraId="2381E073" w14:textId="0E8C7318" w:rsidR="00FA79D8" w:rsidRDefault="00FA79D8" w:rsidP="001D3578">
      <w:pPr>
        <w:spacing w:line="276" w:lineRule="auto"/>
        <w:ind w:left="720"/>
        <w:jc w:val="both"/>
      </w:pPr>
      <w:r>
        <w:lastRenderedPageBreak/>
        <w:t>For the purposes of this strategy</w:t>
      </w:r>
      <w:r w:rsidR="00411CD0">
        <w:t>,</w:t>
      </w:r>
      <w:r>
        <w:t xml:space="preserve"> use is made of the creditworthiness service provided by </w:t>
      </w:r>
      <w:r w:rsidR="00BB2ED1">
        <w:t>Link</w:t>
      </w:r>
      <w:r>
        <w:t xml:space="preserve"> </w:t>
      </w:r>
      <w:r w:rsidR="00F23A82">
        <w:t>Asset</w:t>
      </w:r>
      <w:r>
        <w:t xml:space="preserve"> Services to define a “high credit rating” </w:t>
      </w:r>
      <w:r w:rsidR="008A7C5B">
        <w:t xml:space="preserve">: </w:t>
      </w:r>
    </w:p>
    <w:p w14:paraId="297D3BFC" w14:textId="77777777" w:rsidR="008A7C5B" w:rsidRDefault="008A7C5B" w:rsidP="001D3578">
      <w:pPr>
        <w:spacing w:line="276" w:lineRule="auto"/>
        <w:ind w:left="720"/>
        <w:jc w:val="both"/>
      </w:pPr>
    </w:p>
    <w:p w14:paraId="488C7252" w14:textId="6ED64767" w:rsidR="00FA79D8" w:rsidRDefault="00FA79D8" w:rsidP="00C22B55">
      <w:pPr>
        <w:pStyle w:val="ListParagraph"/>
        <w:numPr>
          <w:ilvl w:val="1"/>
          <w:numId w:val="8"/>
        </w:numPr>
        <w:jc w:val="both"/>
      </w:pPr>
      <w:r>
        <w:t>UK banks and building societies – short-term rating F1 or higher and viability rating of “a</w:t>
      </w:r>
      <w:r w:rsidR="00E71137">
        <w:t>-</w:t>
      </w:r>
      <w:r>
        <w:t>” or higher</w:t>
      </w:r>
      <w:r w:rsidR="00A2435F">
        <w:t>.</w:t>
      </w:r>
    </w:p>
    <w:p w14:paraId="4F0A85C3" w14:textId="77777777" w:rsidR="00FA79D8" w:rsidRDefault="00FA79D8" w:rsidP="001D3578">
      <w:pPr>
        <w:ind w:left="1440"/>
        <w:jc w:val="both"/>
      </w:pPr>
    </w:p>
    <w:p w14:paraId="61BA58BD" w14:textId="04EFC332" w:rsidR="00FA79D8" w:rsidRDefault="00FA79D8" w:rsidP="00C22B55">
      <w:pPr>
        <w:pStyle w:val="ListParagraph"/>
        <w:numPr>
          <w:ilvl w:val="1"/>
          <w:numId w:val="8"/>
        </w:numPr>
        <w:jc w:val="both"/>
      </w:pPr>
      <w:r>
        <w:t>Foreign banks – short-term rating F1+, and a viability rating of a minimum of "a" with a sovereign rating of AAA.</w:t>
      </w:r>
    </w:p>
    <w:p w14:paraId="2880623E" w14:textId="6045BDFC" w:rsidR="006879EC" w:rsidRDefault="006879EC" w:rsidP="001D3578">
      <w:pPr>
        <w:ind w:left="1440"/>
        <w:jc w:val="both"/>
      </w:pPr>
    </w:p>
    <w:p w14:paraId="6E96681A" w14:textId="76A3EEDB" w:rsidR="006879EC" w:rsidRDefault="006879EC" w:rsidP="00C22B55">
      <w:pPr>
        <w:pStyle w:val="ListParagraph"/>
        <w:numPr>
          <w:ilvl w:val="1"/>
          <w:numId w:val="8"/>
        </w:numPr>
        <w:jc w:val="both"/>
      </w:pPr>
      <w:r>
        <w:t>Money market Funds (MMF’s)</w:t>
      </w:r>
      <w:r w:rsidR="000A54C2">
        <w:t xml:space="preserve"> </w:t>
      </w:r>
      <w:r w:rsidR="00040293">
        <w:t>–</w:t>
      </w:r>
      <w:r w:rsidR="000A54C2">
        <w:t xml:space="preserve"> </w:t>
      </w:r>
      <w:r w:rsidR="00040293">
        <w:t>A</w:t>
      </w:r>
      <w:r w:rsidR="00404608">
        <w:t>ny AAA rated fund</w:t>
      </w:r>
    </w:p>
    <w:p w14:paraId="44EB2EC4" w14:textId="77777777" w:rsidR="00FA79D8" w:rsidRDefault="00FA79D8" w:rsidP="001D3578">
      <w:pPr>
        <w:ind w:left="1440"/>
        <w:jc w:val="both"/>
      </w:pPr>
    </w:p>
    <w:p w14:paraId="0D6DE275" w14:textId="2E3D60FA" w:rsidR="00FA79D8" w:rsidRPr="00BD5CA1" w:rsidRDefault="00FA79D8" w:rsidP="001D3578">
      <w:pPr>
        <w:ind w:left="720"/>
        <w:jc w:val="both"/>
        <w:rPr>
          <w:b/>
        </w:rPr>
      </w:pPr>
      <w:r>
        <w:t>These will be supported by other accredited rating systems (S</w:t>
      </w:r>
      <w:r w:rsidR="009871E9">
        <w:t xml:space="preserve">tandard </w:t>
      </w:r>
      <w:r>
        <w:t>&amp;</w:t>
      </w:r>
      <w:r w:rsidR="009871E9">
        <w:t xml:space="preserve"> </w:t>
      </w:r>
      <w:r>
        <w:t>P</w:t>
      </w:r>
      <w:r w:rsidR="009871E9">
        <w:t>oor’s</w:t>
      </w:r>
      <w:r>
        <w:t xml:space="preserve"> and Moody’s), credit watches and outlooks, Credit Default Swap </w:t>
      </w:r>
      <w:r w:rsidR="00B64F63">
        <w:t>data</w:t>
      </w:r>
      <w:r>
        <w:t xml:space="preserve">, and </w:t>
      </w:r>
      <w:r w:rsidR="00B64F63">
        <w:t>informa</w:t>
      </w:r>
      <w:r>
        <w:t>t</w:t>
      </w:r>
      <w:r w:rsidR="00B64F63">
        <w:t>ion</w:t>
      </w:r>
      <w:r>
        <w:t xml:space="preserve"> from the financial press.</w:t>
      </w:r>
      <w:r w:rsidR="00404608">
        <w:t xml:space="preserve"> A list of </w:t>
      </w:r>
      <w:r w:rsidR="0055300B">
        <w:t xml:space="preserve">suggested counterparties and </w:t>
      </w:r>
      <w:r w:rsidR="00404608">
        <w:t>the</w:t>
      </w:r>
      <w:r w:rsidR="0055300B">
        <w:t>ir current</w:t>
      </w:r>
      <w:r w:rsidR="00404608">
        <w:t xml:space="preserve"> credit ratings can be found in </w:t>
      </w:r>
      <w:r w:rsidR="00404608" w:rsidRPr="00BD5CA1">
        <w:rPr>
          <w:b/>
        </w:rPr>
        <w:t>Appendix C.</w:t>
      </w:r>
    </w:p>
    <w:p w14:paraId="4B956065" w14:textId="77777777" w:rsidR="00FA79D8" w:rsidRDefault="00FA79D8" w:rsidP="001D3578">
      <w:pPr>
        <w:ind w:left="720"/>
        <w:jc w:val="both"/>
      </w:pPr>
    </w:p>
    <w:p w14:paraId="41630E40" w14:textId="484F6665" w:rsidR="00B05550" w:rsidRDefault="00FA79D8" w:rsidP="00C22B55">
      <w:pPr>
        <w:numPr>
          <w:ilvl w:val="1"/>
          <w:numId w:val="10"/>
        </w:numPr>
        <w:tabs>
          <w:tab w:val="clear" w:pos="720"/>
          <w:tab w:val="num" w:pos="567"/>
        </w:tabs>
        <w:spacing w:line="276" w:lineRule="auto"/>
        <w:ind w:left="567" w:hanging="567"/>
        <w:jc w:val="both"/>
      </w:pPr>
      <w:r>
        <w:t>Since the credit crisis, there are s</w:t>
      </w:r>
      <w:r w:rsidR="00A833B3">
        <w:t>ome</w:t>
      </w:r>
      <w:r>
        <w:t xml:space="preserve"> semi-n</w:t>
      </w:r>
      <w:r w:rsidRPr="006E7C8D">
        <w:t>ationalised banks in the UK with credit ratings which do not conform to the credit criteria usually used to identify banks which are of high credit worthiness.</w:t>
      </w:r>
      <w:r w:rsidR="005F4EC1" w:rsidRPr="006E7C8D">
        <w:t xml:space="preserve"> </w:t>
      </w:r>
      <w:r w:rsidRPr="006E7C8D">
        <w:t>In particular, as they no longer are separate institutions in their own right, it is impossible for the rating agencies to assign them an individual rating for their s</w:t>
      </w:r>
      <w:r w:rsidR="00ED039D" w:rsidRPr="006E7C8D">
        <w:t>tand</w:t>
      </w:r>
      <w:r w:rsidRPr="006E7C8D">
        <w:t>alone financial strength.</w:t>
      </w:r>
      <w:r w:rsidR="005F4EC1" w:rsidRPr="006E7C8D">
        <w:t xml:space="preserve"> </w:t>
      </w:r>
      <w:r w:rsidRPr="006E7C8D">
        <w:t xml:space="preserve">However, these institutions are now recipients of </w:t>
      </w:r>
      <w:r w:rsidR="00E21164" w:rsidRPr="006E7C8D">
        <w:t xml:space="preserve">at least </w:t>
      </w:r>
      <w:r w:rsidRPr="006E7C8D">
        <w:t>an F</w:t>
      </w:r>
      <w:r w:rsidR="00A2435F" w:rsidRPr="006E7C8D">
        <w:t>2</w:t>
      </w:r>
      <w:r w:rsidRPr="006E7C8D">
        <w:t xml:space="preserve"> short term rating </w:t>
      </w:r>
      <w:r w:rsidR="00E21164" w:rsidRPr="006E7C8D">
        <w:t>(</w:t>
      </w:r>
      <w:r w:rsidRPr="006E7C8D">
        <w:t>effectively tak</w:t>
      </w:r>
      <w:r w:rsidR="00E21164" w:rsidRPr="006E7C8D">
        <w:t>ing</w:t>
      </w:r>
      <w:r w:rsidRPr="006E7C8D">
        <w:t xml:space="preserve"> on the creditworthiness of the Government</w:t>
      </w:r>
      <w:r w:rsidR="00E21164" w:rsidRPr="006E7C8D">
        <w:t>)</w:t>
      </w:r>
      <w:r w:rsidRPr="006E7C8D">
        <w:t>. That i</w:t>
      </w:r>
      <w:r w:rsidR="0055300B">
        <w:t>mplies</w:t>
      </w:r>
      <w:r w:rsidRPr="006E7C8D">
        <w:t xml:space="preserve"> deposits made with them are effectively being made to the Government.</w:t>
      </w:r>
      <w:r w:rsidR="00E82E1E" w:rsidRPr="006E7C8D">
        <w:t xml:space="preserve">  This relates to National Westminster Bank and Royal Bank of Scotland.</w:t>
      </w:r>
    </w:p>
    <w:p w14:paraId="61C561E6" w14:textId="77777777" w:rsidR="00404608" w:rsidRDefault="00404608" w:rsidP="00A833B3">
      <w:pPr>
        <w:jc w:val="both"/>
      </w:pPr>
    </w:p>
    <w:p w14:paraId="74E1816E" w14:textId="4DC8568B" w:rsidR="00E21164" w:rsidRDefault="00FA79D8" w:rsidP="00C22B55">
      <w:pPr>
        <w:numPr>
          <w:ilvl w:val="1"/>
          <w:numId w:val="10"/>
        </w:numPr>
        <w:tabs>
          <w:tab w:val="clear" w:pos="720"/>
          <w:tab w:val="num" w:pos="426"/>
          <w:tab w:val="left" w:pos="567"/>
        </w:tabs>
        <w:spacing w:line="276" w:lineRule="auto"/>
        <w:ind w:left="567" w:hanging="567"/>
        <w:jc w:val="both"/>
      </w:pPr>
      <w:r>
        <w:t xml:space="preserve">  </w:t>
      </w:r>
      <w:r w:rsidRPr="0055729D">
        <w:t>The C</w:t>
      </w:r>
      <w:r w:rsidR="005F4EC1">
        <w:t>ommissioner</w:t>
      </w:r>
      <w:r w:rsidRPr="0055729D">
        <w:t xml:space="preserve">’s </w:t>
      </w:r>
      <w:r>
        <w:t>CFO</w:t>
      </w:r>
      <w:r w:rsidRPr="0055729D">
        <w:t xml:space="preserve"> will monitor credit ratings through the receipt of credit rating bulletins from the treasury management consultants at</w:t>
      </w:r>
      <w:r w:rsidR="00E82E1E">
        <w:t xml:space="preserve"> Link</w:t>
      </w:r>
      <w:r w:rsidRPr="0055729D">
        <w:t xml:space="preserve"> </w:t>
      </w:r>
      <w:r w:rsidR="00F23A82">
        <w:t>Asset</w:t>
      </w:r>
      <w:r w:rsidRPr="0055729D">
        <w:t xml:space="preserve"> Services.  Institutions that cease to meet the criteria above will immediately cease to be treated as specified investments.</w:t>
      </w:r>
    </w:p>
    <w:p w14:paraId="545680A8" w14:textId="77777777" w:rsidR="00D319CE" w:rsidRDefault="00D319CE" w:rsidP="001D3578">
      <w:pPr>
        <w:pStyle w:val="ListParagraph"/>
        <w:jc w:val="both"/>
      </w:pPr>
    </w:p>
    <w:p w14:paraId="7CE1365E" w14:textId="6B00B1E3" w:rsidR="00FA79D8" w:rsidRDefault="00D319CE" w:rsidP="00C22B55">
      <w:pPr>
        <w:numPr>
          <w:ilvl w:val="1"/>
          <w:numId w:val="10"/>
        </w:numPr>
        <w:tabs>
          <w:tab w:val="clear" w:pos="720"/>
          <w:tab w:val="left" w:pos="360"/>
          <w:tab w:val="num" w:pos="567"/>
        </w:tabs>
        <w:spacing w:line="276" w:lineRule="auto"/>
        <w:ind w:left="567" w:hanging="567"/>
        <w:jc w:val="both"/>
      </w:pPr>
      <w:r>
        <w:t xml:space="preserve">    </w:t>
      </w:r>
      <w:r w:rsidR="00FA79D8">
        <w:t xml:space="preserve">Non-specified investments are those that do not meet the criteria in 5.4 to 5.6 above. In determining which categories of non-specified investments may prudently be used, account will be taken of advice from </w:t>
      </w:r>
      <w:r w:rsidR="00BC0A23">
        <w:t>the advisors,</w:t>
      </w:r>
      <w:r w:rsidR="00FA79D8">
        <w:t xml:space="preserve"> </w:t>
      </w:r>
      <w:r w:rsidR="00BB2ED1">
        <w:t>L</w:t>
      </w:r>
      <w:r w:rsidR="007D3609">
        <w:t xml:space="preserve">ink </w:t>
      </w:r>
      <w:r w:rsidR="00BB2ED1">
        <w:t>A</w:t>
      </w:r>
      <w:r w:rsidR="007D3609">
        <w:t xml:space="preserve">sset </w:t>
      </w:r>
      <w:r w:rsidR="00BB2ED1">
        <w:t>S</w:t>
      </w:r>
      <w:r w:rsidR="007D3609">
        <w:t>ervices</w:t>
      </w:r>
      <w:r w:rsidR="00BC0A23">
        <w:t>,</w:t>
      </w:r>
      <w:r w:rsidR="00FA79D8">
        <w:t xml:space="preserve"> and, if investments are for 12 months or more, long-term credit ratings </w:t>
      </w:r>
      <w:r w:rsidR="00411CD0">
        <w:t xml:space="preserve">will be utilised </w:t>
      </w:r>
      <w:r w:rsidR="00FA79D8">
        <w:t>as determined by Fitch IBCA.</w:t>
      </w:r>
    </w:p>
    <w:p w14:paraId="66EFB33A" w14:textId="77777777" w:rsidR="00AA4E6B" w:rsidRDefault="00AA4E6B" w:rsidP="001D3578">
      <w:pPr>
        <w:numPr>
          <w:ilvl w:val="12"/>
          <w:numId w:val="0"/>
        </w:numPr>
        <w:tabs>
          <w:tab w:val="left" w:pos="360"/>
        </w:tabs>
        <w:jc w:val="both"/>
      </w:pPr>
    </w:p>
    <w:p w14:paraId="14BB944F" w14:textId="2296ECEF" w:rsidR="00FA79D8" w:rsidRDefault="00FA79D8" w:rsidP="00C22B55">
      <w:pPr>
        <w:pStyle w:val="ListParagraph"/>
        <w:numPr>
          <w:ilvl w:val="1"/>
          <w:numId w:val="10"/>
        </w:numPr>
        <w:tabs>
          <w:tab w:val="clear" w:pos="720"/>
          <w:tab w:val="num" w:pos="567"/>
        </w:tabs>
        <w:ind w:left="567" w:hanging="567"/>
        <w:jc w:val="both"/>
      </w:pPr>
      <w:r>
        <w:t>So far, the following categories of investment have been identified as prudent for use</w:t>
      </w:r>
      <w:r w:rsidR="004F0852">
        <w:t xml:space="preserve"> for non-specified investments</w:t>
      </w:r>
      <w:r>
        <w:t xml:space="preserve">. The table also shows </w:t>
      </w:r>
      <w:r w:rsidR="005627AB">
        <w:t>the</w:t>
      </w:r>
      <w:r>
        <w:t xml:space="preserve"> maximum </w:t>
      </w:r>
      <w:r w:rsidR="005627AB">
        <w:t>value</w:t>
      </w:r>
      <w:r>
        <w:t xml:space="preserve"> of investments that may be held:</w:t>
      </w:r>
    </w:p>
    <w:p w14:paraId="7B35652D" w14:textId="29FC83FB" w:rsidR="00AA4E6B" w:rsidRDefault="00AA4E6B" w:rsidP="00AA4E6B"/>
    <w:p w14:paraId="2741FF4A" w14:textId="77777777" w:rsidR="00BD5CA1" w:rsidRDefault="00BD5CA1" w:rsidP="00AA4E6B"/>
    <w:tbl>
      <w:tblPr>
        <w:tblStyle w:val="GridTable5Dark-Accent1"/>
        <w:tblW w:w="9027" w:type="dxa"/>
        <w:tblInd w:w="607" w:type="dxa"/>
        <w:tblLayout w:type="fixed"/>
        <w:tblLook w:val="0000" w:firstRow="0" w:lastRow="0" w:firstColumn="0" w:lastColumn="0" w:noHBand="0" w:noVBand="0"/>
      </w:tblPr>
      <w:tblGrid>
        <w:gridCol w:w="5484"/>
        <w:gridCol w:w="3543"/>
      </w:tblGrid>
      <w:tr w:rsidR="00FA79D8" w14:paraId="62E8F899" w14:textId="77777777" w:rsidTr="00832F2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484" w:type="dxa"/>
          </w:tcPr>
          <w:p w14:paraId="4A775E51" w14:textId="77777777" w:rsidR="00FA79D8" w:rsidRDefault="00FA79D8" w:rsidP="002D5C10">
            <w:pPr>
              <w:rPr>
                <w:b/>
              </w:rPr>
            </w:pPr>
            <w:r>
              <w:rPr>
                <w:b/>
              </w:rPr>
              <w:t>Category of investment</w:t>
            </w:r>
          </w:p>
        </w:tc>
        <w:tc>
          <w:tcPr>
            <w:tcW w:w="3543" w:type="dxa"/>
          </w:tcPr>
          <w:p w14:paraId="606A23B6" w14:textId="77777777" w:rsidR="00FA79D8" w:rsidRDefault="008643C4" w:rsidP="005627AB">
            <w:pPr>
              <w:jc w:val="center"/>
              <w:cnfStyle w:val="000000100000" w:firstRow="0" w:lastRow="0" w:firstColumn="0" w:lastColumn="0" w:oddVBand="0" w:evenVBand="0" w:oddHBand="1" w:evenHBand="0" w:firstRowFirstColumn="0" w:firstRowLastColumn="0" w:lastRowFirstColumn="0" w:lastRowLastColumn="0"/>
              <w:rPr>
                <w:b/>
              </w:rPr>
            </w:pPr>
            <w:r>
              <w:rPr>
                <w:b/>
              </w:rPr>
              <w:t>Maximum value f</w:t>
            </w:r>
            <w:r w:rsidR="00FA79D8">
              <w:rPr>
                <w:b/>
              </w:rPr>
              <w:t>or this category of investments</w:t>
            </w:r>
          </w:p>
        </w:tc>
      </w:tr>
      <w:tr w:rsidR="00FA79D8" w14:paraId="1D70816E" w14:textId="77777777" w:rsidTr="00832F21">
        <w:tc>
          <w:tcPr>
            <w:cnfStyle w:val="000010000000" w:firstRow="0" w:lastRow="0" w:firstColumn="0" w:lastColumn="0" w:oddVBand="1" w:evenVBand="0" w:oddHBand="0" w:evenHBand="0" w:firstRowFirstColumn="0" w:firstRowLastColumn="0" w:lastRowFirstColumn="0" w:lastRowLastColumn="0"/>
            <w:tcW w:w="5484" w:type="dxa"/>
          </w:tcPr>
          <w:p w14:paraId="1E95EC9C" w14:textId="77777777" w:rsidR="00FA79D8" w:rsidRDefault="00FA79D8" w:rsidP="002D5C10">
            <w:r>
              <w:t>Sterling deposits in excess of 364 days with Local Authorities and UK banks (where these are not “specified investments” as defined above).</w:t>
            </w:r>
          </w:p>
        </w:tc>
        <w:tc>
          <w:tcPr>
            <w:tcW w:w="3543" w:type="dxa"/>
            <w:shd w:val="clear" w:color="auto" w:fill="B4C6E7" w:themeFill="accent1" w:themeFillTint="66"/>
          </w:tcPr>
          <w:p w14:paraId="78A2ED24" w14:textId="16057070" w:rsidR="00FA79D8" w:rsidRDefault="002D6618" w:rsidP="008643C4">
            <w:pPr>
              <w:jc w:val="center"/>
              <w:cnfStyle w:val="000000000000" w:firstRow="0" w:lastRow="0" w:firstColumn="0" w:lastColumn="0" w:oddVBand="0" w:evenVBand="0" w:oddHBand="0" w:evenHBand="0" w:firstRowFirstColumn="0" w:firstRowLastColumn="0" w:lastRowFirstColumn="0" w:lastRowLastColumn="0"/>
            </w:pPr>
            <w:r>
              <w:t>£4</w:t>
            </w:r>
            <w:r w:rsidR="00FA79D8" w:rsidRPr="009B359B">
              <w:t>0</w:t>
            </w:r>
            <w:r w:rsidR="008643C4">
              <w:t>m</w:t>
            </w:r>
          </w:p>
        </w:tc>
      </w:tr>
      <w:tr w:rsidR="00BB2ED1" w14:paraId="3A2B856A" w14:textId="77777777" w:rsidTr="00832F2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484" w:type="dxa"/>
          </w:tcPr>
          <w:p w14:paraId="00221C7A" w14:textId="77777777" w:rsidR="00BB2ED1" w:rsidRDefault="00BB2ED1" w:rsidP="002D5C10">
            <w:r>
              <w:t>Property Funds based in the UK</w:t>
            </w:r>
          </w:p>
        </w:tc>
        <w:tc>
          <w:tcPr>
            <w:tcW w:w="3543" w:type="dxa"/>
          </w:tcPr>
          <w:p w14:paraId="37AB1AAF" w14:textId="77777777" w:rsidR="00BB2ED1" w:rsidRDefault="00BB2ED1" w:rsidP="008643C4">
            <w:pPr>
              <w:jc w:val="center"/>
              <w:cnfStyle w:val="000000100000" w:firstRow="0" w:lastRow="0" w:firstColumn="0" w:lastColumn="0" w:oddVBand="0" w:evenVBand="0" w:oddHBand="1" w:evenHBand="0" w:firstRowFirstColumn="0" w:firstRowLastColumn="0" w:lastRowFirstColumn="0" w:lastRowLastColumn="0"/>
            </w:pPr>
            <w:r w:rsidRPr="002D6618">
              <w:t>£5m</w:t>
            </w:r>
          </w:p>
        </w:tc>
      </w:tr>
    </w:tbl>
    <w:p w14:paraId="32AA1391" w14:textId="77777777" w:rsidR="00FA79D8" w:rsidRDefault="00FA79D8" w:rsidP="00FA79D8"/>
    <w:p w14:paraId="41BD7645" w14:textId="0B856580" w:rsidR="0000642E" w:rsidRDefault="009D56DD" w:rsidP="001D3578">
      <w:pPr>
        <w:ind w:left="720" w:hanging="720"/>
        <w:jc w:val="both"/>
      </w:pPr>
      <w:r>
        <w:t>5.1</w:t>
      </w:r>
      <w:r w:rsidR="00C22B55">
        <w:t>0</w:t>
      </w:r>
      <w:r w:rsidR="00C22B55">
        <w:tab/>
      </w:r>
      <w:r w:rsidR="0000642E">
        <w:t>Property</w:t>
      </w:r>
      <w:r w:rsidR="00606D46">
        <w:t xml:space="preserve"> funds provide investors with </w:t>
      </w:r>
      <w:r w:rsidR="0000642E">
        <w:t xml:space="preserve">long term income and potential long-term capital appreciation.  </w:t>
      </w:r>
      <w:r w:rsidR="00355A49">
        <w:t>These types of funds</w:t>
      </w:r>
      <w:r w:rsidR="0000642E">
        <w:t xml:space="preserve"> are actively managed in a diversified portfolio of commercial property</w:t>
      </w:r>
    </w:p>
    <w:p w14:paraId="6C06072A" w14:textId="77777777" w:rsidR="0000642E" w:rsidRDefault="0000642E" w:rsidP="001D3578">
      <w:pPr>
        <w:jc w:val="both"/>
      </w:pPr>
    </w:p>
    <w:p w14:paraId="3E4DD6FC" w14:textId="7DCAA57A" w:rsidR="00FA79D8" w:rsidRDefault="009D56DD" w:rsidP="001D3578">
      <w:pPr>
        <w:ind w:left="720" w:hanging="720"/>
        <w:jc w:val="both"/>
      </w:pPr>
      <w:r>
        <w:lastRenderedPageBreak/>
        <w:t>5.1</w:t>
      </w:r>
      <w:r w:rsidR="00C22B55">
        <w:t>1</w:t>
      </w:r>
      <w:r w:rsidR="0000642E">
        <w:tab/>
      </w:r>
      <w:r w:rsidR="00FA79D8" w:rsidRPr="009B4C83">
        <w:t>In determining the maximum period for wh</w:t>
      </w:r>
      <w:r w:rsidR="00FA79D8">
        <w:t>ich investments may be held,</w:t>
      </w:r>
      <w:r w:rsidR="00FA79D8" w:rsidRPr="009B4C83">
        <w:t xml:space="preserve"> regard to </w:t>
      </w:r>
      <w:r w:rsidR="00FA79D8">
        <w:t>the</w:t>
      </w:r>
      <w:r w:rsidR="00FA79D8" w:rsidRPr="009B4C83">
        <w:t xml:space="preserve"> most recent cash flow forecast </w:t>
      </w:r>
      <w:r w:rsidR="00FA79D8">
        <w:t>will be taken</w:t>
      </w:r>
      <w:r w:rsidR="00FA79D8" w:rsidRPr="009B4C83">
        <w:t xml:space="preserve">.  </w:t>
      </w:r>
      <w:r w:rsidR="00FA79D8">
        <w:t>No</w:t>
      </w:r>
      <w:r w:rsidR="00FA79D8" w:rsidRPr="009B4C83">
        <w:t xml:space="preserve"> investment </w:t>
      </w:r>
      <w:r w:rsidR="00FA79D8">
        <w:t xml:space="preserve">will be entered into </w:t>
      </w:r>
      <w:r w:rsidR="00FA79D8" w:rsidRPr="009B4C83">
        <w:t xml:space="preserve">where </w:t>
      </w:r>
      <w:r w:rsidR="00FA79D8">
        <w:t>the</w:t>
      </w:r>
      <w:r w:rsidR="00FA79D8" w:rsidRPr="009B4C83">
        <w:t xml:space="preserve"> cash-flow forecast indicates that, as a result of that investment, </w:t>
      </w:r>
      <w:r w:rsidR="00FA79D8">
        <w:t>the C</w:t>
      </w:r>
      <w:r w:rsidR="006C6F98">
        <w:t>ommissioner</w:t>
      </w:r>
      <w:r w:rsidR="00FA79D8" w:rsidRPr="009B4C83">
        <w:t xml:space="preserve"> would be forced to borrow money in a future year that would not otherwise have had to </w:t>
      </w:r>
      <w:r w:rsidR="00FA79D8">
        <w:t xml:space="preserve">be </w:t>
      </w:r>
      <w:r w:rsidR="00FA79D8" w:rsidRPr="009B4C83">
        <w:t>borrow</w:t>
      </w:r>
      <w:r w:rsidR="00FA79D8">
        <w:t>ed</w:t>
      </w:r>
      <w:r w:rsidR="00FA79D8" w:rsidRPr="009B4C83">
        <w:t>.</w:t>
      </w:r>
    </w:p>
    <w:p w14:paraId="4B3D5DC9" w14:textId="77777777" w:rsidR="00FA79D8" w:rsidRDefault="00FA79D8" w:rsidP="001D3578">
      <w:pPr>
        <w:ind w:left="720" w:hanging="720"/>
        <w:jc w:val="both"/>
      </w:pPr>
    </w:p>
    <w:p w14:paraId="56342756" w14:textId="2D85A705" w:rsidR="004C73E6" w:rsidRDefault="00FA79D8" w:rsidP="008F0C00">
      <w:pPr>
        <w:ind w:left="720" w:hanging="720"/>
        <w:jc w:val="both"/>
      </w:pPr>
      <w:r w:rsidRPr="009B4C83">
        <w:t>5.1</w:t>
      </w:r>
      <w:r w:rsidR="00C22B55">
        <w:t>2</w:t>
      </w:r>
      <w:r w:rsidRPr="009B4C83">
        <w:tab/>
      </w:r>
      <w:r>
        <w:t>Also</w:t>
      </w:r>
      <w:r w:rsidRPr="009B4C83">
        <w:t xml:space="preserve"> at the time of making a new investment, long-term investments (investments of one year’s duration or more) </w:t>
      </w:r>
      <w:r>
        <w:t xml:space="preserve">should not constitute </w:t>
      </w:r>
      <w:r w:rsidRPr="009B4C83">
        <w:t xml:space="preserve">more than </w:t>
      </w:r>
      <w:r>
        <w:t>30</w:t>
      </w:r>
      <w:r w:rsidRPr="009B4C83">
        <w:t xml:space="preserve">% of </w:t>
      </w:r>
      <w:r>
        <w:t>the</w:t>
      </w:r>
      <w:r w:rsidRPr="009B4C83">
        <w:t xml:space="preserve"> total pool of investments.</w:t>
      </w:r>
    </w:p>
    <w:p w14:paraId="2013706A" w14:textId="50033C4C" w:rsidR="00AD0C55" w:rsidRDefault="00AD0C55" w:rsidP="001D3578">
      <w:pPr>
        <w:pStyle w:val="BodyTextIndent"/>
        <w:spacing w:after="0"/>
        <w:ind w:left="720" w:hanging="720"/>
        <w:jc w:val="both"/>
        <w:rPr>
          <w:rFonts w:ascii="Arial" w:hAnsi="Arial"/>
          <w:bCs/>
        </w:rPr>
      </w:pPr>
    </w:p>
    <w:p w14:paraId="772BAB54" w14:textId="77777777" w:rsidR="00FA79D8" w:rsidRDefault="00FA79D8" w:rsidP="001D3578">
      <w:pPr>
        <w:jc w:val="both"/>
        <w:rPr>
          <w:bCs/>
        </w:rPr>
      </w:pPr>
    </w:p>
    <w:p w14:paraId="6158A0A9" w14:textId="77777777" w:rsidR="00FA79D8" w:rsidRDefault="00FA79D8" w:rsidP="00FA79D8">
      <w:pPr>
        <w:rPr>
          <w:b/>
        </w:rPr>
      </w:pPr>
      <w:r w:rsidRPr="009B359B">
        <w:rPr>
          <w:b/>
        </w:rPr>
        <w:t xml:space="preserve">6.0 </w:t>
      </w:r>
      <w:r w:rsidRPr="009B359B">
        <w:rPr>
          <w:b/>
        </w:rPr>
        <w:tab/>
        <w:t>CAPITAL BORROWING REQUIREMENT &amp; STRATEGY</w:t>
      </w:r>
    </w:p>
    <w:p w14:paraId="0F53D782" w14:textId="77777777" w:rsidR="00DD6BA3" w:rsidRDefault="00DD6BA3" w:rsidP="00FA79D8">
      <w:pPr>
        <w:rPr>
          <w:b/>
        </w:rPr>
      </w:pPr>
    </w:p>
    <w:p w14:paraId="20186A02" w14:textId="64C5969E" w:rsidR="00FA79D8" w:rsidRDefault="00FA79D8" w:rsidP="001D3578">
      <w:pPr>
        <w:ind w:left="720" w:hanging="720"/>
        <w:jc w:val="both"/>
      </w:pPr>
      <w:r w:rsidRPr="008A4C66">
        <w:t>6.1</w:t>
      </w:r>
      <w:r>
        <w:tab/>
      </w:r>
      <w:r w:rsidRPr="00B733D1">
        <w:rPr>
          <w:color w:val="000000"/>
        </w:rPr>
        <w:t xml:space="preserve">The </w:t>
      </w:r>
      <w:r>
        <w:rPr>
          <w:color w:val="000000"/>
        </w:rPr>
        <w:t>C</w:t>
      </w:r>
      <w:r w:rsidR="0002750E">
        <w:rPr>
          <w:color w:val="000000"/>
        </w:rPr>
        <w:t>ommissioner</w:t>
      </w:r>
      <w:r>
        <w:rPr>
          <w:color w:val="000000"/>
        </w:rPr>
        <w:t>’s CFO</w:t>
      </w:r>
      <w:r w:rsidRPr="00B733D1">
        <w:rPr>
          <w:color w:val="000000"/>
        </w:rPr>
        <w:t xml:space="preserve"> has undertaken a review of capital investment requirements and likely resource levels</w:t>
      </w:r>
      <w:r w:rsidR="00F87681">
        <w:rPr>
          <w:color w:val="000000"/>
        </w:rPr>
        <w:t>. A</w:t>
      </w:r>
      <w:r w:rsidR="00BC0A23">
        <w:rPr>
          <w:color w:val="000000"/>
        </w:rPr>
        <w:t>lthough</w:t>
      </w:r>
      <w:r>
        <w:rPr>
          <w:color w:val="000000"/>
        </w:rPr>
        <w:t xml:space="preserve"> t</w:t>
      </w:r>
      <w:r w:rsidRPr="00B733D1">
        <w:t xml:space="preserve">here is </w:t>
      </w:r>
      <w:r w:rsidR="007B75E3">
        <w:t>some</w:t>
      </w:r>
      <w:r w:rsidRPr="00B733D1">
        <w:t xml:space="preserve"> uncertainty around specific requirements and future funding levels</w:t>
      </w:r>
      <w:r w:rsidR="005627AB">
        <w:t xml:space="preserve">, it is </w:t>
      </w:r>
      <w:r w:rsidR="00046EC8">
        <w:t>certain</w:t>
      </w:r>
      <w:r w:rsidR="00BC0A23">
        <w:t xml:space="preserve"> that there </w:t>
      </w:r>
      <w:r w:rsidR="00C32093">
        <w:t>will</w:t>
      </w:r>
      <w:r w:rsidR="00BC0A23">
        <w:t xml:space="preserve"> be a need to </w:t>
      </w:r>
      <w:r w:rsidR="00F87681">
        <w:t xml:space="preserve">borrow </w:t>
      </w:r>
      <w:r w:rsidR="00DD6BA3">
        <w:t xml:space="preserve">further </w:t>
      </w:r>
      <w:r w:rsidR="00F87681">
        <w:t xml:space="preserve">to fund the </w:t>
      </w:r>
      <w:r w:rsidR="00D319CE">
        <w:t xml:space="preserve">Estates Strategy </w:t>
      </w:r>
      <w:r w:rsidR="00C32093">
        <w:t xml:space="preserve">over the life of the </w:t>
      </w:r>
      <w:r w:rsidR="00F87681">
        <w:t>Capital Programme</w:t>
      </w:r>
      <w:r w:rsidR="00C32093">
        <w:t>.</w:t>
      </w:r>
    </w:p>
    <w:p w14:paraId="63A796CE" w14:textId="77777777" w:rsidR="00FA79D8" w:rsidRDefault="00FA79D8" w:rsidP="001D3578">
      <w:pPr>
        <w:ind w:left="720" w:hanging="720"/>
        <w:jc w:val="both"/>
      </w:pPr>
      <w:r>
        <w:tab/>
      </w:r>
    </w:p>
    <w:p w14:paraId="413CD808" w14:textId="0F4413C3" w:rsidR="0020545F" w:rsidRDefault="00FA79D8" w:rsidP="00666757">
      <w:pPr>
        <w:ind w:left="720" w:hanging="720"/>
        <w:jc w:val="both"/>
      </w:pPr>
      <w:r>
        <w:t>6.</w:t>
      </w:r>
      <w:r w:rsidR="00046EC8">
        <w:t>2</w:t>
      </w:r>
      <w:r w:rsidR="00046EC8">
        <w:tab/>
      </w:r>
      <w:r w:rsidR="00435814">
        <w:t>The</w:t>
      </w:r>
      <w:r w:rsidRPr="0011633A">
        <w:t xml:space="preserve"> next financial year is expected to </w:t>
      </w:r>
      <w:r w:rsidR="0002750E" w:rsidRPr="0011633A">
        <w:t>se</w:t>
      </w:r>
      <w:r w:rsidRPr="0011633A">
        <w:t xml:space="preserve">e a </w:t>
      </w:r>
      <w:r w:rsidR="00F40B77">
        <w:t>peak in the</w:t>
      </w:r>
      <w:r w:rsidR="001800F3">
        <w:t xml:space="preserve"> bank r</w:t>
      </w:r>
      <w:r w:rsidRPr="0011633A">
        <w:t xml:space="preserve">ate which may </w:t>
      </w:r>
      <w:r w:rsidR="00666757">
        <w:t>push decisions to borrow back in anticipation of rates dropping in the future</w:t>
      </w:r>
      <w:r w:rsidRPr="0011633A">
        <w:t xml:space="preserve">. </w:t>
      </w:r>
      <w:r w:rsidR="0011633A" w:rsidRPr="0011633A">
        <w:t>If</w:t>
      </w:r>
      <w:r w:rsidRPr="0011633A">
        <w:t xml:space="preserve"> investments exceed the borrowing requirement over the next year, and cash can be accessed from maturing investments, consideration needs to be given to the potential of internal borrowing.</w:t>
      </w:r>
    </w:p>
    <w:p w14:paraId="52043CA7" w14:textId="77777777" w:rsidR="0020545F" w:rsidRDefault="0020545F" w:rsidP="0020545F">
      <w:pPr>
        <w:ind w:left="720" w:hanging="720"/>
        <w:jc w:val="both"/>
      </w:pPr>
    </w:p>
    <w:p w14:paraId="558BDB6C" w14:textId="1C06D0EC" w:rsidR="00FA79D8" w:rsidRDefault="0020545F" w:rsidP="0020545F">
      <w:pPr>
        <w:ind w:left="720" w:hanging="720"/>
        <w:jc w:val="both"/>
      </w:pPr>
      <w:r>
        <w:t>6.</w:t>
      </w:r>
      <w:r w:rsidR="00666757">
        <w:t>3</w:t>
      </w:r>
      <w:r>
        <w:tab/>
      </w:r>
      <w:r w:rsidR="00FA79D8" w:rsidRPr="00006B36">
        <w:t xml:space="preserve">The </w:t>
      </w:r>
      <w:r w:rsidR="00FA79D8">
        <w:t>C</w:t>
      </w:r>
      <w:r w:rsidR="0002750E">
        <w:t>ommissioner</w:t>
      </w:r>
      <w:r w:rsidR="00FA79D8">
        <w:t>’s CFO</w:t>
      </w:r>
      <w:r w:rsidR="00FA79D8" w:rsidRPr="00006B36">
        <w:t xml:space="preserve"> will </w:t>
      </w:r>
      <w:r w:rsidR="008B4412">
        <w:t xml:space="preserve">continue to cautiously </w:t>
      </w:r>
      <w:r w:rsidR="00FA79D8" w:rsidRPr="00006B36">
        <w:t>monitor the interest rate market and adopt a pragmatic approach to any changing circumstances</w:t>
      </w:r>
      <w:r w:rsidR="00A70928">
        <w:t xml:space="preserve"> such as the evolving Estates Strategy</w:t>
      </w:r>
      <w:r w:rsidR="002973EE">
        <w:t xml:space="preserve"> or deployment of new technology</w:t>
      </w:r>
      <w:r w:rsidR="00A70928">
        <w:t>.</w:t>
      </w:r>
    </w:p>
    <w:p w14:paraId="2E1096DA" w14:textId="4D77FB3E" w:rsidR="00721205" w:rsidRDefault="00721205" w:rsidP="001D3578">
      <w:pPr>
        <w:ind w:left="720" w:hanging="720"/>
        <w:jc w:val="both"/>
      </w:pPr>
    </w:p>
    <w:p w14:paraId="0EEE4F65" w14:textId="589B3389" w:rsidR="00721205" w:rsidRDefault="00721205" w:rsidP="001D3578">
      <w:pPr>
        <w:ind w:left="720" w:hanging="720"/>
        <w:jc w:val="both"/>
      </w:pPr>
      <w:r>
        <w:t>6.</w:t>
      </w:r>
      <w:r w:rsidR="00666757">
        <w:t>4</w:t>
      </w:r>
      <w:r w:rsidR="0020545F">
        <w:tab/>
      </w:r>
      <w:r>
        <w:t xml:space="preserve">The Commissioner may choose to forward borrow and lock in lower interest rates if the opportunity presents itself.  This will involve committing to borrow an amount of money at a date in the future at a designated rate.  The Commissioner will then be committed to take on the borrowing even if the requirement to borrow </w:t>
      </w:r>
      <w:r w:rsidR="001F5CAF">
        <w:t xml:space="preserve">is no longer present </w:t>
      </w:r>
      <w:r>
        <w:t xml:space="preserve">or the prevailing interest rate drops. </w:t>
      </w:r>
    </w:p>
    <w:p w14:paraId="17979E3D" w14:textId="77777777" w:rsidR="008B4412" w:rsidRDefault="008B4412" w:rsidP="001D3578">
      <w:pPr>
        <w:jc w:val="both"/>
      </w:pPr>
    </w:p>
    <w:p w14:paraId="115D14E0" w14:textId="77777777" w:rsidR="00FA79D8" w:rsidRDefault="00FA79D8" w:rsidP="001D3578">
      <w:pPr>
        <w:ind w:left="720" w:hanging="720"/>
        <w:jc w:val="both"/>
      </w:pPr>
    </w:p>
    <w:p w14:paraId="3AF69643" w14:textId="0E2D2AD1" w:rsidR="00FA79D8" w:rsidRDefault="009D56DD" w:rsidP="001D3578">
      <w:pPr>
        <w:ind w:left="720" w:hanging="720"/>
        <w:jc w:val="both"/>
        <w:rPr>
          <w:b/>
        </w:rPr>
      </w:pPr>
      <w:r>
        <w:rPr>
          <w:b/>
        </w:rPr>
        <w:t>7.0</w:t>
      </w:r>
      <w:r>
        <w:rPr>
          <w:b/>
        </w:rPr>
        <w:tab/>
      </w:r>
      <w:r w:rsidR="00FA79D8">
        <w:rPr>
          <w:b/>
        </w:rPr>
        <w:t>DEBT RESCHEDULING AND PREMATURE REPAYMENT OPPORTUNITIES</w:t>
      </w:r>
    </w:p>
    <w:p w14:paraId="484CB545" w14:textId="77777777" w:rsidR="00435814" w:rsidRDefault="00435814" w:rsidP="001D3578">
      <w:pPr>
        <w:ind w:left="720" w:hanging="720"/>
        <w:jc w:val="both"/>
      </w:pPr>
    </w:p>
    <w:p w14:paraId="20EF6DB8" w14:textId="20E27CEF" w:rsidR="00FA79D8" w:rsidRDefault="009D56DD" w:rsidP="001D3578">
      <w:pPr>
        <w:ind w:left="719" w:hanging="719"/>
        <w:jc w:val="both"/>
      </w:pPr>
      <w:r>
        <w:t>7.1</w:t>
      </w:r>
      <w:r>
        <w:tab/>
      </w:r>
      <w:r w:rsidR="00FA79D8" w:rsidRPr="00C60046">
        <w:tab/>
        <w:t>The introduction of different PWLB rates on 1 November 2007 for new borrowing as</w:t>
      </w:r>
      <w:r w:rsidR="00FA79D8">
        <w:t xml:space="preserve"> </w:t>
      </w:r>
      <w:r w:rsidR="00FA79D8" w:rsidRPr="00C60046">
        <w:t>opposed to early repayment of debt, and the setting of a spread between the two rates (of about 40 – 50 basis points for the longest period loans narrowing down to 25 – 30 basis points for the shortest loans), has meant that PWLB to PWLB debt restructuring is now much less attractive</w:t>
      </w:r>
      <w:r w:rsidR="00FA79D8">
        <w:t>.</w:t>
      </w:r>
    </w:p>
    <w:p w14:paraId="1C50FC78" w14:textId="77777777" w:rsidR="00FA79D8" w:rsidRDefault="00FA79D8" w:rsidP="001D3578">
      <w:pPr>
        <w:ind w:left="719" w:hanging="719"/>
        <w:jc w:val="both"/>
      </w:pPr>
    </w:p>
    <w:p w14:paraId="7DC58713" w14:textId="7C205279" w:rsidR="00FA79D8" w:rsidRDefault="009D56DD" w:rsidP="00666757">
      <w:pPr>
        <w:ind w:left="719" w:hanging="719"/>
        <w:jc w:val="both"/>
        <w:rPr>
          <w:bCs/>
        </w:rPr>
      </w:pPr>
      <w:r>
        <w:t>7.2</w:t>
      </w:r>
      <w:r>
        <w:tab/>
      </w:r>
      <w:r w:rsidR="00666757" w:rsidRPr="00666757">
        <w:t xml:space="preserve">Rescheduling of current borrowing in our debt portfolio is unlikely to occur as there is still a large difference between premature redemption rates and new borrowing rates. </w:t>
      </w:r>
    </w:p>
    <w:p w14:paraId="431B6AEC" w14:textId="77777777" w:rsidR="007C77A0" w:rsidRDefault="007C77A0" w:rsidP="001D3578">
      <w:pPr>
        <w:jc w:val="both"/>
        <w:rPr>
          <w:bCs/>
        </w:rPr>
      </w:pPr>
    </w:p>
    <w:p w14:paraId="7EC25BD0" w14:textId="77777777" w:rsidR="00253052" w:rsidRDefault="00253052" w:rsidP="001D3578">
      <w:pPr>
        <w:jc w:val="both"/>
        <w:rPr>
          <w:bCs/>
        </w:rPr>
      </w:pPr>
    </w:p>
    <w:p w14:paraId="175A9687" w14:textId="10D7BAFC" w:rsidR="00FA79D8" w:rsidRDefault="009D56DD" w:rsidP="001D3578">
      <w:pPr>
        <w:ind w:left="720" w:hanging="720"/>
        <w:jc w:val="both"/>
        <w:rPr>
          <w:b/>
        </w:rPr>
      </w:pPr>
      <w:r>
        <w:rPr>
          <w:b/>
        </w:rPr>
        <w:t>8.0</w:t>
      </w:r>
      <w:r w:rsidR="00FA79D8">
        <w:rPr>
          <w:b/>
        </w:rPr>
        <w:tab/>
        <w:t>MINIMUM REVENUE PROVISION STRATEGY</w:t>
      </w:r>
    </w:p>
    <w:p w14:paraId="41D30576" w14:textId="77777777" w:rsidR="00435814" w:rsidRDefault="00435814" w:rsidP="001D3578">
      <w:pPr>
        <w:ind w:left="720" w:hanging="720"/>
        <w:jc w:val="both"/>
        <w:rPr>
          <w:b/>
        </w:rPr>
      </w:pPr>
    </w:p>
    <w:p w14:paraId="094D7357" w14:textId="7BA5D959" w:rsidR="00FA79D8" w:rsidRDefault="009D56DD" w:rsidP="001D3578">
      <w:pPr>
        <w:ind w:left="720" w:hanging="720"/>
        <w:jc w:val="both"/>
        <w:rPr>
          <w:color w:val="000000"/>
        </w:rPr>
      </w:pPr>
      <w:r>
        <w:t>8.1</w:t>
      </w:r>
      <w:r w:rsidR="00FA79D8">
        <w:tab/>
      </w:r>
      <w:r w:rsidR="00FA79D8" w:rsidRPr="00722708">
        <w:rPr>
          <w:color w:val="000000"/>
        </w:rPr>
        <w:t xml:space="preserve">Capital expenditure is expenditure on assets which have a life expectancy of more than one year e.g. buildings, vehicles, </w:t>
      </w:r>
      <w:r w:rsidR="00FA79D8">
        <w:rPr>
          <w:color w:val="000000"/>
        </w:rPr>
        <w:t xml:space="preserve">and </w:t>
      </w:r>
      <w:r w:rsidR="00594D60">
        <w:rPr>
          <w:color w:val="000000"/>
        </w:rPr>
        <w:t>equipment</w:t>
      </w:r>
      <w:r w:rsidR="00FA79D8" w:rsidRPr="00722708">
        <w:rPr>
          <w:color w:val="000000"/>
        </w:rPr>
        <w:t xml:space="preserve">. </w:t>
      </w:r>
      <w:r w:rsidR="0013003E">
        <w:rPr>
          <w:color w:val="000000"/>
        </w:rPr>
        <w:t xml:space="preserve">Occasionally the Commissioner has to borrow to fund this expenditure. The loans taken out for this purpose are fully repayable at </w:t>
      </w:r>
      <w:r w:rsidR="0032793E">
        <w:rPr>
          <w:color w:val="000000"/>
        </w:rPr>
        <w:t xml:space="preserve">a </w:t>
      </w:r>
      <w:r w:rsidR="0013003E">
        <w:rPr>
          <w:color w:val="000000"/>
        </w:rPr>
        <w:t>future point in time (</w:t>
      </w:r>
      <w:r w:rsidR="001800F3">
        <w:rPr>
          <w:color w:val="000000"/>
        </w:rPr>
        <w:t xml:space="preserve">they are </w:t>
      </w:r>
      <w:r w:rsidR="00BD5CA1">
        <w:rPr>
          <w:color w:val="000000"/>
        </w:rPr>
        <w:t>paid o</w:t>
      </w:r>
      <w:r w:rsidR="001800F3">
        <w:rPr>
          <w:color w:val="000000"/>
        </w:rPr>
        <w:t>ff at maturity and not in insta</w:t>
      </w:r>
      <w:r w:rsidR="00BD5CA1">
        <w:rPr>
          <w:color w:val="000000"/>
        </w:rPr>
        <w:t>lments</w:t>
      </w:r>
      <w:r w:rsidR="0013003E">
        <w:rPr>
          <w:color w:val="000000"/>
        </w:rPr>
        <w:t xml:space="preserve">). The concept of Minimum Revenue Provision was introduced </w:t>
      </w:r>
      <w:r w:rsidR="0032793E">
        <w:rPr>
          <w:color w:val="000000"/>
        </w:rPr>
        <w:t xml:space="preserve">to prescribe a minimum </w:t>
      </w:r>
      <w:r w:rsidR="0032793E">
        <w:rPr>
          <w:color w:val="000000"/>
        </w:rPr>
        <w:lastRenderedPageBreak/>
        <w:t xml:space="preserve">amount which must be charged to the revenue account each year in order to make provision to meet the cost of that borrowing. </w:t>
      </w:r>
      <w:r w:rsidR="0013003E">
        <w:rPr>
          <w:color w:val="000000"/>
        </w:rPr>
        <w:t xml:space="preserve"> </w:t>
      </w:r>
    </w:p>
    <w:p w14:paraId="7B4E9037" w14:textId="77777777" w:rsidR="00FA79D8" w:rsidRDefault="00FA79D8" w:rsidP="001D3578">
      <w:pPr>
        <w:ind w:left="720" w:hanging="720"/>
        <w:jc w:val="both"/>
        <w:rPr>
          <w:color w:val="000000"/>
        </w:rPr>
      </w:pPr>
    </w:p>
    <w:p w14:paraId="0FFF965A" w14:textId="49D738C0" w:rsidR="00FA79D8" w:rsidRDefault="009D56DD" w:rsidP="00F72D98">
      <w:pPr>
        <w:ind w:left="720" w:hanging="720"/>
        <w:jc w:val="both"/>
      </w:pPr>
      <w:r>
        <w:rPr>
          <w:color w:val="000000"/>
        </w:rPr>
        <w:t>8.2</w:t>
      </w:r>
      <w:r w:rsidR="00FA79D8">
        <w:rPr>
          <w:color w:val="000000"/>
        </w:rPr>
        <w:tab/>
      </w:r>
      <w:r w:rsidR="00F72D98">
        <w:t>Under Regulation 27 of the Local Authorities (Capital Finance and Accounting) (England) Regulations 2003, where the Authority has financed capital expenditure by borrowing it is required to make a provision each year through a revenue charge (MRP).  The Commissioner is required to calculate a prudent provision of MRP which ensures that the outstanding debt liability is repaid over a period that is reasonably commensurate with that over which the capital expenditure provides benefits. The MRP Guidance (2018) gives four ready-made options for calculating MRP, but the Commissioner can use any other reasonable basis that can be justified as prudent.</w:t>
      </w:r>
    </w:p>
    <w:p w14:paraId="5B37C4A6" w14:textId="77777777" w:rsidR="00FA79D8" w:rsidRDefault="00FA79D8" w:rsidP="001D3578">
      <w:pPr>
        <w:ind w:left="720" w:hanging="720"/>
        <w:jc w:val="both"/>
      </w:pPr>
    </w:p>
    <w:p w14:paraId="057FF8DD" w14:textId="4F4E7516" w:rsidR="00FA79D8" w:rsidRDefault="009D56DD" w:rsidP="001D3578">
      <w:pPr>
        <w:ind w:left="720" w:hanging="720"/>
        <w:jc w:val="both"/>
      </w:pPr>
      <w:r>
        <w:t>8.3</w:t>
      </w:r>
      <w:r w:rsidR="00FA79D8">
        <w:tab/>
      </w:r>
      <w:r w:rsidR="00FA79D8" w:rsidRPr="00722708">
        <w:t xml:space="preserve">Options 1 and 2 should only be used in relation to Capital expenditure incurred before 1 April 2008 and which the </w:t>
      </w:r>
      <w:r w:rsidR="00FA79D8">
        <w:t>C</w:t>
      </w:r>
      <w:r w:rsidR="00FD2B73">
        <w:t>ommissioner</w:t>
      </w:r>
      <w:r w:rsidR="00FA79D8" w:rsidRPr="00722708">
        <w:t xml:space="preserve"> is satisfied forms part of Supported Capital Expenditure. For all unsupported borrowing </w:t>
      </w:r>
      <w:r w:rsidR="003E3D76">
        <w:t>covered by</w:t>
      </w:r>
      <w:r w:rsidR="00FA79D8" w:rsidRPr="00722708">
        <w:t xml:space="preserve"> the Prudential Code on or after 1 April 2008, Options 3 or 4 must be used.</w:t>
      </w:r>
    </w:p>
    <w:p w14:paraId="197AE09F" w14:textId="77777777" w:rsidR="00FA79D8" w:rsidRDefault="00FA79D8" w:rsidP="001D3578">
      <w:pPr>
        <w:ind w:left="720" w:hanging="720"/>
        <w:jc w:val="both"/>
      </w:pPr>
    </w:p>
    <w:p w14:paraId="1A07FF4B" w14:textId="6E05CCCC" w:rsidR="00FA79D8" w:rsidRDefault="009D56DD" w:rsidP="001D3578">
      <w:pPr>
        <w:jc w:val="both"/>
      </w:pPr>
      <w:r>
        <w:t>8.4</w:t>
      </w:r>
      <w:r w:rsidR="00FA79D8">
        <w:tab/>
        <w:t>The MRP options are:</w:t>
      </w:r>
    </w:p>
    <w:p w14:paraId="3FD99752" w14:textId="77777777" w:rsidR="00FA79D8" w:rsidRPr="001562D3" w:rsidRDefault="00FA79D8" w:rsidP="00C22B55">
      <w:pPr>
        <w:numPr>
          <w:ilvl w:val="0"/>
          <w:numId w:val="12"/>
        </w:numPr>
        <w:jc w:val="both"/>
      </w:pPr>
      <w:r w:rsidRPr="009B651D">
        <w:rPr>
          <w:b/>
        </w:rPr>
        <w:t>Option 1 – Regulatory Method</w:t>
      </w:r>
      <w:r>
        <w:t xml:space="preserve">. </w:t>
      </w:r>
      <w:r w:rsidRPr="00722708">
        <w:t>MRP is equal to the amount determined in accordance with the former sections 28 and 29 of the 2003 Regulations as if they had not been revoked.</w:t>
      </w:r>
    </w:p>
    <w:p w14:paraId="198EEBAD" w14:textId="77777777" w:rsidR="00FA79D8" w:rsidRPr="002609A6" w:rsidRDefault="00FA79D8" w:rsidP="001D3578">
      <w:pPr>
        <w:ind w:left="720"/>
        <w:jc w:val="both"/>
      </w:pPr>
    </w:p>
    <w:p w14:paraId="1AF3F8E2" w14:textId="77777777" w:rsidR="00FA79D8" w:rsidRDefault="00FA79D8" w:rsidP="00C22B55">
      <w:pPr>
        <w:numPr>
          <w:ilvl w:val="0"/>
          <w:numId w:val="12"/>
        </w:numPr>
        <w:jc w:val="both"/>
      </w:pPr>
      <w:r w:rsidRPr="009B651D">
        <w:rPr>
          <w:b/>
        </w:rPr>
        <w:t>Option 2 – Capital Financing Requirement Method</w:t>
      </w:r>
      <w:r>
        <w:t xml:space="preserve">. MRP is equal to 4% of the Capital Financing Requirement at </w:t>
      </w:r>
      <w:r w:rsidRPr="00722708">
        <w:t>the end of the previous year</w:t>
      </w:r>
      <w:r>
        <w:t>.</w:t>
      </w:r>
    </w:p>
    <w:p w14:paraId="1C9FAFF3" w14:textId="77777777" w:rsidR="00FA79D8" w:rsidRDefault="00FA79D8" w:rsidP="001D3578">
      <w:pPr>
        <w:jc w:val="both"/>
      </w:pPr>
    </w:p>
    <w:p w14:paraId="352DB972" w14:textId="22A77D73" w:rsidR="00FA79D8" w:rsidRPr="002609A6" w:rsidRDefault="00FA79D8" w:rsidP="00C22B55">
      <w:pPr>
        <w:numPr>
          <w:ilvl w:val="0"/>
          <w:numId w:val="12"/>
        </w:numPr>
        <w:jc w:val="both"/>
      </w:pPr>
      <w:r w:rsidRPr="009B651D">
        <w:rPr>
          <w:b/>
        </w:rPr>
        <w:t>Option 3 – Asset Life Method</w:t>
      </w:r>
      <w:r>
        <w:t xml:space="preserve">. </w:t>
      </w:r>
      <w:r w:rsidRPr="00722708">
        <w:t>Revenue provision is spread over the determined useful life</w:t>
      </w:r>
      <w:r>
        <w:t xml:space="preserve"> </w:t>
      </w:r>
      <w:r w:rsidRPr="00722708">
        <w:t>of the Asset either in equal insta</w:t>
      </w:r>
      <w:r>
        <w:t>l</w:t>
      </w:r>
      <w:r w:rsidRPr="00722708">
        <w:t xml:space="preserve">ments or using an annuity method.  The first charge can be delayed until the asset is </w:t>
      </w:r>
      <w:r w:rsidR="00355A49" w:rsidRPr="00722708">
        <w:t>operational.</w:t>
      </w:r>
    </w:p>
    <w:p w14:paraId="36301EC9" w14:textId="77777777" w:rsidR="00FA79D8" w:rsidRDefault="00FA79D8" w:rsidP="001D3578">
      <w:pPr>
        <w:jc w:val="both"/>
      </w:pPr>
    </w:p>
    <w:p w14:paraId="6F19CCB9" w14:textId="77777777" w:rsidR="00FA79D8" w:rsidRPr="00722708" w:rsidRDefault="00FA79D8" w:rsidP="00C22B55">
      <w:pPr>
        <w:numPr>
          <w:ilvl w:val="0"/>
          <w:numId w:val="12"/>
        </w:numPr>
        <w:jc w:val="both"/>
      </w:pPr>
      <w:r w:rsidRPr="009B651D">
        <w:rPr>
          <w:b/>
        </w:rPr>
        <w:t>Option 4 – Depreciation Method</w:t>
      </w:r>
      <w:r>
        <w:t xml:space="preserve">. </w:t>
      </w:r>
      <w:r w:rsidRPr="00722708">
        <w:t>MRP is equal to the provision required in accordance with depreciation accounting in respect of the asset.</w:t>
      </w:r>
    </w:p>
    <w:p w14:paraId="4BCFCEE4" w14:textId="77777777" w:rsidR="00FA79D8" w:rsidRPr="00722708" w:rsidRDefault="00FA79D8" w:rsidP="001D3578">
      <w:pPr>
        <w:jc w:val="both"/>
      </w:pPr>
    </w:p>
    <w:p w14:paraId="0CFF5D3E" w14:textId="20BE2728" w:rsidR="00412F34" w:rsidRDefault="00412F34" w:rsidP="00412F34">
      <w:pPr>
        <w:pStyle w:val="NoSpacing"/>
        <w:ind w:left="709" w:hanging="709"/>
        <w:jc w:val="both"/>
      </w:pPr>
      <w:r>
        <w:t>8.</w:t>
      </w:r>
      <w:r w:rsidR="00F72D98">
        <w:t>5</w:t>
      </w:r>
      <w:r>
        <w:tab/>
      </w:r>
      <w:r w:rsidR="00F72D98" w:rsidRPr="008F0C00">
        <w:t>For expenditure incurred before 1 April 2008 which forms part of supported capital expenditure, the MRP policy will be</w:t>
      </w:r>
      <w:r w:rsidRPr="008F0C00">
        <w:t xml:space="preserve"> </w:t>
      </w:r>
      <w:r w:rsidR="00847371" w:rsidRPr="008F0C00">
        <w:t xml:space="preserve">based on </w:t>
      </w:r>
      <w:r w:rsidR="00F72D98" w:rsidRPr="008F0C00">
        <w:t xml:space="preserve">Option </w:t>
      </w:r>
      <w:r w:rsidR="00847371" w:rsidRPr="008F0C00">
        <w:t>2</w:t>
      </w:r>
      <w:r w:rsidR="00F72D98" w:rsidRPr="008F0C00">
        <w:t xml:space="preserve">, </w:t>
      </w:r>
      <w:r w:rsidR="00A70CB8" w:rsidRPr="008F0C00">
        <w:t xml:space="preserve">but </w:t>
      </w:r>
      <w:r w:rsidR="00F72D98" w:rsidRPr="008F0C00">
        <w:t>using an average of</w:t>
      </w:r>
      <w:r w:rsidRPr="008F0C00">
        <w:t xml:space="preserve"> 40 years</w:t>
      </w:r>
      <w:r w:rsidR="00A70CB8" w:rsidRPr="008F0C00">
        <w:t>, giving a calculation of 2.5% of the CFR</w:t>
      </w:r>
      <w:r w:rsidR="00F72D98" w:rsidRPr="008F0C00">
        <w:t xml:space="preserve">, being </w:t>
      </w:r>
      <w:r w:rsidR="00A70CB8" w:rsidRPr="008F0C00">
        <w:t xml:space="preserve">more </w:t>
      </w:r>
      <w:r w:rsidRPr="008F0C00">
        <w:t>reflective of the useful life of our assets.</w:t>
      </w:r>
    </w:p>
    <w:p w14:paraId="579EBD60" w14:textId="7FD3E569" w:rsidR="00412F34" w:rsidRDefault="00412F34" w:rsidP="00412F34">
      <w:pPr>
        <w:pStyle w:val="NoSpacing"/>
        <w:ind w:left="709" w:hanging="709"/>
        <w:jc w:val="both"/>
      </w:pPr>
    </w:p>
    <w:p w14:paraId="7F14EFAB" w14:textId="0E84745B" w:rsidR="00412F34" w:rsidRDefault="00412F34" w:rsidP="00412F34">
      <w:pPr>
        <w:pStyle w:val="NoSpacing"/>
        <w:ind w:left="709" w:hanging="709"/>
        <w:jc w:val="both"/>
      </w:pPr>
      <w:r>
        <w:t>8.</w:t>
      </w:r>
      <w:r w:rsidR="00F72D98">
        <w:t>6</w:t>
      </w:r>
      <w:r>
        <w:tab/>
      </w:r>
      <w:r w:rsidR="00F72D98" w:rsidRPr="00F72D98">
        <w:t xml:space="preserve">From 1 April 2008 for all unsupported borrowing the MRP policy will </w:t>
      </w:r>
      <w:r w:rsidR="00F72D98">
        <w:t>be Option 3, Asset life method, looking at the lives of the assets to which the borrowing has been applied</w:t>
      </w:r>
      <w:r w:rsidR="001F5CAF">
        <w:t xml:space="preserve">. </w:t>
      </w:r>
    </w:p>
    <w:p w14:paraId="2FEFC98C" w14:textId="1BFDA2A4" w:rsidR="00412F34" w:rsidRDefault="00412F34" w:rsidP="001D3578">
      <w:pPr>
        <w:ind w:left="720" w:hanging="720"/>
        <w:jc w:val="both"/>
      </w:pPr>
    </w:p>
    <w:p w14:paraId="5199C176" w14:textId="129FA915" w:rsidR="00AE7E57" w:rsidRDefault="00AE7E57" w:rsidP="00C22B55">
      <w:pPr>
        <w:jc w:val="both"/>
        <w:rPr>
          <w:bCs/>
        </w:rPr>
      </w:pPr>
    </w:p>
    <w:p w14:paraId="5E388A38" w14:textId="46E92F2A" w:rsidR="00EB5DE8" w:rsidRDefault="00AE7E57" w:rsidP="0020545F">
      <w:pPr>
        <w:ind w:left="720" w:hanging="720"/>
        <w:jc w:val="both"/>
        <w:rPr>
          <w:b/>
          <w:bCs/>
        </w:rPr>
      </w:pPr>
      <w:r w:rsidRPr="00EB5DE8">
        <w:rPr>
          <w:b/>
          <w:bCs/>
        </w:rPr>
        <w:t>9.0</w:t>
      </w:r>
      <w:r w:rsidRPr="00EB5DE8">
        <w:rPr>
          <w:b/>
          <w:bCs/>
        </w:rPr>
        <w:tab/>
      </w:r>
      <w:r w:rsidR="00F72D98">
        <w:rPr>
          <w:b/>
          <w:bCs/>
        </w:rPr>
        <w:t>Liability Benchmark</w:t>
      </w:r>
    </w:p>
    <w:p w14:paraId="0EE921BF" w14:textId="25C7EC4D" w:rsidR="00EB5DE8" w:rsidRDefault="00EB5DE8" w:rsidP="00EB5DE8">
      <w:pPr>
        <w:pStyle w:val="subhead"/>
        <w:numPr>
          <w:ilvl w:val="0"/>
          <w:numId w:val="0"/>
        </w:numPr>
        <w:ind w:left="720" w:hanging="720"/>
        <w:rPr>
          <w:b w:val="0"/>
          <w:bCs/>
        </w:rPr>
      </w:pPr>
      <w:r w:rsidRPr="00EB5DE8">
        <w:rPr>
          <w:b w:val="0"/>
          <w:bCs/>
        </w:rPr>
        <w:t>9.1</w:t>
      </w:r>
      <w:r>
        <w:rPr>
          <w:bCs/>
        </w:rPr>
        <w:tab/>
      </w:r>
      <w:r w:rsidR="00240ED5" w:rsidRPr="00240ED5">
        <w:rPr>
          <w:b w:val="0"/>
          <w:bCs/>
        </w:rPr>
        <w:t>A new prudential indicator for 2023/24 is the Liability Benchmark (LB).  The Authority is required to estimate and measure the LB for the forthcoming financial year and the following two financial years, as a minimum.</w:t>
      </w:r>
    </w:p>
    <w:p w14:paraId="75B79B76" w14:textId="43F18EFB" w:rsidR="00240ED5" w:rsidRDefault="00AD2800" w:rsidP="00240ED5">
      <w:pPr>
        <w:tabs>
          <w:tab w:val="num" w:pos="709"/>
        </w:tabs>
        <w:ind w:left="709" w:hanging="709"/>
        <w:jc w:val="both"/>
      </w:pPr>
      <w:r w:rsidRPr="00C22B55">
        <w:rPr>
          <w:bCs/>
        </w:rPr>
        <w:t>9.2</w:t>
      </w:r>
      <w:r w:rsidRPr="00C22B55">
        <w:rPr>
          <w:bCs/>
        </w:rPr>
        <w:tab/>
      </w:r>
      <w:r w:rsidR="00240ED5">
        <w:t>There are four components to the LB: -</w:t>
      </w:r>
    </w:p>
    <w:p w14:paraId="25070874" w14:textId="77777777" w:rsidR="00494BC8" w:rsidRDefault="00494BC8" w:rsidP="00240ED5">
      <w:pPr>
        <w:tabs>
          <w:tab w:val="num" w:pos="709"/>
        </w:tabs>
        <w:ind w:left="709" w:hanging="709"/>
        <w:jc w:val="both"/>
      </w:pPr>
    </w:p>
    <w:p w14:paraId="1FD3E5B8" w14:textId="48FB12A5" w:rsidR="00240ED5" w:rsidRDefault="00240ED5" w:rsidP="00240ED5">
      <w:pPr>
        <w:pStyle w:val="ListParagraph"/>
        <w:numPr>
          <w:ilvl w:val="1"/>
          <w:numId w:val="34"/>
        </w:numPr>
        <w:tabs>
          <w:tab w:val="num" w:pos="709"/>
        </w:tabs>
        <w:jc w:val="both"/>
      </w:pPr>
      <w:r w:rsidRPr="00240ED5">
        <w:rPr>
          <w:b/>
        </w:rPr>
        <w:t>Existing loan debt outstanding:</w:t>
      </w:r>
      <w:r>
        <w:t xml:space="preserve"> the Commissioner’s existing loans that are still outstanding in future years.  </w:t>
      </w:r>
    </w:p>
    <w:p w14:paraId="2DDD9D0C" w14:textId="55D57629" w:rsidR="00240ED5" w:rsidRPr="00240ED5" w:rsidRDefault="00240ED5" w:rsidP="00240ED5">
      <w:pPr>
        <w:pStyle w:val="ListParagraph"/>
        <w:numPr>
          <w:ilvl w:val="1"/>
          <w:numId w:val="34"/>
        </w:numPr>
        <w:tabs>
          <w:tab w:val="num" w:pos="709"/>
        </w:tabs>
        <w:jc w:val="both"/>
        <w:rPr>
          <w:b/>
          <w:bCs/>
        </w:rPr>
      </w:pPr>
      <w:r w:rsidRPr="00240ED5">
        <w:rPr>
          <w:b/>
        </w:rPr>
        <w:t>Loans CFR:</w:t>
      </w:r>
      <w:r>
        <w:t xml:space="preserve"> this is calculated in accordance with the loans CFR definition in the Prudential Code and projected into the future based on approved prudential borrowing and planned MRP. </w:t>
      </w:r>
    </w:p>
    <w:p w14:paraId="7FC7AD28" w14:textId="6307147D" w:rsidR="00240ED5" w:rsidRDefault="00240ED5" w:rsidP="00240ED5">
      <w:pPr>
        <w:pStyle w:val="ListParagraph"/>
        <w:numPr>
          <w:ilvl w:val="1"/>
          <w:numId w:val="34"/>
        </w:numPr>
        <w:tabs>
          <w:tab w:val="num" w:pos="709"/>
        </w:tabs>
        <w:jc w:val="both"/>
        <w:rPr>
          <w:bCs/>
        </w:rPr>
      </w:pPr>
      <w:r w:rsidRPr="00240ED5">
        <w:rPr>
          <w:b/>
          <w:bCs/>
        </w:rPr>
        <w:lastRenderedPageBreak/>
        <w:t xml:space="preserve">Net loans requirement: </w:t>
      </w:r>
      <w:r w:rsidRPr="00240ED5">
        <w:rPr>
          <w:bCs/>
        </w:rPr>
        <w:t>this will show the Authority’s gross loan debt less treasury management investments at the last financial year-end, projected into the future and based on its approved prudential borrowing, planned MRP and any other major cash flows forecast</w:t>
      </w:r>
      <w:r>
        <w:rPr>
          <w:bCs/>
        </w:rPr>
        <w:t>.</w:t>
      </w:r>
    </w:p>
    <w:p w14:paraId="433AD202" w14:textId="77777777" w:rsidR="00240ED5" w:rsidRPr="00240ED5" w:rsidRDefault="00240ED5" w:rsidP="00240ED5">
      <w:pPr>
        <w:pStyle w:val="ListParagraph"/>
        <w:numPr>
          <w:ilvl w:val="1"/>
          <w:numId w:val="34"/>
        </w:numPr>
        <w:rPr>
          <w:bCs/>
        </w:rPr>
      </w:pPr>
      <w:r w:rsidRPr="00240ED5">
        <w:rPr>
          <w:b/>
          <w:bCs/>
        </w:rPr>
        <w:t>Liability benchmark (or gross loans requirement):</w:t>
      </w:r>
      <w:r w:rsidRPr="00240ED5">
        <w:rPr>
          <w:bCs/>
        </w:rPr>
        <w:t xml:space="preserve"> this equals net loans requirement plus short-term liquidity allowance. </w:t>
      </w:r>
    </w:p>
    <w:p w14:paraId="5D927F09" w14:textId="0A41CB7C" w:rsidR="00F41F9F" w:rsidRPr="00391857" w:rsidRDefault="00F41F9F" w:rsidP="00391857">
      <w:pPr>
        <w:pStyle w:val="subhead"/>
        <w:numPr>
          <w:ilvl w:val="1"/>
          <w:numId w:val="36"/>
        </w:numPr>
        <w:ind w:left="567" w:hanging="567"/>
        <w:rPr>
          <w:b w:val="0"/>
          <w:bCs/>
        </w:rPr>
      </w:pPr>
      <w:r w:rsidRPr="00391857">
        <w:rPr>
          <w:b w:val="0"/>
          <w:bCs/>
        </w:rPr>
        <w:t>The liability benchmark is a projection of the amount of loan debt outstanding that the authority</w:t>
      </w:r>
      <w:r w:rsidR="00391857" w:rsidRPr="00391857">
        <w:rPr>
          <w:b w:val="0"/>
          <w:bCs/>
        </w:rPr>
        <w:t xml:space="preserve"> </w:t>
      </w:r>
      <w:r w:rsidRPr="00391857">
        <w:rPr>
          <w:b w:val="0"/>
          <w:bCs/>
        </w:rPr>
        <w:t>needs each year into the future to fund its existing debt liabilities, planned prudential borrowing</w:t>
      </w:r>
      <w:r w:rsidR="00391857">
        <w:rPr>
          <w:b w:val="0"/>
          <w:bCs/>
        </w:rPr>
        <w:t xml:space="preserve"> </w:t>
      </w:r>
      <w:r w:rsidRPr="00391857">
        <w:rPr>
          <w:b w:val="0"/>
          <w:bCs/>
        </w:rPr>
        <w:t>and other cash flows.</w:t>
      </w:r>
      <w:r w:rsidR="00391857">
        <w:rPr>
          <w:b w:val="0"/>
          <w:bCs/>
        </w:rPr>
        <w:t xml:space="preserve"> </w:t>
      </w:r>
      <w:r w:rsidR="00391857" w:rsidRPr="00391857">
        <w:rPr>
          <w:b w:val="0"/>
          <w:bCs/>
        </w:rPr>
        <w:t>This is shown by the gap between the authority’s existing loans that are still outstanding at a given future date and the authority’s future need for borrowing (as shown by the liability benchmark)</w:t>
      </w:r>
      <w:r w:rsidR="00391857">
        <w:rPr>
          <w:b w:val="0"/>
          <w:bCs/>
        </w:rPr>
        <w:t xml:space="preserve">. </w:t>
      </w:r>
      <w:r w:rsidR="00391857" w:rsidRPr="00391857">
        <w:rPr>
          <w:b w:val="0"/>
          <w:bCs/>
        </w:rPr>
        <w:t>In particular, the liability benchmark identifies the maturities needed for new borrowing in order to match future liabilities. It therefore avoids borrowing for too long or too short.</w:t>
      </w:r>
    </w:p>
    <w:p w14:paraId="1075B37B" w14:textId="5E865313" w:rsidR="00391857" w:rsidRDefault="00B86444" w:rsidP="00391857">
      <w:pPr>
        <w:pStyle w:val="subhead"/>
        <w:numPr>
          <w:ilvl w:val="1"/>
          <w:numId w:val="36"/>
        </w:numPr>
        <w:rPr>
          <w:b w:val="0"/>
          <w:bCs/>
          <w:iCs/>
        </w:rPr>
      </w:pPr>
      <w:r>
        <w:rPr>
          <w:b w:val="0"/>
          <w:bCs/>
          <w:iCs/>
        </w:rPr>
        <w:t xml:space="preserve">The </w:t>
      </w:r>
      <w:r w:rsidR="00391857">
        <w:rPr>
          <w:b w:val="0"/>
          <w:bCs/>
          <w:iCs/>
        </w:rPr>
        <w:t xml:space="preserve">Liability Benchmark </w:t>
      </w:r>
      <w:r w:rsidR="004F03E2">
        <w:rPr>
          <w:b w:val="0"/>
          <w:bCs/>
          <w:iCs/>
        </w:rPr>
        <w:t>chart is shown below:</w:t>
      </w:r>
    </w:p>
    <w:p w14:paraId="134F0253" w14:textId="07A4C94C" w:rsidR="00B86444" w:rsidRPr="006D4953" w:rsidRDefault="00B86444" w:rsidP="00617B1A">
      <w:pPr>
        <w:pStyle w:val="subhead"/>
        <w:numPr>
          <w:ilvl w:val="0"/>
          <w:numId w:val="0"/>
        </w:numPr>
        <w:rPr>
          <w:b w:val="0"/>
          <w:bCs/>
          <w:iCs/>
        </w:rPr>
      </w:pPr>
      <w:r>
        <w:rPr>
          <w:b w:val="0"/>
          <w:bCs/>
          <w:iCs/>
        </w:rPr>
        <w:tab/>
      </w:r>
      <w:r w:rsidR="00391857">
        <w:drawing>
          <wp:inline distT="0" distB="0" distL="0" distR="0" wp14:anchorId="57CB2A3F" wp14:editId="27BD6D22">
            <wp:extent cx="6502400" cy="5308600"/>
            <wp:effectExtent l="0" t="0" r="0" b="6350"/>
            <wp:docPr id="5" name="Chart 5">
              <a:extLst xmlns:a="http://schemas.openxmlformats.org/drawingml/2006/main">
                <a:ext uri="{FF2B5EF4-FFF2-40B4-BE49-F238E27FC236}">
                  <a16:creationId xmlns:a16="http://schemas.microsoft.com/office/drawing/2014/main" id="{70F6EC57-487B-4815-9A81-87D8E6D05E4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F99DBB2" w14:textId="2CA6374A" w:rsidR="00AD2800" w:rsidRPr="005F4BED" w:rsidRDefault="00AD2800" w:rsidP="00AD2800">
      <w:pPr>
        <w:pStyle w:val="NoSpacing"/>
      </w:pPr>
    </w:p>
    <w:p w14:paraId="4B05D18D" w14:textId="53A1FA69" w:rsidR="00EB5DE8" w:rsidRPr="00EB5DE8" w:rsidRDefault="00EB5DE8" w:rsidP="001D3578">
      <w:pPr>
        <w:ind w:left="720" w:hanging="720"/>
        <w:jc w:val="both"/>
        <w:rPr>
          <w:bCs/>
        </w:rPr>
      </w:pPr>
    </w:p>
    <w:p w14:paraId="18FAA4D5" w14:textId="77777777" w:rsidR="00FA79D8" w:rsidRDefault="00FA79D8" w:rsidP="00FA79D8">
      <w:pPr>
        <w:jc w:val="right"/>
        <w:rPr>
          <w:b/>
        </w:rPr>
      </w:pPr>
    </w:p>
    <w:p w14:paraId="62922D29" w14:textId="77777777" w:rsidR="00FA79D8" w:rsidRDefault="00FA79D8" w:rsidP="00FA79D8">
      <w:pPr>
        <w:jc w:val="right"/>
        <w:rPr>
          <w:b/>
        </w:rPr>
      </w:pPr>
    </w:p>
    <w:p w14:paraId="1789F1E9" w14:textId="77777777" w:rsidR="00DA3068" w:rsidRDefault="00DA3068">
      <w:pPr>
        <w:rPr>
          <w:rFonts w:eastAsia="Times New Roman"/>
          <w:b/>
          <w:lang w:val="en-US" w:eastAsia="en-US"/>
        </w:rPr>
      </w:pPr>
      <w:r>
        <w:rPr>
          <w:b/>
        </w:rPr>
        <w:br w:type="page"/>
      </w:r>
    </w:p>
    <w:p w14:paraId="4FF1C48A" w14:textId="0A7076CB" w:rsidR="00FA79D8" w:rsidRPr="001D3578" w:rsidRDefault="00FA79D8" w:rsidP="001D3578">
      <w:pPr>
        <w:pStyle w:val="Heading3"/>
        <w:jc w:val="right"/>
        <w:rPr>
          <w:rFonts w:ascii="Arial" w:hAnsi="Arial" w:cs="Arial"/>
          <w:b/>
          <w:sz w:val="22"/>
          <w:szCs w:val="22"/>
        </w:rPr>
      </w:pPr>
      <w:r w:rsidRPr="001D3578">
        <w:rPr>
          <w:rFonts w:ascii="Arial" w:hAnsi="Arial" w:cs="Arial"/>
          <w:b/>
          <w:sz w:val="22"/>
          <w:szCs w:val="22"/>
        </w:rPr>
        <w:lastRenderedPageBreak/>
        <w:t>APPENDIX C</w:t>
      </w:r>
    </w:p>
    <w:p w14:paraId="090DB2D6" w14:textId="77777777" w:rsidR="00FA79D8" w:rsidRPr="00510190" w:rsidRDefault="00FA79D8" w:rsidP="00FA79D8">
      <w:pPr>
        <w:ind w:left="720"/>
        <w:rPr>
          <w:b/>
        </w:rPr>
      </w:pPr>
    </w:p>
    <w:p w14:paraId="6D9260E7" w14:textId="2D84B9CB" w:rsidR="00FA79D8" w:rsidRPr="0020545F" w:rsidRDefault="00FA79D8" w:rsidP="00FA79D8">
      <w:pPr>
        <w:jc w:val="center"/>
        <w:rPr>
          <w:b/>
          <w:u w:val="single"/>
        </w:rPr>
      </w:pPr>
      <w:r w:rsidRPr="0020545F">
        <w:rPr>
          <w:b/>
          <w:u w:val="single"/>
        </w:rPr>
        <w:t xml:space="preserve">EXTERNAL INVESTMENTS </w:t>
      </w:r>
      <w:r w:rsidR="0012064B" w:rsidRPr="0020545F">
        <w:rPr>
          <w:b/>
          <w:u w:val="single"/>
        </w:rPr>
        <w:t>- APPROVED COUNTERPARTY LIST 202</w:t>
      </w:r>
      <w:r w:rsidR="004F03E2">
        <w:rPr>
          <w:b/>
          <w:u w:val="single"/>
        </w:rPr>
        <w:t>3</w:t>
      </w:r>
      <w:r w:rsidR="00FB2DC3" w:rsidRPr="0020545F">
        <w:rPr>
          <w:b/>
          <w:u w:val="single"/>
        </w:rPr>
        <w:t>/2</w:t>
      </w:r>
      <w:r w:rsidR="004F03E2">
        <w:rPr>
          <w:b/>
          <w:u w:val="single"/>
        </w:rPr>
        <w:t>4</w:t>
      </w:r>
    </w:p>
    <w:p w14:paraId="239C81B8" w14:textId="77777777" w:rsidR="00FA79D8" w:rsidRPr="0020545F" w:rsidRDefault="00FA79D8" w:rsidP="00FA79D8"/>
    <w:tbl>
      <w:tblPr>
        <w:tblStyle w:val="GridTable4-Accent1"/>
        <w:tblW w:w="9493" w:type="dxa"/>
        <w:tblLook w:val="04A0" w:firstRow="1" w:lastRow="0" w:firstColumn="1" w:lastColumn="0" w:noHBand="0" w:noVBand="1"/>
      </w:tblPr>
      <w:tblGrid>
        <w:gridCol w:w="297"/>
        <w:gridCol w:w="4450"/>
        <w:gridCol w:w="621"/>
        <w:gridCol w:w="641"/>
        <w:gridCol w:w="843"/>
        <w:gridCol w:w="304"/>
        <w:gridCol w:w="978"/>
        <w:gridCol w:w="1359"/>
      </w:tblGrid>
      <w:tr w:rsidR="0020545F" w:rsidRPr="0020545F" w14:paraId="6B393FA7" w14:textId="77777777" w:rsidTr="008F0C00">
        <w:trPr>
          <w:cnfStyle w:val="100000000000" w:firstRow="1" w:lastRow="0" w:firstColumn="0" w:lastColumn="0" w:oddVBand="0" w:evenVBand="0" w:oddHBand="0" w:evenHBand="0" w:firstRowFirstColumn="0" w:firstRowLastColumn="0" w:lastRowFirstColumn="0" w:lastRowLastColumn="0"/>
          <w:trHeight w:val="120"/>
        </w:trPr>
        <w:tc>
          <w:tcPr>
            <w:cnfStyle w:val="001000000000" w:firstRow="0" w:lastRow="0" w:firstColumn="1" w:lastColumn="0" w:oddVBand="0" w:evenVBand="0" w:oddHBand="0" w:evenHBand="0" w:firstRowFirstColumn="0" w:firstRowLastColumn="0" w:lastRowFirstColumn="0" w:lastRowLastColumn="0"/>
            <w:tcW w:w="0" w:type="dxa"/>
            <w:gridSpan w:val="2"/>
            <w:noWrap/>
            <w:hideMark/>
          </w:tcPr>
          <w:p w14:paraId="74BC8909" w14:textId="77777777" w:rsidR="00F05906" w:rsidRPr="00023FBD" w:rsidRDefault="00F05906" w:rsidP="008F0C00">
            <w:pPr>
              <w:ind w:left="720"/>
              <w:rPr>
                <w:rFonts w:eastAsia="Times New Roman"/>
                <w:bCs w:val="0"/>
              </w:rPr>
            </w:pPr>
            <w:r w:rsidRPr="00251C8A">
              <w:rPr>
                <w:rFonts w:eastAsia="Times New Roman"/>
                <w:bCs w:val="0"/>
              </w:rPr>
              <w:t>BRITISH BANKS &amp; SUBSIDIARIES</w:t>
            </w:r>
          </w:p>
        </w:tc>
        <w:tc>
          <w:tcPr>
            <w:tcW w:w="0" w:type="dxa"/>
            <w:gridSpan w:val="2"/>
            <w:noWrap/>
            <w:hideMark/>
          </w:tcPr>
          <w:p w14:paraId="7FE21327" w14:textId="77777777" w:rsidR="00F05906" w:rsidRPr="008F0C00" w:rsidRDefault="00F05906" w:rsidP="00F05906">
            <w:pPr>
              <w:jc w:val="center"/>
              <w:cnfStyle w:val="100000000000" w:firstRow="1" w:lastRow="0" w:firstColumn="0" w:lastColumn="0" w:oddVBand="0" w:evenVBand="0" w:oddHBand="0" w:evenHBand="0" w:firstRowFirstColumn="0" w:firstRowLastColumn="0" w:lastRowFirstColumn="0" w:lastRowLastColumn="0"/>
              <w:rPr>
                <w:rFonts w:eastAsia="Times New Roman"/>
                <w:bCs w:val="0"/>
                <w:szCs w:val="16"/>
              </w:rPr>
            </w:pPr>
            <w:r w:rsidRPr="008F0C00">
              <w:rPr>
                <w:rFonts w:eastAsia="Times New Roman"/>
                <w:szCs w:val="16"/>
              </w:rPr>
              <w:t>FITCH RATING</w:t>
            </w:r>
          </w:p>
        </w:tc>
        <w:tc>
          <w:tcPr>
            <w:tcW w:w="791" w:type="dxa"/>
            <w:noWrap/>
            <w:hideMark/>
          </w:tcPr>
          <w:p w14:paraId="1F05CD29" w14:textId="77777777" w:rsidR="00F05906" w:rsidRPr="008F0C00" w:rsidRDefault="00F05906" w:rsidP="00F05906">
            <w:pPr>
              <w:jc w:val="center"/>
              <w:cnfStyle w:val="100000000000" w:firstRow="1" w:lastRow="0" w:firstColumn="0" w:lastColumn="0" w:oddVBand="0" w:evenVBand="0" w:oddHBand="0" w:evenHBand="0" w:firstRowFirstColumn="0" w:firstRowLastColumn="0" w:lastRowFirstColumn="0" w:lastRowLastColumn="0"/>
              <w:rPr>
                <w:rFonts w:eastAsia="Times New Roman"/>
                <w:bCs w:val="0"/>
                <w:szCs w:val="16"/>
              </w:rPr>
            </w:pPr>
            <w:r w:rsidRPr="008F0C00">
              <w:rPr>
                <w:rFonts w:eastAsia="Times New Roman"/>
                <w:szCs w:val="16"/>
              </w:rPr>
              <w:t>LIMIT</w:t>
            </w:r>
          </w:p>
        </w:tc>
        <w:tc>
          <w:tcPr>
            <w:tcW w:w="1203" w:type="dxa"/>
            <w:gridSpan w:val="2"/>
            <w:noWrap/>
            <w:hideMark/>
          </w:tcPr>
          <w:p w14:paraId="3C9C5977" w14:textId="77777777" w:rsidR="00F05906" w:rsidRPr="008F0C00" w:rsidRDefault="00F05906" w:rsidP="00F05906">
            <w:pPr>
              <w:jc w:val="center"/>
              <w:cnfStyle w:val="100000000000" w:firstRow="1" w:lastRow="0" w:firstColumn="0" w:lastColumn="0" w:oddVBand="0" w:evenVBand="0" w:oddHBand="0" w:evenHBand="0" w:firstRowFirstColumn="0" w:firstRowLastColumn="0" w:lastRowFirstColumn="0" w:lastRowLastColumn="0"/>
              <w:rPr>
                <w:rFonts w:eastAsia="Times New Roman"/>
                <w:bCs w:val="0"/>
                <w:szCs w:val="16"/>
              </w:rPr>
            </w:pPr>
            <w:r w:rsidRPr="008F0C00">
              <w:rPr>
                <w:rFonts w:eastAsia="Times New Roman"/>
                <w:szCs w:val="16"/>
              </w:rPr>
              <w:t>GROUP</w:t>
            </w:r>
          </w:p>
        </w:tc>
        <w:tc>
          <w:tcPr>
            <w:tcW w:w="1276" w:type="dxa"/>
            <w:noWrap/>
            <w:hideMark/>
          </w:tcPr>
          <w:p w14:paraId="5520ED37" w14:textId="77777777" w:rsidR="00F05906" w:rsidRPr="00251C8A" w:rsidRDefault="00F05906" w:rsidP="00F05906">
            <w:pPr>
              <w:cnfStyle w:val="100000000000" w:firstRow="1" w:lastRow="0" w:firstColumn="0" w:lastColumn="0" w:oddVBand="0" w:evenVBand="0" w:oddHBand="0" w:evenHBand="0" w:firstRowFirstColumn="0" w:firstRowLastColumn="0" w:lastRowFirstColumn="0" w:lastRowLastColumn="0"/>
              <w:rPr>
                <w:rFonts w:eastAsia="Times New Roman"/>
                <w:color w:val="000000"/>
              </w:rPr>
            </w:pPr>
            <w:r w:rsidRPr="00251C8A">
              <w:rPr>
                <w:rFonts w:eastAsia="Times New Roman"/>
                <w:color w:val="000000"/>
              </w:rPr>
              <w:t> </w:t>
            </w:r>
          </w:p>
        </w:tc>
      </w:tr>
      <w:tr w:rsidR="0020545F" w:rsidRPr="0020545F" w14:paraId="5F374BA3" w14:textId="77777777" w:rsidTr="008F0C00">
        <w:trPr>
          <w:cnfStyle w:val="000000100000" w:firstRow="0" w:lastRow="0" w:firstColumn="0" w:lastColumn="0" w:oddVBand="0" w:evenVBand="0" w:oddHBand="1" w:evenHBand="0" w:firstRowFirstColumn="0" w:firstRowLastColumn="0" w:lastRowFirstColumn="0" w:lastRowLastColumn="0"/>
          <w:trHeight w:val="124"/>
        </w:trPr>
        <w:tc>
          <w:tcPr>
            <w:cnfStyle w:val="001000000000" w:firstRow="0" w:lastRow="0" w:firstColumn="1" w:lastColumn="0" w:oddVBand="0" w:evenVBand="0" w:oddHBand="0" w:evenHBand="0" w:firstRowFirstColumn="0" w:firstRowLastColumn="0" w:lastRowFirstColumn="0" w:lastRowLastColumn="0"/>
            <w:tcW w:w="279" w:type="dxa"/>
            <w:noWrap/>
            <w:hideMark/>
          </w:tcPr>
          <w:p w14:paraId="0E4BE05C" w14:textId="77777777" w:rsidR="00F05906" w:rsidRPr="0020545F" w:rsidRDefault="00F05906" w:rsidP="00F05906">
            <w:pPr>
              <w:rPr>
                <w:rFonts w:eastAsia="Times New Roman"/>
                <w:color w:val="000000"/>
              </w:rPr>
            </w:pPr>
            <w:r w:rsidRPr="0020545F">
              <w:rPr>
                <w:rFonts w:eastAsia="Times New Roman"/>
                <w:color w:val="000000"/>
              </w:rPr>
              <w:t> </w:t>
            </w:r>
          </w:p>
        </w:tc>
        <w:tc>
          <w:tcPr>
            <w:tcW w:w="4178" w:type="dxa"/>
            <w:noWrap/>
            <w:hideMark/>
          </w:tcPr>
          <w:p w14:paraId="0FEAD21C" w14:textId="77777777" w:rsidR="00F05906" w:rsidRPr="00251C8A" w:rsidRDefault="00F05906" w:rsidP="00F05906">
            <w:pPr>
              <w:cnfStyle w:val="000000100000" w:firstRow="0" w:lastRow="0" w:firstColumn="0" w:lastColumn="0" w:oddVBand="0" w:evenVBand="0" w:oddHBand="1" w:evenHBand="0" w:firstRowFirstColumn="0" w:firstRowLastColumn="0" w:lastRowFirstColumn="0" w:lastRowLastColumn="0"/>
              <w:rPr>
                <w:rFonts w:eastAsia="Times New Roman"/>
                <w:color w:val="000000"/>
              </w:rPr>
            </w:pPr>
          </w:p>
        </w:tc>
        <w:tc>
          <w:tcPr>
            <w:tcW w:w="0" w:type="dxa"/>
            <w:noWrap/>
            <w:hideMark/>
          </w:tcPr>
          <w:p w14:paraId="3E8B47DA" w14:textId="77777777" w:rsidR="00F05906" w:rsidRPr="00023FBD" w:rsidRDefault="00F05906" w:rsidP="0020545F">
            <w:pPr>
              <w:cnfStyle w:val="000000100000" w:firstRow="0" w:lastRow="0" w:firstColumn="0" w:lastColumn="0" w:oddVBand="0" w:evenVBand="0" w:oddHBand="1" w:evenHBand="0" w:firstRowFirstColumn="0" w:firstRowLastColumn="0" w:lastRowFirstColumn="0" w:lastRowLastColumn="0"/>
              <w:rPr>
                <w:rFonts w:eastAsia="Times New Roman"/>
                <w:b/>
                <w:bCs/>
                <w:color w:val="000000"/>
              </w:rPr>
            </w:pPr>
            <w:r w:rsidRPr="00023FBD">
              <w:rPr>
                <w:rFonts w:eastAsia="Times New Roman"/>
                <w:b/>
                <w:bCs/>
                <w:color w:val="000000"/>
              </w:rPr>
              <w:t>L/T</w:t>
            </w:r>
          </w:p>
        </w:tc>
        <w:tc>
          <w:tcPr>
            <w:tcW w:w="0" w:type="dxa"/>
            <w:noWrap/>
            <w:hideMark/>
          </w:tcPr>
          <w:p w14:paraId="00503B35" w14:textId="77777777" w:rsidR="00F05906" w:rsidRPr="00023FBD" w:rsidRDefault="00F05906" w:rsidP="00F05906">
            <w:pPr>
              <w:jc w:val="right"/>
              <w:cnfStyle w:val="000000100000" w:firstRow="0" w:lastRow="0" w:firstColumn="0" w:lastColumn="0" w:oddVBand="0" w:evenVBand="0" w:oddHBand="1" w:evenHBand="0" w:firstRowFirstColumn="0" w:firstRowLastColumn="0" w:lastRowFirstColumn="0" w:lastRowLastColumn="0"/>
              <w:rPr>
                <w:rFonts w:eastAsia="Times New Roman"/>
                <w:b/>
                <w:bCs/>
                <w:color w:val="000000"/>
              </w:rPr>
            </w:pPr>
            <w:r w:rsidRPr="00023FBD">
              <w:rPr>
                <w:rFonts w:eastAsia="Times New Roman"/>
                <w:b/>
                <w:bCs/>
                <w:color w:val="000000"/>
              </w:rPr>
              <w:t>S/T</w:t>
            </w:r>
          </w:p>
        </w:tc>
        <w:tc>
          <w:tcPr>
            <w:tcW w:w="1076" w:type="dxa"/>
            <w:gridSpan w:val="2"/>
            <w:noWrap/>
            <w:hideMark/>
          </w:tcPr>
          <w:p w14:paraId="20FC1EE5" w14:textId="77777777" w:rsidR="00F05906" w:rsidRPr="00023FBD" w:rsidRDefault="00F05906" w:rsidP="00F05906">
            <w:pPr>
              <w:jc w:val="center"/>
              <w:cnfStyle w:val="000000100000" w:firstRow="0" w:lastRow="0" w:firstColumn="0" w:lastColumn="0" w:oddVBand="0" w:evenVBand="0" w:oddHBand="1" w:evenHBand="0" w:firstRowFirstColumn="0" w:firstRowLastColumn="0" w:lastRowFirstColumn="0" w:lastRowLastColumn="0"/>
              <w:rPr>
                <w:rFonts w:eastAsia="Times New Roman"/>
                <w:b/>
                <w:bCs/>
                <w:color w:val="000000"/>
              </w:rPr>
            </w:pPr>
            <w:r w:rsidRPr="00023FBD">
              <w:rPr>
                <w:rFonts w:eastAsia="Times New Roman"/>
                <w:b/>
                <w:bCs/>
                <w:color w:val="000000"/>
              </w:rPr>
              <w:t>£m</w:t>
            </w:r>
          </w:p>
        </w:tc>
        <w:tc>
          <w:tcPr>
            <w:tcW w:w="918" w:type="dxa"/>
            <w:noWrap/>
            <w:hideMark/>
          </w:tcPr>
          <w:p w14:paraId="033A0B57" w14:textId="77777777" w:rsidR="00F05906" w:rsidRPr="008F0C00" w:rsidRDefault="00F05906" w:rsidP="00F05906">
            <w:pPr>
              <w:jc w:val="center"/>
              <w:cnfStyle w:val="000000100000" w:firstRow="0" w:lastRow="0" w:firstColumn="0" w:lastColumn="0" w:oddVBand="0" w:evenVBand="0" w:oddHBand="1" w:evenHBand="0" w:firstRowFirstColumn="0" w:firstRowLastColumn="0" w:lastRowFirstColumn="0" w:lastRowLastColumn="0"/>
              <w:rPr>
                <w:rFonts w:eastAsia="Times New Roman"/>
                <w:b/>
                <w:bCs/>
                <w:color w:val="000000"/>
              </w:rPr>
            </w:pPr>
            <w:r w:rsidRPr="008F0C00">
              <w:rPr>
                <w:rFonts w:eastAsia="Times New Roman"/>
                <w:b/>
                <w:bCs/>
                <w:color w:val="000000"/>
              </w:rPr>
              <w:t>LIMIT</w:t>
            </w:r>
          </w:p>
        </w:tc>
        <w:tc>
          <w:tcPr>
            <w:tcW w:w="1276" w:type="dxa"/>
            <w:noWrap/>
            <w:hideMark/>
          </w:tcPr>
          <w:p w14:paraId="64D1C9CB" w14:textId="77777777" w:rsidR="00F05906" w:rsidRPr="008F0C00" w:rsidRDefault="00F05906" w:rsidP="00F05906">
            <w:pPr>
              <w:jc w:val="center"/>
              <w:cnfStyle w:val="000000100000" w:firstRow="0" w:lastRow="0" w:firstColumn="0" w:lastColumn="0" w:oddVBand="0" w:evenVBand="0" w:oddHBand="1" w:evenHBand="0" w:firstRowFirstColumn="0" w:firstRowLastColumn="0" w:lastRowFirstColumn="0" w:lastRowLastColumn="0"/>
              <w:rPr>
                <w:rFonts w:eastAsia="Times New Roman"/>
                <w:b/>
                <w:bCs/>
                <w:color w:val="000000"/>
              </w:rPr>
            </w:pPr>
            <w:r w:rsidRPr="008F0C00">
              <w:rPr>
                <w:rFonts w:eastAsia="Times New Roman"/>
                <w:b/>
                <w:bCs/>
                <w:color w:val="000000"/>
              </w:rPr>
              <w:t>PERIOD</w:t>
            </w:r>
          </w:p>
        </w:tc>
      </w:tr>
      <w:tr w:rsidR="0020545F" w:rsidRPr="0020545F" w14:paraId="67C62D52" w14:textId="77777777" w:rsidTr="008F0C00">
        <w:trPr>
          <w:trHeight w:val="120"/>
        </w:trPr>
        <w:tc>
          <w:tcPr>
            <w:cnfStyle w:val="001000000000" w:firstRow="0" w:lastRow="0" w:firstColumn="1" w:lastColumn="0" w:oddVBand="0" w:evenVBand="0" w:oddHBand="0" w:evenHBand="0" w:firstRowFirstColumn="0" w:firstRowLastColumn="0" w:lastRowFirstColumn="0" w:lastRowLastColumn="0"/>
            <w:tcW w:w="279" w:type="dxa"/>
            <w:noWrap/>
            <w:hideMark/>
          </w:tcPr>
          <w:p w14:paraId="675D835B" w14:textId="77777777" w:rsidR="00F05906" w:rsidRPr="0020545F" w:rsidRDefault="00F05906" w:rsidP="00F05906">
            <w:pPr>
              <w:rPr>
                <w:rFonts w:eastAsia="Times New Roman"/>
                <w:color w:val="000000"/>
              </w:rPr>
            </w:pPr>
            <w:r w:rsidRPr="0020545F">
              <w:rPr>
                <w:rFonts w:eastAsia="Times New Roman"/>
                <w:color w:val="000000"/>
              </w:rPr>
              <w:t> </w:t>
            </w:r>
          </w:p>
        </w:tc>
        <w:tc>
          <w:tcPr>
            <w:tcW w:w="4178" w:type="dxa"/>
            <w:noWrap/>
            <w:hideMark/>
          </w:tcPr>
          <w:p w14:paraId="09851D6B" w14:textId="77777777" w:rsidR="00F05906" w:rsidRPr="00251C8A" w:rsidRDefault="00F05906" w:rsidP="00F05906">
            <w:pPr>
              <w:cnfStyle w:val="000000000000" w:firstRow="0" w:lastRow="0" w:firstColumn="0" w:lastColumn="0" w:oddVBand="0" w:evenVBand="0" w:oddHBand="0" w:evenHBand="0" w:firstRowFirstColumn="0" w:firstRowLastColumn="0" w:lastRowFirstColumn="0" w:lastRowLastColumn="0"/>
              <w:rPr>
                <w:rFonts w:eastAsia="Times New Roman"/>
                <w:b/>
                <w:bCs/>
                <w:color w:val="000000"/>
              </w:rPr>
            </w:pPr>
            <w:r w:rsidRPr="00251C8A">
              <w:rPr>
                <w:rFonts w:eastAsia="Times New Roman"/>
                <w:b/>
                <w:bCs/>
                <w:color w:val="000000"/>
              </w:rPr>
              <w:t> </w:t>
            </w:r>
          </w:p>
        </w:tc>
        <w:tc>
          <w:tcPr>
            <w:tcW w:w="0" w:type="dxa"/>
            <w:noWrap/>
            <w:hideMark/>
          </w:tcPr>
          <w:p w14:paraId="52C63FCD" w14:textId="77777777" w:rsidR="00F05906" w:rsidRPr="00023FBD" w:rsidRDefault="00F05906" w:rsidP="00F05906">
            <w:pPr>
              <w:cnfStyle w:val="000000000000" w:firstRow="0" w:lastRow="0" w:firstColumn="0" w:lastColumn="0" w:oddVBand="0" w:evenVBand="0" w:oddHBand="0" w:evenHBand="0" w:firstRowFirstColumn="0" w:firstRowLastColumn="0" w:lastRowFirstColumn="0" w:lastRowLastColumn="0"/>
              <w:rPr>
                <w:rFonts w:eastAsia="Times New Roman"/>
                <w:b/>
                <w:bCs/>
                <w:color w:val="000000"/>
              </w:rPr>
            </w:pPr>
          </w:p>
        </w:tc>
        <w:tc>
          <w:tcPr>
            <w:tcW w:w="0" w:type="dxa"/>
            <w:noWrap/>
            <w:hideMark/>
          </w:tcPr>
          <w:p w14:paraId="1A8A8294" w14:textId="77777777" w:rsidR="00F05906" w:rsidRPr="008F0C00" w:rsidRDefault="00F05906" w:rsidP="00F05906">
            <w:pPr>
              <w:cnfStyle w:val="000000000000" w:firstRow="0" w:lastRow="0" w:firstColumn="0" w:lastColumn="0" w:oddVBand="0" w:evenVBand="0" w:oddHBand="0" w:evenHBand="0" w:firstRowFirstColumn="0" w:firstRowLastColumn="0" w:lastRowFirstColumn="0" w:lastRowLastColumn="0"/>
              <w:rPr>
                <w:rFonts w:eastAsia="Times New Roman"/>
              </w:rPr>
            </w:pPr>
          </w:p>
        </w:tc>
        <w:tc>
          <w:tcPr>
            <w:tcW w:w="1076" w:type="dxa"/>
            <w:gridSpan w:val="2"/>
            <w:noWrap/>
            <w:hideMark/>
          </w:tcPr>
          <w:p w14:paraId="4EC018D8" w14:textId="77777777" w:rsidR="00F05906" w:rsidRPr="008F0C00" w:rsidRDefault="00F05906" w:rsidP="00F05906">
            <w:pP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8F0C00">
              <w:rPr>
                <w:rFonts w:eastAsia="Times New Roman"/>
                <w:color w:val="000000"/>
              </w:rPr>
              <w:t> </w:t>
            </w:r>
          </w:p>
        </w:tc>
        <w:tc>
          <w:tcPr>
            <w:tcW w:w="918" w:type="dxa"/>
            <w:noWrap/>
            <w:hideMark/>
          </w:tcPr>
          <w:p w14:paraId="3A85EF56" w14:textId="77777777" w:rsidR="00F05906" w:rsidRPr="008F0C00" w:rsidRDefault="00F05906" w:rsidP="00F05906">
            <w:pP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8F0C00">
              <w:rPr>
                <w:rFonts w:eastAsia="Times New Roman"/>
                <w:color w:val="000000"/>
              </w:rPr>
              <w:t> </w:t>
            </w:r>
          </w:p>
        </w:tc>
        <w:tc>
          <w:tcPr>
            <w:tcW w:w="1276" w:type="dxa"/>
            <w:noWrap/>
            <w:hideMark/>
          </w:tcPr>
          <w:p w14:paraId="3F3B7A0D" w14:textId="77777777" w:rsidR="00F05906" w:rsidRPr="00251C8A" w:rsidRDefault="00F05906" w:rsidP="00F05906">
            <w:pP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251C8A">
              <w:rPr>
                <w:rFonts w:eastAsia="Times New Roman"/>
                <w:color w:val="000000"/>
              </w:rPr>
              <w:t> </w:t>
            </w:r>
          </w:p>
        </w:tc>
      </w:tr>
      <w:tr w:rsidR="0020545F" w:rsidRPr="0020545F" w14:paraId="2B0012E7" w14:textId="77777777" w:rsidTr="008F0C00">
        <w:trPr>
          <w:cnfStyle w:val="000000100000" w:firstRow="0" w:lastRow="0" w:firstColumn="0" w:lastColumn="0" w:oddVBand="0" w:evenVBand="0" w:oddHBand="1" w:evenHBand="0" w:firstRowFirstColumn="0" w:firstRowLastColumn="0" w:lastRowFirstColumn="0" w:lastRowLastColumn="0"/>
          <w:trHeight w:val="120"/>
        </w:trPr>
        <w:tc>
          <w:tcPr>
            <w:cnfStyle w:val="001000000000" w:firstRow="0" w:lastRow="0" w:firstColumn="1" w:lastColumn="0" w:oddVBand="0" w:evenVBand="0" w:oddHBand="0" w:evenHBand="0" w:firstRowFirstColumn="0" w:firstRowLastColumn="0" w:lastRowFirstColumn="0" w:lastRowLastColumn="0"/>
            <w:tcW w:w="279" w:type="dxa"/>
            <w:noWrap/>
            <w:hideMark/>
          </w:tcPr>
          <w:p w14:paraId="38C59282" w14:textId="77777777" w:rsidR="00F05906" w:rsidRPr="0020545F" w:rsidRDefault="00F05906" w:rsidP="00F05906">
            <w:pPr>
              <w:rPr>
                <w:rFonts w:eastAsia="Times New Roman"/>
                <w:color w:val="000000"/>
              </w:rPr>
            </w:pPr>
            <w:r w:rsidRPr="0020545F">
              <w:rPr>
                <w:rFonts w:eastAsia="Times New Roman"/>
                <w:color w:val="000000"/>
              </w:rPr>
              <w:t> </w:t>
            </w:r>
          </w:p>
        </w:tc>
        <w:tc>
          <w:tcPr>
            <w:tcW w:w="4178" w:type="dxa"/>
            <w:noWrap/>
            <w:hideMark/>
          </w:tcPr>
          <w:p w14:paraId="0E925866" w14:textId="77777777" w:rsidR="00F05906" w:rsidRPr="00251C8A" w:rsidRDefault="00F05906" w:rsidP="0020545F">
            <w:pPr>
              <w:ind w:firstLine="33"/>
              <w:cnfStyle w:val="000000100000" w:firstRow="0" w:lastRow="0" w:firstColumn="0" w:lastColumn="0" w:oddVBand="0" w:evenVBand="0" w:oddHBand="1" w:evenHBand="0" w:firstRowFirstColumn="0" w:firstRowLastColumn="0" w:lastRowFirstColumn="0" w:lastRowLastColumn="0"/>
              <w:rPr>
                <w:rFonts w:eastAsia="Times New Roman"/>
                <w:b/>
                <w:bCs/>
                <w:color w:val="000000"/>
              </w:rPr>
            </w:pPr>
            <w:r w:rsidRPr="00251C8A">
              <w:rPr>
                <w:rFonts w:eastAsia="Times New Roman"/>
                <w:b/>
                <w:bCs/>
                <w:color w:val="000000"/>
              </w:rPr>
              <w:t> Lloyds Banking Group</w:t>
            </w:r>
          </w:p>
        </w:tc>
        <w:tc>
          <w:tcPr>
            <w:tcW w:w="0" w:type="dxa"/>
            <w:noWrap/>
            <w:hideMark/>
          </w:tcPr>
          <w:p w14:paraId="1F560C5C" w14:textId="77777777" w:rsidR="00F05906" w:rsidRPr="00023FBD" w:rsidRDefault="00F05906" w:rsidP="00F05906">
            <w:pPr>
              <w:cnfStyle w:val="000000100000" w:firstRow="0" w:lastRow="0" w:firstColumn="0" w:lastColumn="0" w:oddVBand="0" w:evenVBand="0" w:oddHBand="1" w:evenHBand="0" w:firstRowFirstColumn="0" w:firstRowLastColumn="0" w:lastRowFirstColumn="0" w:lastRowLastColumn="0"/>
              <w:rPr>
                <w:rFonts w:eastAsia="Times New Roman"/>
                <w:b/>
                <w:bCs/>
                <w:color w:val="000000"/>
              </w:rPr>
            </w:pPr>
          </w:p>
        </w:tc>
        <w:tc>
          <w:tcPr>
            <w:tcW w:w="0" w:type="dxa"/>
            <w:noWrap/>
            <w:hideMark/>
          </w:tcPr>
          <w:p w14:paraId="4324EDF4" w14:textId="77777777" w:rsidR="00F05906" w:rsidRPr="008F0C00" w:rsidRDefault="00F05906" w:rsidP="00F05906">
            <w:pPr>
              <w:cnfStyle w:val="000000100000" w:firstRow="0" w:lastRow="0" w:firstColumn="0" w:lastColumn="0" w:oddVBand="0" w:evenVBand="0" w:oddHBand="1" w:evenHBand="0" w:firstRowFirstColumn="0" w:firstRowLastColumn="0" w:lastRowFirstColumn="0" w:lastRowLastColumn="0"/>
              <w:rPr>
                <w:rFonts w:eastAsia="Times New Roman"/>
              </w:rPr>
            </w:pPr>
          </w:p>
        </w:tc>
        <w:tc>
          <w:tcPr>
            <w:tcW w:w="1076" w:type="dxa"/>
            <w:gridSpan w:val="2"/>
            <w:noWrap/>
            <w:hideMark/>
          </w:tcPr>
          <w:p w14:paraId="7AC97CE2" w14:textId="77777777" w:rsidR="00F05906" w:rsidRPr="008F0C00" w:rsidRDefault="00F05906" w:rsidP="00F05906">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8F0C00">
              <w:rPr>
                <w:rFonts w:eastAsia="Times New Roman"/>
                <w:color w:val="000000"/>
              </w:rPr>
              <w:t> </w:t>
            </w:r>
          </w:p>
        </w:tc>
        <w:tc>
          <w:tcPr>
            <w:tcW w:w="918" w:type="dxa"/>
            <w:noWrap/>
            <w:hideMark/>
          </w:tcPr>
          <w:p w14:paraId="1EC8E2BD" w14:textId="77777777" w:rsidR="00F05906" w:rsidRPr="00251C8A" w:rsidRDefault="00F05906" w:rsidP="00F05906">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251C8A">
              <w:rPr>
                <w:rFonts w:eastAsia="Times New Roman"/>
                <w:color w:val="000000"/>
              </w:rPr>
              <w:t>30</w:t>
            </w:r>
          </w:p>
        </w:tc>
        <w:tc>
          <w:tcPr>
            <w:tcW w:w="1276" w:type="dxa"/>
            <w:noWrap/>
            <w:hideMark/>
          </w:tcPr>
          <w:p w14:paraId="1BAF3139" w14:textId="77777777" w:rsidR="00F05906" w:rsidRPr="008F0C00" w:rsidRDefault="00F05906" w:rsidP="00F05906">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8F0C00">
              <w:rPr>
                <w:rFonts w:eastAsia="Times New Roman"/>
                <w:color w:val="000000"/>
              </w:rPr>
              <w:t>6mth</w:t>
            </w:r>
          </w:p>
        </w:tc>
      </w:tr>
      <w:tr w:rsidR="0020545F" w:rsidRPr="0020545F" w14:paraId="6AD18A90" w14:textId="77777777" w:rsidTr="008F0C00">
        <w:trPr>
          <w:trHeight w:val="120"/>
        </w:trPr>
        <w:tc>
          <w:tcPr>
            <w:cnfStyle w:val="001000000000" w:firstRow="0" w:lastRow="0" w:firstColumn="1" w:lastColumn="0" w:oddVBand="0" w:evenVBand="0" w:oddHBand="0" w:evenHBand="0" w:firstRowFirstColumn="0" w:firstRowLastColumn="0" w:lastRowFirstColumn="0" w:lastRowLastColumn="0"/>
            <w:tcW w:w="279" w:type="dxa"/>
            <w:noWrap/>
            <w:hideMark/>
          </w:tcPr>
          <w:p w14:paraId="3CE1EE6D" w14:textId="77777777" w:rsidR="00F05906" w:rsidRPr="0020545F" w:rsidRDefault="00F05906" w:rsidP="00F05906">
            <w:pPr>
              <w:rPr>
                <w:rFonts w:eastAsia="Times New Roman"/>
                <w:color w:val="000000"/>
              </w:rPr>
            </w:pPr>
            <w:r w:rsidRPr="0020545F">
              <w:rPr>
                <w:rFonts w:eastAsia="Times New Roman"/>
                <w:color w:val="000000"/>
              </w:rPr>
              <w:t> </w:t>
            </w:r>
          </w:p>
        </w:tc>
        <w:tc>
          <w:tcPr>
            <w:tcW w:w="4178" w:type="dxa"/>
            <w:noWrap/>
            <w:hideMark/>
          </w:tcPr>
          <w:p w14:paraId="4284A284" w14:textId="77777777" w:rsidR="00F05906" w:rsidRPr="00251C8A" w:rsidRDefault="00F05906" w:rsidP="00F05906">
            <w:pPr>
              <w:ind w:firstLineChars="100" w:firstLine="220"/>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251C8A">
              <w:rPr>
                <w:rFonts w:eastAsia="Times New Roman"/>
                <w:color w:val="000000"/>
              </w:rPr>
              <w:t xml:space="preserve">Lloyds Bank </w:t>
            </w:r>
          </w:p>
        </w:tc>
        <w:tc>
          <w:tcPr>
            <w:tcW w:w="0" w:type="dxa"/>
            <w:noWrap/>
            <w:hideMark/>
          </w:tcPr>
          <w:p w14:paraId="755B7066" w14:textId="77777777" w:rsidR="00F05906" w:rsidRPr="00023FBD" w:rsidRDefault="00F05906" w:rsidP="00F05906">
            <w:pP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023FBD">
              <w:rPr>
                <w:rFonts w:eastAsia="Times New Roman"/>
                <w:color w:val="000000"/>
              </w:rPr>
              <w:t>A+</w:t>
            </w:r>
          </w:p>
        </w:tc>
        <w:tc>
          <w:tcPr>
            <w:tcW w:w="0" w:type="dxa"/>
            <w:noWrap/>
            <w:hideMark/>
          </w:tcPr>
          <w:p w14:paraId="4FF40013" w14:textId="77777777" w:rsidR="00F05906" w:rsidRPr="00023FBD" w:rsidRDefault="00F05906" w:rsidP="00F05906">
            <w:pP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023FBD">
              <w:rPr>
                <w:rFonts w:eastAsia="Times New Roman"/>
                <w:color w:val="000000"/>
              </w:rPr>
              <w:t>F1</w:t>
            </w:r>
          </w:p>
        </w:tc>
        <w:tc>
          <w:tcPr>
            <w:tcW w:w="1076" w:type="dxa"/>
            <w:gridSpan w:val="2"/>
            <w:noWrap/>
            <w:hideMark/>
          </w:tcPr>
          <w:p w14:paraId="5EB3BF07" w14:textId="77777777" w:rsidR="00F05906" w:rsidRPr="00023FBD" w:rsidRDefault="00F05906" w:rsidP="00F05906">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023FBD">
              <w:rPr>
                <w:rFonts w:eastAsia="Times New Roman"/>
                <w:color w:val="000000"/>
              </w:rPr>
              <w:t>30</w:t>
            </w:r>
          </w:p>
        </w:tc>
        <w:tc>
          <w:tcPr>
            <w:tcW w:w="918" w:type="dxa"/>
            <w:noWrap/>
            <w:hideMark/>
          </w:tcPr>
          <w:p w14:paraId="30B45F7D" w14:textId="77777777" w:rsidR="00F05906" w:rsidRPr="008F0C00" w:rsidRDefault="00F05906" w:rsidP="00F05906">
            <w:pP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8F0C00">
              <w:rPr>
                <w:rFonts w:eastAsia="Times New Roman"/>
                <w:color w:val="000000"/>
              </w:rPr>
              <w:t> </w:t>
            </w:r>
          </w:p>
        </w:tc>
        <w:tc>
          <w:tcPr>
            <w:tcW w:w="1276" w:type="dxa"/>
            <w:noWrap/>
            <w:hideMark/>
          </w:tcPr>
          <w:p w14:paraId="12C00020" w14:textId="77777777" w:rsidR="00F05906" w:rsidRPr="008F0C00" w:rsidRDefault="00F05906" w:rsidP="00F05906">
            <w:pP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8F0C00">
              <w:rPr>
                <w:rFonts w:eastAsia="Times New Roman"/>
                <w:color w:val="000000"/>
              </w:rPr>
              <w:t>6mth</w:t>
            </w:r>
          </w:p>
        </w:tc>
      </w:tr>
      <w:tr w:rsidR="0020545F" w:rsidRPr="0020545F" w14:paraId="3FADBB00" w14:textId="77777777" w:rsidTr="008F0C00">
        <w:trPr>
          <w:cnfStyle w:val="000000100000" w:firstRow="0" w:lastRow="0" w:firstColumn="0" w:lastColumn="0" w:oddVBand="0" w:evenVBand="0" w:oddHBand="1" w:evenHBand="0" w:firstRowFirstColumn="0" w:firstRowLastColumn="0" w:lastRowFirstColumn="0" w:lastRowLastColumn="0"/>
          <w:trHeight w:val="120"/>
        </w:trPr>
        <w:tc>
          <w:tcPr>
            <w:cnfStyle w:val="001000000000" w:firstRow="0" w:lastRow="0" w:firstColumn="1" w:lastColumn="0" w:oddVBand="0" w:evenVBand="0" w:oddHBand="0" w:evenHBand="0" w:firstRowFirstColumn="0" w:firstRowLastColumn="0" w:lastRowFirstColumn="0" w:lastRowLastColumn="0"/>
            <w:tcW w:w="279" w:type="dxa"/>
            <w:noWrap/>
            <w:hideMark/>
          </w:tcPr>
          <w:p w14:paraId="03BDA656" w14:textId="77777777" w:rsidR="00F05906" w:rsidRPr="0020545F" w:rsidRDefault="00F05906" w:rsidP="00F05906">
            <w:pPr>
              <w:rPr>
                <w:rFonts w:eastAsia="Times New Roman"/>
                <w:b w:val="0"/>
                <w:bCs w:val="0"/>
                <w:color w:val="000000"/>
              </w:rPr>
            </w:pPr>
            <w:r w:rsidRPr="0020545F">
              <w:rPr>
                <w:rFonts w:eastAsia="Times New Roman"/>
                <w:b w:val="0"/>
                <w:bCs w:val="0"/>
                <w:color w:val="000000"/>
              </w:rPr>
              <w:t> </w:t>
            </w:r>
          </w:p>
        </w:tc>
        <w:tc>
          <w:tcPr>
            <w:tcW w:w="4178" w:type="dxa"/>
            <w:noWrap/>
            <w:hideMark/>
          </w:tcPr>
          <w:p w14:paraId="1DA2D3A3" w14:textId="77777777" w:rsidR="00F05906" w:rsidRPr="00251C8A" w:rsidRDefault="00F05906" w:rsidP="00F05906">
            <w:pPr>
              <w:cnfStyle w:val="000000100000" w:firstRow="0" w:lastRow="0" w:firstColumn="0" w:lastColumn="0" w:oddVBand="0" w:evenVBand="0" w:oddHBand="1" w:evenHBand="0" w:firstRowFirstColumn="0" w:firstRowLastColumn="0" w:lastRowFirstColumn="0" w:lastRowLastColumn="0"/>
              <w:rPr>
                <w:rFonts w:eastAsia="Times New Roman"/>
                <w:b/>
                <w:bCs/>
                <w:color w:val="000000"/>
              </w:rPr>
            </w:pPr>
            <w:r w:rsidRPr="00251C8A">
              <w:rPr>
                <w:rFonts w:eastAsia="Times New Roman"/>
                <w:b/>
                <w:bCs/>
                <w:color w:val="000000"/>
              </w:rPr>
              <w:t> RBS Group</w:t>
            </w:r>
          </w:p>
        </w:tc>
        <w:tc>
          <w:tcPr>
            <w:tcW w:w="0" w:type="dxa"/>
            <w:noWrap/>
            <w:hideMark/>
          </w:tcPr>
          <w:p w14:paraId="0A9DD601" w14:textId="77777777" w:rsidR="00F05906" w:rsidRPr="00023FBD" w:rsidRDefault="00F05906" w:rsidP="00F05906">
            <w:pPr>
              <w:cnfStyle w:val="000000100000" w:firstRow="0" w:lastRow="0" w:firstColumn="0" w:lastColumn="0" w:oddVBand="0" w:evenVBand="0" w:oddHBand="1" w:evenHBand="0" w:firstRowFirstColumn="0" w:firstRowLastColumn="0" w:lastRowFirstColumn="0" w:lastRowLastColumn="0"/>
              <w:rPr>
                <w:rFonts w:eastAsia="Times New Roman"/>
                <w:b/>
                <w:bCs/>
                <w:color w:val="000000"/>
              </w:rPr>
            </w:pPr>
          </w:p>
        </w:tc>
        <w:tc>
          <w:tcPr>
            <w:tcW w:w="0" w:type="dxa"/>
            <w:noWrap/>
            <w:hideMark/>
          </w:tcPr>
          <w:p w14:paraId="6427AA45" w14:textId="77777777" w:rsidR="00F05906" w:rsidRPr="008F0C00" w:rsidRDefault="00F05906" w:rsidP="00F05906">
            <w:pPr>
              <w:cnfStyle w:val="000000100000" w:firstRow="0" w:lastRow="0" w:firstColumn="0" w:lastColumn="0" w:oddVBand="0" w:evenVBand="0" w:oddHBand="1" w:evenHBand="0" w:firstRowFirstColumn="0" w:firstRowLastColumn="0" w:lastRowFirstColumn="0" w:lastRowLastColumn="0"/>
              <w:rPr>
                <w:rFonts w:eastAsia="Times New Roman"/>
              </w:rPr>
            </w:pPr>
          </w:p>
        </w:tc>
        <w:tc>
          <w:tcPr>
            <w:tcW w:w="1076" w:type="dxa"/>
            <w:gridSpan w:val="2"/>
            <w:noWrap/>
            <w:hideMark/>
          </w:tcPr>
          <w:p w14:paraId="60BC04F6" w14:textId="77777777" w:rsidR="00F05906" w:rsidRPr="008F0C00" w:rsidRDefault="00F05906" w:rsidP="00F05906">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8F0C00">
              <w:rPr>
                <w:rFonts w:eastAsia="Times New Roman"/>
                <w:color w:val="000000"/>
              </w:rPr>
              <w:t> </w:t>
            </w:r>
          </w:p>
        </w:tc>
        <w:tc>
          <w:tcPr>
            <w:tcW w:w="918" w:type="dxa"/>
            <w:noWrap/>
            <w:hideMark/>
          </w:tcPr>
          <w:p w14:paraId="281740CA" w14:textId="77777777" w:rsidR="00F05906" w:rsidRPr="008F0C00" w:rsidRDefault="00F05906" w:rsidP="00F05906">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8F0C00">
              <w:rPr>
                <w:rFonts w:eastAsia="Times New Roman"/>
                <w:color w:val="000000"/>
              </w:rPr>
              <w:t>65</w:t>
            </w:r>
          </w:p>
        </w:tc>
        <w:tc>
          <w:tcPr>
            <w:tcW w:w="1276" w:type="dxa"/>
            <w:noWrap/>
            <w:hideMark/>
          </w:tcPr>
          <w:p w14:paraId="1F1D3CAF" w14:textId="77777777" w:rsidR="00F05906" w:rsidRPr="008F0C00" w:rsidRDefault="00F05906" w:rsidP="00F05906">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8F0C00">
              <w:rPr>
                <w:rFonts w:eastAsia="Times New Roman"/>
                <w:color w:val="000000"/>
              </w:rPr>
              <w:t>6mth</w:t>
            </w:r>
          </w:p>
        </w:tc>
      </w:tr>
      <w:tr w:rsidR="0020545F" w:rsidRPr="0020545F" w14:paraId="70637457" w14:textId="77777777" w:rsidTr="008F0C00">
        <w:trPr>
          <w:trHeight w:val="120"/>
        </w:trPr>
        <w:tc>
          <w:tcPr>
            <w:cnfStyle w:val="001000000000" w:firstRow="0" w:lastRow="0" w:firstColumn="1" w:lastColumn="0" w:oddVBand="0" w:evenVBand="0" w:oddHBand="0" w:evenHBand="0" w:firstRowFirstColumn="0" w:firstRowLastColumn="0" w:lastRowFirstColumn="0" w:lastRowLastColumn="0"/>
            <w:tcW w:w="279" w:type="dxa"/>
            <w:noWrap/>
            <w:hideMark/>
          </w:tcPr>
          <w:p w14:paraId="06EBB609" w14:textId="77777777" w:rsidR="00F05906" w:rsidRPr="0020545F" w:rsidRDefault="00F05906" w:rsidP="00F05906">
            <w:pPr>
              <w:rPr>
                <w:rFonts w:eastAsia="Times New Roman"/>
                <w:color w:val="000000"/>
              </w:rPr>
            </w:pPr>
            <w:r w:rsidRPr="0020545F">
              <w:rPr>
                <w:rFonts w:eastAsia="Times New Roman"/>
                <w:color w:val="000000"/>
              </w:rPr>
              <w:t> </w:t>
            </w:r>
          </w:p>
        </w:tc>
        <w:tc>
          <w:tcPr>
            <w:tcW w:w="4178" w:type="dxa"/>
            <w:noWrap/>
            <w:hideMark/>
          </w:tcPr>
          <w:p w14:paraId="1BB3323E" w14:textId="77777777" w:rsidR="00F05906" w:rsidRPr="00251C8A" w:rsidRDefault="00F05906" w:rsidP="00F05906">
            <w:pPr>
              <w:ind w:firstLineChars="400" w:firstLine="880"/>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251C8A">
              <w:rPr>
                <w:rFonts w:eastAsia="Times New Roman"/>
                <w:color w:val="000000"/>
              </w:rPr>
              <w:t xml:space="preserve">National Westminster </w:t>
            </w:r>
          </w:p>
        </w:tc>
        <w:tc>
          <w:tcPr>
            <w:tcW w:w="0" w:type="dxa"/>
            <w:noWrap/>
            <w:hideMark/>
          </w:tcPr>
          <w:p w14:paraId="449B2620" w14:textId="77777777" w:rsidR="00F05906" w:rsidRPr="00023FBD" w:rsidRDefault="00F05906" w:rsidP="00F05906">
            <w:pP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023FBD">
              <w:rPr>
                <w:rFonts w:eastAsia="Times New Roman"/>
                <w:color w:val="000000"/>
              </w:rPr>
              <w:t>A+</w:t>
            </w:r>
          </w:p>
        </w:tc>
        <w:tc>
          <w:tcPr>
            <w:tcW w:w="0" w:type="dxa"/>
            <w:noWrap/>
            <w:hideMark/>
          </w:tcPr>
          <w:p w14:paraId="0F127CE9" w14:textId="77777777" w:rsidR="00F05906" w:rsidRPr="00023FBD" w:rsidRDefault="00F05906" w:rsidP="00F05906">
            <w:pP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023FBD">
              <w:rPr>
                <w:rFonts w:eastAsia="Times New Roman"/>
                <w:color w:val="000000"/>
              </w:rPr>
              <w:t>F1</w:t>
            </w:r>
          </w:p>
        </w:tc>
        <w:tc>
          <w:tcPr>
            <w:tcW w:w="1076" w:type="dxa"/>
            <w:gridSpan w:val="2"/>
            <w:noWrap/>
            <w:hideMark/>
          </w:tcPr>
          <w:p w14:paraId="534E9D9B" w14:textId="77777777" w:rsidR="00F05906" w:rsidRPr="00023FBD" w:rsidRDefault="00F05906" w:rsidP="00F05906">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023FBD">
              <w:rPr>
                <w:rFonts w:eastAsia="Times New Roman"/>
                <w:color w:val="000000"/>
              </w:rPr>
              <w:t>65</w:t>
            </w:r>
          </w:p>
        </w:tc>
        <w:tc>
          <w:tcPr>
            <w:tcW w:w="918" w:type="dxa"/>
            <w:noWrap/>
            <w:hideMark/>
          </w:tcPr>
          <w:p w14:paraId="0A012E89" w14:textId="77777777" w:rsidR="00F05906" w:rsidRPr="008F0C00" w:rsidRDefault="00F05906" w:rsidP="00F05906">
            <w:pP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8F0C00">
              <w:rPr>
                <w:rFonts w:eastAsia="Times New Roman"/>
                <w:color w:val="000000"/>
              </w:rPr>
              <w:t> </w:t>
            </w:r>
          </w:p>
        </w:tc>
        <w:tc>
          <w:tcPr>
            <w:tcW w:w="1276" w:type="dxa"/>
            <w:noWrap/>
            <w:hideMark/>
          </w:tcPr>
          <w:p w14:paraId="6A62EE78" w14:textId="77777777" w:rsidR="00F05906" w:rsidRPr="008F0C00" w:rsidRDefault="00F05906" w:rsidP="00F05906">
            <w:pP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8F0C00">
              <w:rPr>
                <w:rFonts w:eastAsia="Times New Roman"/>
                <w:color w:val="000000"/>
              </w:rPr>
              <w:t xml:space="preserve">6 mth </w:t>
            </w:r>
          </w:p>
        </w:tc>
      </w:tr>
      <w:tr w:rsidR="0020545F" w:rsidRPr="0020545F" w14:paraId="04DBFB00" w14:textId="77777777" w:rsidTr="008F0C00">
        <w:trPr>
          <w:cnfStyle w:val="000000100000" w:firstRow="0" w:lastRow="0" w:firstColumn="0" w:lastColumn="0" w:oddVBand="0" w:evenVBand="0" w:oddHBand="1" w:evenHBand="0" w:firstRowFirstColumn="0" w:firstRowLastColumn="0" w:lastRowFirstColumn="0" w:lastRowLastColumn="0"/>
          <w:trHeight w:val="120"/>
        </w:trPr>
        <w:tc>
          <w:tcPr>
            <w:cnfStyle w:val="001000000000" w:firstRow="0" w:lastRow="0" w:firstColumn="1" w:lastColumn="0" w:oddVBand="0" w:evenVBand="0" w:oddHBand="0" w:evenHBand="0" w:firstRowFirstColumn="0" w:firstRowLastColumn="0" w:lastRowFirstColumn="0" w:lastRowLastColumn="0"/>
            <w:tcW w:w="279" w:type="dxa"/>
            <w:noWrap/>
            <w:hideMark/>
          </w:tcPr>
          <w:p w14:paraId="32732C63" w14:textId="77777777" w:rsidR="00F05906" w:rsidRPr="0020545F" w:rsidRDefault="00F05906" w:rsidP="00F05906">
            <w:pPr>
              <w:rPr>
                <w:rFonts w:eastAsia="Times New Roman"/>
                <w:color w:val="000000"/>
              </w:rPr>
            </w:pPr>
            <w:r w:rsidRPr="0020545F">
              <w:rPr>
                <w:rFonts w:eastAsia="Times New Roman"/>
                <w:color w:val="000000"/>
              </w:rPr>
              <w:t> </w:t>
            </w:r>
          </w:p>
        </w:tc>
        <w:tc>
          <w:tcPr>
            <w:tcW w:w="4178" w:type="dxa"/>
            <w:noWrap/>
            <w:hideMark/>
          </w:tcPr>
          <w:p w14:paraId="077A9255" w14:textId="77777777" w:rsidR="00F05906" w:rsidRPr="00251C8A" w:rsidRDefault="00F05906" w:rsidP="00F05906">
            <w:pPr>
              <w:ind w:firstLineChars="400" w:firstLine="880"/>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251C8A">
              <w:rPr>
                <w:rFonts w:eastAsia="Times New Roman"/>
                <w:color w:val="000000"/>
              </w:rPr>
              <w:t xml:space="preserve">Royal Bank of Scotland </w:t>
            </w:r>
          </w:p>
        </w:tc>
        <w:tc>
          <w:tcPr>
            <w:tcW w:w="0" w:type="dxa"/>
            <w:noWrap/>
            <w:hideMark/>
          </w:tcPr>
          <w:p w14:paraId="044C7B7C" w14:textId="77777777" w:rsidR="00F05906" w:rsidRPr="00023FBD" w:rsidRDefault="00F05906" w:rsidP="00F05906">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023FBD">
              <w:rPr>
                <w:rFonts w:eastAsia="Times New Roman"/>
                <w:color w:val="000000"/>
              </w:rPr>
              <w:t>A+</w:t>
            </w:r>
          </w:p>
        </w:tc>
        <w:tc>
          <w:tcPr>
            <w:tcW w:w="0" w:type="dxa"/>
            <w:noWrap/>
            <w:hideMark/>
          </w:tcPr>
          <w:p w14:paraId="0529E4CB" w14:textId="77777777" w:rsidR="00F05906" w:rsidRPr="00023FBD" w:rsidRDefault="00F05906" w:rsidP="00F05906">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023FBD">
              <w:rPr>
                <w:rFonts w:eastAsia="Times New Roman"/>
                <w:color w:val="000000"/>
              </w:rPr>
              <w:t>F1</w:t>
            </w:r>
          </w:p>
        </w:tc>
        <w:tc>
          <w:tcPr>
            <w:tcW w:w="1076" w:type="dxa"/>
            <w:gridSpan w:val="2"/>
            <w:noWrap/>
            <w:hideMark/>
          </w:tcPr>
          <w:p w14:paraId="333B01AF" w14:textId="77777777" w:rsidR="00F05906" w:rsidRPr="00023FBD" w:rsidRDefault="00F05906" w:rsidP="00F05906">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023FBD">
              <w:rPr>
                <w:rFonts w:eastAsia="Times New Roman"/>
                <w:color w:val="000000"/>
              </w:rPr>
              <w:t>65</w:t>
            </w:r>
          </w:p>
        </w:tc>
        <w:tc>
          <w:tcPr>
            <w:tcW w:w="918" w:type="dxa"/>
            <w:noWrap/>
            <w:hideMark/>
          </w:tcPr>
          <w:p w14:paraId="79BC6A6A" w14:textId="77777777" w:rsidR="00F05906" w:rsidRPr="008F0C00" w:rsidRDefault="00F05906" w:rsidP="00F05906">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8F0C00">
              <w:rPr>
                <w:rFonts w:eastAsia="Times New Roman"/>
                <w:color w:val="000000"/>
              </w:rPr>
              <w:t> </w:t>
            </w:r>
          </w:p>
        </w:tc>
        <w:tc>
          <w:tcPr>
            <w:tcW w:w="1276" w:type="dxa"/>
            <w:noWrap/>
            <w:hideMark/>
          </w:tcPr>
          <w:p w14:paraId="4C4B6E86" w14:textId="77777777" w:rsidR="00F05906" w:rsidRPr="008F0C00" w:rsidRDefault="00F05906" w:rsidP="00F05906">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8F0C00">
              <w:rPr>
                <w:rFonts w:eastAsia="Times New Roman"/>
                <w:color w:val="000000"/>
              </w:rPr>
              <w:t xml:space="preserve">6 mth </w:t>
            </w:r>
          </w:p>
        </w:tc>
      </w:tr>
      <w:tr w:rsidR="0020545F" w:rsidRPr="0020545F" w14:paraId="1F3FFF6B" w14:textId="77777777" w:rsidTr="008F0C00">
        <w:trPr>
          <w:trHeight w:val="120"/>
        </w:trPr>
        <w:tc>
          <w:tcPr>
            <w:cnfStyle w:val="001000000000" w:firstRow="0" w:lastRow="0" w:firstColumn="1" w:lastColumn="0" w:oddVBand="0" w:evenVBand="0" w:oddHBand="0" w:evenHBand="0" w:firstRowFirstColumn="0" w:firstRowLastColumn="0" w:lastRowFirstColumn="0" w:lastRowLastColumn="0"/>
            <w:tcW w:w="279" w:type="dxa"/>
            <w:noWrap/>
            <w:hideMark/>
          </w:tcPr>
          <w:p w14:paraId="0638ED32" w14:textId="77777777" w:rsidR="00F05906" w:rsidRPr="0020545F" w:rsidRDefault="00F05906" w:rsidP="00F05906">
            <w:pPr>
              <w:rPr>
                <w:rFonts w:eastAsia="Times New Roman"/>
                <w:color w:val="000000"/>
              </w:rPr>
            </w:pPr>
            <w:r w:rsidRPr="0020545F">
              <w:rPr>
                <w:rFonts w:eastAsia="Times New Roman"/>
                <w:color w:val="000000"/>
              </w:rPr>
              <w:t> </w:t>
            </w:r>
          </w:p>
        </w:tc>
        <w:tc>
          <w:tcPr>
            <w:tcW w:w="4178" w:type="dxa"/>
            <w:noWrap/>
            <w:hideMark/>
          </w:tcPr>
          <w:p w14:paraId="50F0417F" w14:textId="77777777" w:rsidR="00F05906" w:rsidRPr="00251C8A" w:rsidRDefault="00F05906" w:rsidP="00F05906">
            <w:pP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251C8A">
              <w:rPr>
                <w:rFonts w:eastAsia="Times New Roman"/>
                <w:color w:val="000000"/>
              </w:rPr>
              <w:t>HSBC</w:t>
            </w:r>
          </w:p>
        </w:tc>
        <w:tc>
          <w:tcPr>
            <w:tcW w:w="0" w:type="dxa"/>
            <w:noWrap/>
            <w:hideMark/>
          </w:tcPr>
          <w:p w14:paraId="2C0D9707" w14:textId="676C3398" w:rsidR="00F05906" w:rsidRPr="00023FBD" w:rsidRDefault="00F05906" w:rsidP="00F05906">
            <w:pP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023FBD">
              <w:rPr>
                <w:rFonts w:eastAsia="Times New Roman"/>
                <w:color w:val="000000"/>
              </w:rPr>
              <w:t>A</w:t>
            </w:r>
            <w:r w:rsidR="00E37FA6" w:rsidRPr="00023FBD">
              <w:rPr>
                <w:rFonts w:eastAsia="Times New Roman"/>
                <w:color w:val="000000"/>
              </w:rPr>
              <w:t>A-</w:t>
            </w:r>
          </w:p>
        </w:tc>
        <w:tc>
          <w:tcPr>
            <w:tcW w:w="0" w:type="dxa"/>
            <w:noWrap/>
            <w:hideMark/>
          </w:tcPr>
          <w:p w14:paraId="2067C4FB" w14:textId="77777777" w:rsidR="00F05906" w:rsidRPr="00023FBD" w:rsidRDefault="00F05906" w:rsidP="00F05906">
            <w:pP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023FBD">
              <w:rPr>
                <w:rFonts w:eastAsia="Times New Roman"/>
                <w:color w:val="000000"/>
              </w:rPr>
              <w:t>F1+</w:t>
            </w:r>
          </w:p>
        </w:tc>
        <w:tc>
          <w:tcPr>
            <w:tcW w:w="1076" w:type="dxa"/>
            <w:gridSpan w:val="2"/>
            <w:noWrap/>
            <w:hideMark/>
          </w:tcPr>
          <w:p w14:paraId="47FC9811" w14:textId="77777777" w:rsidR="00F05906" w:rsidRPr="00023FBD" w:rsidRDefault="00F05906" w:rsidP="00F05906">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023FBD">
              <w:rPr>
                <w:rFonts w:eastAsia="Times New Roman"/>
                <w:color w:val="000000"/>
              </w:rPr>
              <w:t>30</w:t>
            </w:r>
          </w:p>
        </w:tc>
        <w:tc>
          <w:tcPr>
            <w:tcW w:w="918" w:type="dxa"/>
            <w:noWrap/>
            <w:hideMark/>
          </w:tcPr>
          <w:p w14:paraId="40629792" w14:textId="77777777" w:rsidR="00F05906" w:rsidRPr="008F0C00" w:rsidRDefault="00F05906" w:rsidP="00F05906">
            <w:pP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8F0C00">
              <w:rPr>
                <w:rFonts w:eastAsia="Times New Roman"/>
                <w:color w:val="000000"/>
              </w:rPr>
              <w:t> </w:t>
            </w:r>
          </w:p>
        </w:tc>
        <w:tc>
          <w:tcPr>
            <w:tcW w:w="1276" w:type="dxa"/>
            <w:noWrap/>
            <w:hideMark/>
          </w:tcPr>
          <w:p w14:paraId="215D9C40" w14:textId="77777777" w:rsidR="00F05906" w:rsidRPr="008F0C00" w:rsidRDefault="00F05906" w:rsidP="00F05906">
            <w:pP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8F0C00">
              <w:rPr>
                <w:rFonts w:eastAsia="Times New Roman"/>
                <w:color w:val="000000"/>
              </w:rPr>
              <w:t>1 year</w:t>
            </w:r>
          </w:p>
        </w:tc>
      </w:tr>
      <w:tr w:rsidR="0020545F" w:rsidRPr="0020545F" w14:paraId="2CA00299" w14:textId="77777777" w:rsidTr="008F0C00">
        <w:trPr>
          <w:cnfStyle w:val="000000100000" w:firstRow="0" w:lastRow="0" w:firstColumn="0" w:lastColumn="0" w:oddVBand="0" w:evenVBand="0" w:oddHBand="1" w:evenHBand="0" w:firstRowFirstColumn="0" w:firstRowLastColumn="0" w:lastRowFirstColumn="0" w:lastRowLastColumn="0"/>
          <w:trHeight w:val="120"/>
        </w:trPr>
        <w:tc>
          <w:tcPr>
            <w:cnfStyle w:val="001000000000" w:firstRow="0" w:lastRow="0" w:firstColumn="1" w:lastColumn="0" w:oddVBand="0" w:evenVBand="0" w:oddHBand="0" w:evenHBand="0" w:firstRowFirstColumn="0" w:firstRowLastColumn="0" w:lastRowFirstColumn="0" w:lastRowLastColumn="0"/>
            <w:tcW w:w="279" w:type="dxa"/>
            <w:noWrap/>
            <w:hideMark/>
          </w:tcPr>
          <w:p w14:paraId="7536803D" w14:textId="77777777" w:rsidR="00F05906" w:rsidRPr="0020545F" w:rsidRDefault="00F05906" w:rsidP="00F05906">
            <w:pPr>
              <w:rPr>
                <w:rFonts w:eastAsia="Times New Roman"/>
                <w:color w:val="000000"/>
              </w:rPr>
            </w:pPr>
            <w:r w:rsidRPr="0020545F">
              <w:rPr>
                <w:rFonts w:eastAsia="Times New Roman"/>
                <w:color w:val="000000"/>
              </w:rPr>
              <w:t> </w:t>
            </w:r>
          </w:p>
        </w:tc>
        <w:tc>
          <w:tcPr>
            <w:tcW w:w="4178" w:type="dxa"/>
            <w:noWrap/>
            <w:hideMark/>
          </w:tcPr>
          <w:p w14:paraId="46E2923B" w14:textId="77777777" w:rsidR="00F05906" w:rsidRPr="00251C8A" w:rsidRDefault="00F05906" w:rsidP="00F05906">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251C8A">
              <w:rPr>
                <w:rFonts w:eastAsia="Times New Roman"/>
                <w:color w:val="000000"/>
              </w:rPr>
              <w:t>Santander UK plc</w:t>
            </w:r>
          </w:p>
        </w:tc>
        <w:tc>
          <w:tcPr>
            <w:tcW w:w="0" w:type="dxa"/>
            <w:noWrap/>
            <w:hideMark/>
          </w:tcPr>
          <w:p w14:paraId="7D10B4D3" w14:textId="77777777" w:rsidR="00F05906" w:rsidRPr="00023FBD" w:rsidRDefault="00F05906" w:rsidP="00F05906">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023FBD">
              <w:rPr>
                <w:rFonts w:eastAsia="Times New Roman"/>
                <w:color w:val="000000"/>
              </w:rPr>
              <w:t>A+</w:t>
            </w:r>
          </w:p>
        </w:tc>
        <w:tc>
          <w:tcPr>
            <w:tcW w:w="0" w:type="dxa"/>
            <w:noWrap/>
            <w:hideMark/>
          </w:tcPr>
          <w:p w14:paraId="04F6093A" w14:textId="77777777" w:rsidR="00F05906" w:rsidRPr="00023FBD" w:rsidRDefault="00F05906" w:rsidP="00F05906">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023FBD">
              <w:rPr>
                <w:rFonts w:eastAsia="Times New Roman"/>
                <w:color w:val="000000"/>
              </w:rPr>
              <w:t>F1</w:t>
            </w:r>
          </w:p>
        </w:tc>
        <w:tc>
          <w:tcPr>
            <w:tcW w:w="1076" w:type="dxa"/>
            <w:gridSpan w:val="2"/>
            <w:noWrap/>
            <w:hideMark/>
          </w:tcPr>
          <w:p w14:paraId="6DCCB23C" w14:textId="77777777" w:rsidR="00F05906" w:rsidRPr="00023FBD" w:rsidRDefault="00F05906" w:rsidP="00F05906">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023FBD">
              <w:rPr>
                <w:rFonts w:eastAsia="Times New Roman"/>
                <w:color w:val="000000"/>
              </w:rPr>
              <w:t>30</w:t>
            </w:r>
          </w:p>
        </w:tc>
        <w:tc>
          <w:tcPr>
            <w:tcW w:w="918" w:type="dxa"/>
            <w:noWrap/>
            <w:hideMark/>
          </w:tcPr>
          <w:p w14:paraId="60DEA287" w14:textId="77777777" w:rsidR="00F05906" w:rsidRPr="008F0C00" w:rsidRDefault="00F05906" w:rsidP="00F05906">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8F0C00">
              <w:rPr>
                <w:rFonts w:eastAsia="Times New Roman"/>
                <w:color w:val="000000"/>
              </w:rPr>
              <w:t> </w:t>
            </w:r>
          </w:p>
        </w:tc>
        <w:tc>
          <w:tcPr>
            <w:tcW w:w="1276" w:type="dxa"/>
            <w:noWrap/>
            <w:hideMark/>
          </w:tcPr>
          <w:p w14:paraId="580E0343" w14:textId="77777777" w:rsidR="00F05906" w:rsidRPr="00251C8A" w:rsidRDefault="00F05906" w:rsidP="00F05906">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251C8A">
              <w:rPr>
                <w:rFonts w:eastAsia="Times New Roman"/>
                <w:color w:val="000000"/>
              </w:rPr>
              <w:t>6mth</w:t>
            </w:r>
          </w:p>
        </w:tc>
      </w:tr>
      <w:tr w:rsidR="0020545F" w:rsidRPr="0020545F" w14:paraId="522241B5" w14:textId="77777777" w:rsidTr="008F0C00">
        <w:trPr>
          <w:trHeight w:val="120"/>
        </w:trPr>
        <w:tc>
          <w:tcPr>
            <w:cnfStyle w:val="001000000000" w:firstRow="0" w:lastRow="0" w:firstColumn="1" w:lastColumn="0" w:oddVBand="0" w:evenVBand="0" w:oddHBand="0" w:evenHBand="0" w:firstRowFirstColumn="0" w:firstRowLastColumn="0" w:lastRowFirstColumn="0" w:lastRowLastColumn="0"/>
            <w:tcW w:w="279" w:type="dxa"/>
            <w:noWrap/>
            <w:hideMark/>
          </w:tcPr>
          <w:p w14:paraId="11907895" w14:textId="77777777" w:rsidR="00F05906" w:rsidRPr="0020545F" w:rsidRDefault="00F05906" w:rsidP="00F05906">
            <w:pPr>
              <w:rPr>
                <w:rFonts w:eastAsia="Times New Roman"/>
                <w:color w:val="000000"/>
              </w:rPr>
            </w:pPr>
            <w:r w:rsidRPr="0020545F">
              <w:rPr>
                <w:rFonts w:eastAsia="Times New Roman"/>
                <w:color w:val="000000"/>
              </w:rPr>
              <w:t> </w:t>
            </w:r>
          </w:p>
        </w:tc>
        <w:tc>
          <w:tcPr>
            <w:tcW w:w="4178" w:type="dxa"/>
            <w:noWrap/>
            <w:hideMark/>
          </w:tcPr>
          <w:p w14:paraId="6E6EAD2A" w14:textId="77777777" w:rsidR="00F05906" w:rsidRPr="00251C8A" w:rsidRDefault="00F05906" w:rsidP="00F05906">
            <w:pP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251C8A">
              <w:rPr>
                <w:rFonts w:eastAsia="Times New Roman"/>
                <w:color w:val="000000"/>
              </w:rPr>
              <w:t>Standard Chartered Bank</w:t>
            </w:r>
          </w:p>
        </w:tc>
        <w:tc>
          <w:tcPr>
            <w:tcW w:w="0" w:type="dxa"/>
            <w:noWrap/>
            <w:hideMark/>
          </w:tcPr>
          <w:p w14:paraId="26F61793" w14:textId="77777777" w:rsidR="00F05906" w:rsidRPr="00023FBD" w:rsidRDefault="00F05906" w:rsidP="00F05906">
            <w:pP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023FBD">
              <w:rPr>
                <w:rFonts w:eastAsia="Times New Roman"/>
                <w:color w:val="000000"/>
              </w:rPr>
              <w:t>A+</w:t>
            </w:r>
          </w:p>
        </w:tc>
        <w:tc>
          <w:tcPr>
            <w:tcW w:w="0" w:type="dxa"/>
            <w:noWrap/>
            <w:hideMark/>
          </w:tcPr>
          <w:p w14:paraId="49F32ADC" w14:textId="77777777" w:rsidR="00F05906" w:rsidRPr="00023FBD" w:rsidRDefault="00F05906" w:rsidP="00F05906">
            <w:pP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023FBD">
              <w:rPr>
                <w:rFonts w:eastAsia="Times New Roman"/>
                <w:color w:val="000000"/>
              </w:rPr>
              <w:t>F1</w:t>
            </w:r>
          </w:p>
        </w:tc>
        <w:tc>
          <w:tcPr>
            <w:tcW w:w="1076" w:type="dxa"/>
            <w:gridSpan w:val="2"/>
            <w:noWrap/>
            <w:hideMark/>
          </w:tcPr>
          <w:p w14:paraId="10C00634" w14:textId="77777777" w:rsidR="00F05906" w:rsidRPr="00023FBD" w:rsidRDefault="00F05906" w:rsidP="00F05906">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023FBD">
              <w:rPr>
                <w:rFonts w:eastAsia="Times New Roman"/>
                <w:color w:val="000000"/>
              </w:rPr>
              <w:t>30</w:t>
            </w:r>
          </w:p>
        </w:tc>
        <w:tc>
          <w:tcPr>
            <w:tcW w:w="918" w:type="dxa"/>
            <w:noWrap/>
            <w:hideMark/>
          </w:tcPr>
          <w:p w14:paraId="31BAA8EC" w14:textId="77777777" w:rsidR="00F05906" w:rsidRPr="00023FBD" w:rsidRDefault="00F05906" w:rsidP="00F05906">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023FBD">
              <w:rPr>
                <w:rFonts w:eastAsia="Times New Roman"/>
                <w:color w:val="000000"/>
              </w:rPr>
              <w:t> </w:t>
            </w:r>
          </w:p>
        </w:tc>
        <w:tc>
          <w:tcPr>
            <w:tcW w:w="1276" w:type="dxa"/>
            <w:noWrap/>
            <w:hideMark/>
          </w:tcPr>
          <w:p w14:paraId="60EF29C5" w14:textId="77777777" w:rsidR="00F05906" w:rsidRPr="00023FBD" w:rsidRDefault="00F05906" w:rsidP="00F05906">
            <w:pP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023FBD">
              <w:rPr>
                <w:rFonts w:eastAsia="Times New Roman"/>
                <w:color w:val="000000"/>
              </w:rPr>
              <w:t>6mth</w:t>
            </w:r>
          </w:p>
        </w:tc>
      </w:tr>
      <w:tr w:rsidR="0020545F" w:rsidRPr="0020545F" w14:paraId="11A12744" w14:textId="77777777" w:rsidTr="008F0C00">
        <w:trPr>
          <w:cnfStyle w:val="000000100000" w:firstRow="0" w:lastRow="0" w:firstColumn="0" w:lastColumn="0" w:oddVBand="0" w:evenVBand="0" w:oddHBand="1" w:evenHBand="0" w:firstRowFirstColumn="0" w:firstRowLastColumn="0" w:lastRowFirstColumn="0" w:lastRowLastColumn="0"/>
          <w:trHeight w:val="120"/>
        </w:trPr>
        <w:tc>
          <w:tcPr>
            <w:cnfStyle w:val="001000000000" w:firstRow="0" w:lastRow="0" w:firstColumn="1" w:lastColumn="0" w:oddVBand="0" w:evenVBand="0" w:oddHBand="0" w:evenHBand="0" w:firstRowFirstColumn="0" w:firstRowLastColumn="0" w:lastRowFirstColumn="0" w:lastRowLastColumn="0"/>
            <w:tcW w:w="279" w:type="dxa"/>
            <w:noWrap/>
            <w:hideMark/>
          </w:tcPr>
          <w:p w14:paraId="073FA01D" w14:textId="77777777" w:rsidR="00F05906" w:rsidRPr="0020545F" w:rsidRDefault="00F05906" w:rsidP="00F05906">
            <w:pPr>
              <w:rPr>
                <w:rFonts w:eastAsia="Times New Roman"/>
                <w:color w:val="000000"/>
              </w:rPr>
            </w:pPr>
            <w:r w:rsidRPr="0020545F">
              <w:rPr>
                <w:rFonts w:eastAsia="Times New Roman"/>
                <w:color w:val="000000"/>
              </w:rPr>
              <w:t> </w:t>
            </w:r>
          </w:p>
        </w:tc>
        <w:tc>
          <w:tcPr>
            <w:tcW w:w="4178" w:type="dxa"/>
            <w:noWrap/>
            <w:hideMark/>
          </w:tcPr>
          <w:p w14:paraId="2EEE2678" w14:textId="77777777" w:rsidR="00F05906" w:rsidRPr="00251C8A" w:rsidRDefault="00F05906" w:rsidP="00F05906">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251C8A">
              <w:rPr>
                <w:rFonts w:eastAsia="Times New Roman"/>
                <w:color w:val="000000"/>
              </w:rPr>
              <w:t>Barclays</w:t>
            </w:r>
          </w:p>
        </w:tc>
        <w:tc>
          <w:tcPr>
            <w:tcW w:w="0" w:type="dxa"/>
            <w:noWrap/>
            <w:hideMark/>
          </w:tcPr>
          <w:p w14:paraId="01468A56" w14:textId="77777777" w:rsidR="00F05906" w:rsidRPr="00023FBD" w:rsidRDefault="00F05906" w:rsidP="00F05906">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023FBD">
              <w:rPr>
                <w:rFonts w:eastAsia="Times New Roman"/>
                <w:color w:val="000000"/>
              </w:rPr>
              <w:t>A+</w:t>
            </w:r>
          </w:p>
        </w:tc>
        <w:tc>
          <w:tcPr>
            <w:tcW w:w="0" w:type="dxa"/>
            <w:noWrap/>
            <w:hideMark/>
          </w:tcPr>
          <w:p w14:paraId="0A35B653" w14:textId="77777777" w:rsidR="00F05906" w:rsidRPr="00023FBD" w:rsidRDefault="00F05906" w:rsidP="00F05906">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023FBD">
              <w:rPr>
                <w:rFonts w:eastAsia="Times New Roman"/>
                <w:color w:val="000000"/>
              </w:rPr>
              <w:t>F1</w:t>
            </w:r>
          </w:p>
        </w:tc>
        <w:tc>
          <w:tcPr>
            <w:tcW w:w="1076" w:type="dxa"/>
            <w:gridSpan w:val="2"/>
            <w:noWrap/>
            <w:hideMark/>
          </w:tcPr>
          <w:p w14:paraId="49A040A8" w14:textId="77777777" w:rsidR="00F05906" w:rsidRPr="00023FBD" w:rsidRDefault="00F05906" w:rsidP="00F05906">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023FBD">
              <w:rPr>
                <w:rFonts w:eastAsia="Times New Roman"/>
                <w:color w:val="000000"/>
              </w:rPr>
              <w:t>30</w:t>
            </w:r>
          </w:p>
        </w:tc>
        <w:tc>
          <w:tcPr>
            <w:tcW w:w="918" w:type="dxa"/>
            <w:noWrap/>
            <w:hideMark/>
          </w:tcPr>
          <w:p w14:paraId="23DD3C58" w14:textId="77777777" w:rsidR="00F05906" w:rsidRPr="008F0C00" w:rsidRDefault="00F05906" w:rsidP="00F05906">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8F0C00">
              <w:rPr>
                <w:rFonts w:eastAsia="Times New Roman"/>
                <w:color w:val="000000"/>
              </w:rPr>
              <w:t> </w:t>
            </w:r>
          </w:p>
        </w:tc>
        <w:tc>
          <w:tcPr>
            <w:tcW w:w="1276" w:type="dxa"/>
            <w:noWrap/>
            <w:hideMark/>
          </w:tcPr>
          <w:p w14:paraId="7960CCE3" w14:textId="77777777" w:rsidR="00F05906" w:rsidRPr="00251C8A" w:rsidRDefault="00F05906" w:rsidP="00F05906">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251C8A">
              <w:rPr>
                <w:rFonts w:eastAsia="Times New Roman"/>
                <w:color w:val="000000"/>
              </w:rPr>
              <w:t>6mth</w:t>
            </w:r>
          </w:p>
        </w:tc>
      </w:tr>
      <w:tr w:rsidR="0020545F" w:rsidRPr="0020545F" w14:paraId="442EC8EA" w14:textId="77777777" w:rsidTr="008F0C00">
        <w:trPr>
          <w:trHeight w:val="120"/>
        </w:trPr>
        <w:tc>
          <w:tcPr>
            <w:cnfStyle w:val="001000000000" w:firstRow="0" w:lastRow="0" w:firstColumn="1" w:lastColumn="0" w:oddVBand="0" w:evenVBand="0" w:oddHBand="0" w:evenHBand="0" w:firstRowFirstColumn="0" w:firstRowLastColumn="0" w:lastRowFirstColumn="0" w:lastRowLastColumn="0"/>
            <w:tcW w:w="279" w:type="dxa"/>
            <w:noWrap/>
            <w:hideMark/>
          </w:tcPr>
          <w:p w14:paraId="6E6C067C" w14:textId="77777777" w:rsidR="00F05906" w:rsidRPr="0020545F" w:rsidRDefault="00F05906" w:rsidP="00F05906">
            <w:pPr>
              <w:rPr>
                <w:rFonts w:eastAsia="Times New Roman"/>
                <w:color w:val="000000"/>
              </w:rPr>
            </w:pPr>
            <w:r w:rsidRPr="0020545F">
              <w:rPr>
                <w:rFonts w:eastAsia="Times New Roman"/>
                <w:color w:val="000000"/>
              </w:rPr>
              <w:t> </w:t>
            </w:r>
          </w:p>
        </w:tc>
        <w:tc>
          <w:tcPr>
            <w:tcW w:w="4178" w:type="dxa"/>
            <w:noWrap/>
            <w:hideMark/>
          </w:tcPr>
          <w:p w14:paraId="4141B863" w14:textId="77777777" w:rsidR="00F05906" w:rsidRPr="00251C8A" w:rsidRDefault="00F05906" w:rsidP="00F05906">
            <w:pP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251C8A">
              <w:rPr>
                <w:rFonts w:eastAsia="Times New Roman"/>
                <w:color w:val="000000"/>
              </w:rPr>
              <w:t>Goldman Sachs</w:t>
            </w:r>
          </w:p>
        </w:tc>
        <w:tc>
          <w:tcPr>
            <w:tcW w:w="0" w:type="dxa"/>
            <w:noWrap/>
            <w:hideMark/>
          </w:tcPr>
          <w:p w14:paraId="114B72D4" w14:textId="77777777" w:rsidR="00F05906" w:rsidRPr="00023FBD" w:rsidRDefault="00F05906" w:rsidP="00F05906">
            <w:pP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023FBD">
              <w:rPr>
                <w:rFonts w:eastAsia="Times New Roman"/>
                <w:color w:val="000000"/>
              </w:rPr>
              <w:t>A+</w:t>
            </w:r>
          </w:p>
        </w:tc>
        <w:tc>
          <w:tcPr>
            <w:tcW w:w="0" w:type="dxa"/>
            <w:noWrap/>
            <w:hideMark/>
          </w:tcPr>
          <w:p w14:paraId="1680DFB9" w14:textId="77777777" w:rsidR="00F05906" w:rsidRPr="00023FBD" w:rsidRDefault="00F05906" w:rsidP="00F05906">
            <w:pP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023FBD">
              <w:rPr>
                <w:rFonts w:eastAsia="Times New Roman"/>
                <w:color w:val="000000"/>
              </w:rPr>
              <w:t>F1</w:t>
            </w:r>
          </w:p>
        </w:tc>
        <w:tc>
          <w:tcPr>
            <w:tcW w:w="1076" w:type="dxa"/>
            <w:gridSpan w:val="2"/>
            <w:noWrap/>
            <w:hideMark/>
          </w:tcPr>
          <w:p w14:paraId="6913723A" w14:textId="77777777" w:rsidR="00F05906" w:rsidRPr="00023FBD" w:rsidRDefault="00F05906" w:rsidP="00F05906">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023FBD">
              <w:rPr>
                <w:rFonts w:eastAsia="Times New Roman"/>
                <w:color w:val="000000"/>
              </w:rPr>
              <w:t>30</w:t>
            </w:r>
          </w:p>
        </w:tc>
        <w:tc>
          <w:tcPr>
            <w:tcW w:w="918" w:type="dxa"/>
            <w:noWrap/>
            <w:hideMark/>
          </w:tcPr>
          <w:p w14:paraId="2A1219DA" w14:textId="77777777" w:rsidR="00F05906" w:rsidRPr="00023FBD" w:rsidRDefault="00F05906" w:rsidP="00F05906">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023FBD">
              <w:rPr>
                <w:rFonts w:eastAsia="Times New Roman"/>
                <w:color w:val="000000"/>
              </w:rPr>
              <w:t> </w:t>
            </w:r>
          </w:p>
        </w:tc>
        <w:tc>
          <w:tcPr>
            <w:tcW w:w="1276" w:type="dxa"/>
            <w:noWrap/>
            <w:hideMark/>
          </w:tcPr>
          <w:p w14:paraId="13768090" w14:textId="77777777" w:rsidR="00F05906" w:rsidRPr="00023FBD" w:rsidRDefault="00F05906" w:rsidP="00F05906">
            <w:pP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023FBD">
              <w:rPr>
                <w:rFonts w:eastAsia="Times New Roman"/>
                <w:color w:val="000000"/>
              </w:rPr>
              <w:t>6mth</w:t>
            </w:r>
          </w:p>
        </w:tc>
      </w:tr>
      <w:tr w:rsidR="0020545F" w:rsidRPr="0020545F" w14:paraId="20B4516F" w14:textId="77777777" w:rsidTr="008F0C00">
        <w:trPr>
          <w:cnfStyle w:val="000000100000" w:firstRow="0" w:lastRow="0" w:firstColumn="0" w:lastColumn="0" w:oddVBand="0" w:evenVBand="0" w:oddHBand="1" w:evenHBand="0" w:firstRowFirstColumn="0" w:firstRowLastColumn="0" w:lastRowFirstColumn="0" w:lastRowLastColumn="0"/>
          <w:trHeight w:val="120"/>
        </w:trPr>
        <w:tc>
          <w:tcPr>
            <w:cnfStyle w:val="001000000000" w:firstRow="0" w:lastRow="0" w:firstColumn="1" w:lastColumn="0" w:oddVBand="0" w:evenVBand="0" w:oddHBand="0" w:evenHBand="0" w:firstRowFirstColumn="0" w:firstRowLastColumn="0" w:lastRowFirstColumn="0" w:lastRowLastColumn="0"/>
            <w:tcW w:w="279" w:type="dxa"/>
            <w:noWrap/>
            <w:hideMark/>
          </w:tcPr>
          <w:p w14:paraId="51DE801D" w14:textId="77777777" w:rsidR="00F05906" w:rsidRPr="0020545F" w:rsidRDefault="00F05906" w:rsidP="00F05906">
            <w:pPr>
              <w:rPr>
                <w:rFonts w:eastAsia="Times New Roman"/>
                <w:color w:val="000000"/>
              </w:rPr>
            </w:pPr>
            <w:r w:rsidRPr="0020545F">
              <w:rPr>
                <w:rFonts w:eastAsia="Times New Roman"/>
                <w:color w:val="000000"/>
              </w:rPr>
              <w:t> </w:t>
            </w:r>
          </w:p>
        </w:tc>
        <w:tc>
          <w:tcPr>
            <w:tcW w:w="4178" w:type="dxa"/>
            <w:noWrap/>
            <w:hideMark/>
          </w:tcPr>
          <w:p w14:paraId="5FE5C0D5" w14:textId="77777777" w:rsidR="00F05906" w:rsidRPr="00251C8A" w:rsidRDefault="00F05906" w:rsidP="00F05906">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251C8A">
              <w:rPr>
                <w:rFonts w:eastAsia="Times New Roman"/>
                <w:color w:val="000000"/>
              </w:rPr>
              <w:t>Handelsbanken Plc</w:t>
            </w:r>
          </w:p>
        </w:tc>
        <w:tc>
          <w:tcPr>
            <w:tcW w:w="0" w:type="dxa"/>
            <w:noWrap/>
            <w:hideMark/>
          </w:tcPr>
          <w:p w14:paraId="0C23A597" w14:textId="014937FF" w:rsidR="00F05906" w:rsidRPr="00023FBD" w:rsidRDefault="00F05906" w:rsidP="00F05906">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023FBD">
              <w:rPr>
                <w:rFonts w:eastAsia="Times New Roman"/>
                <w:color w:val="000000"/>
              </w:rPr>
              <w:t>A</w:t>
            </w:r>
            <w:r w:rsidR="00A82D7E" w:rsidRPr="00023FBD">
              <w:rPr>
                <w:rFonts w:eastAsia="Times New Roman"/>
                <w:color w:val="000000"/>
              </w:rPr>
              <w:t>A</w:t>
            </w:r>
          </w:p>
        </w:tc>
        <w:tc>
          <w:tcPr>
            <w:tcW w:w="0" w:type="dxa"/>
            <w:noWrap/>
            <w:hideMark/>
          </w:tcPr>
          <w:p w14:paraId="4E944F25" w14:textId="77777777" w:rsidR="00F05906" w:rsidRPr="00023FBD" w:rsidRDefault="00F05906" w:rsidP="00F05906">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023FBD">
              <w:rPr>
                <w:rFonts w:eastAsia="Times New Roman"/>
                <w:color w:val="000000"/>
              </w:rPr>
              <w:t>F1+</w:t>
            </w:r>
          </w:p>
        </w:tc>
        <w:tc>
          <w:tcPr>
            <w:tcW w:w="1076" w:type="dxa"/>
            <w:gridSpan w:val="2"/>
            <w:noWrap/>
            <w:hideMark/>
          </w:tcPr>
          <w:p w14:paraId="2AAD2E9C" w14:textId="77777777" w:rsidR="00F05906" w:rsidRPr="00023FBD" w:rsidRDefault="00F05906" w:rsidP="00F05906">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023FBD">
              <w:rPr>
                <w:rFonts w:eastAsia="Times New Roman"/>
                <w:color w:val="000000"/>
              </w:rPr>
              <w:t>30</w:t>
            </w:r>
          </w:p>
        </w:tc>
        <w:tc>
          <w:tcPr>
            <w:tcW w:w="918" w:type="dxa"/>
            <w:noWrap/>
            <w:hideMark/>
          </w:tcPr>
          <w:p w14:paraId="50E1ED4A" w14:textId="77777777" w:rsidR="00F05906" w:rsidRPr="00023FBD" w:rsidRDefault="00F05906" w:rsidP="00F05906">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023FBD">
              <w:rPr>
                <w:rFonts w:eastAsia="Times New Roman"/>
                <w:color w:val="000000"/>
              </w:rPr>
              <w:t> </w:t>
            </w:r>
          </w:p>
        </w:tc>
        <w:tc>
          <w:tcPr>
            <w:tcW w:w="1276" w:type="dxa"/>
            <w:noWrap/>
            <w:hideMark/>
          </w:tcPr>
          <w:p w14:paraId="065908D4" w14:textId="77777777" w:rsidR="00F05906" w:rsidRPr="008F0C00" w:rsidRDefault="00F05906" w:rsidP="00F05906">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8F0C00">
              <w:rPr>
                <w:rFonts w:eastAsia="Times New Roman"/>
                <w:color w:val="000000"/>
              </w:rPr>
              <w:t>1 year</w:t>
            </w:r>
          </w:p>
        </w:tc>
      </w:tr>
      <w:tr w:rsidR="0020545F" w:rsidRPr="0020545F" w14:paraId="5DC3564D" w14:textId="77777777" w:rsidTr="008F0C00">
        <w:trPr>
          <w:trHeight w:val="120"/>
        </w:trPr>
        <w:tc>
          <w:tcPr>
            <w:cnfStyle w:val="001000000000" w:firstRow="0" w:lastRow="0" w:firstColumn="1" w:lastColumn="0" w:oddVBand="0" w:evenVBand="0" w:oddHBand="0" w:evenHBand="0" w:firstRowFirstColumn="0" w:firstRowLastColumn="0" w:lastRowFirstColumn="0" w:lastRowLastColumn="0"/>
            <w:tcW w:w="279" w:type="dxa"/>
            <w:noWrap/>
            <w:hideMark/>
          </w:tcPr>
          <w:p w14:paraId="40A4CD71" w14:textId="77777777" w:rsidR="00F05906" w:rsidRPr="0020545F" w:rsidRDefault="00F05906" w:rsidP="00F05906">
            <w:pPr>
              <w:rPr>
                <w:rFonts w:eastAsia="Times New Roman"/>
                <w:color w:val="000000"/>
              </w:rPr>
            </w:pPr>
            <w:r w:rsidRPr="0020545F">
              <w:rPr>
                <w:rFonts w:eastAsia="Times New Roman"/>
                <w:color w:val="000000"/>
              </w:rPr>
              <w:t> </w:t>
            </w:r>
          </w:p>
        </w:tc>
        <w:tc>
          <w:tcPr>
            <w:tcW w:w="4178" w:type="dxa"/>
            <w:noWrap/>
            <w:hideMark/>
          </w:tcPr>
          <w:p w14:paraId="0D6A31C9" w14:textId="77777777" w:rsidR="00F05906" w:rsidRPr="00251C8A" w:rsidRDefault="00F05906" w:rsidP="00F05906">
            <w:pP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251C8A">
              <w:rPr>
                <w:rFonts w:eastAsia="Times New Roman"/>
                <w:color w:val="000000"/>
              </w:rPr>
              <w:t>National Bank of Kuwait</w:t>
            </w:r>
          </w:p>
        </w:tc>
        <w:tc>
          <w:tcPr>
            <w:tcW w:w="0" w:type="dxa"/>
            <w:noWrap/>
            <w:hideMark/>
          </w:tcPr>
          <w:p w14:paraId="3E04954E" w14:textId="77777777" w:rsidR="00F05906" w:rsidRPr="00023FBD" w:rsidRDefault="00F05906" w:rsidP="00F05906">
            <w:pP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023FBD">
              <w:rPr>
                <w:rFonts w:eastAsia="Times New Roman"/>
                <w:color w:val="000000"/>
              </w:rPr>
              <w:t>A+</w:t>
            </w:r>
          </w:p>
        </w:tc>
        <w:tc>
          <w:tcPr>
            <w:tcW w:w="0" w:type="dxa"/>
            <w:noWrap/>
            <w:hideMark/>
          </w:tcPr>
          <w:p w14:paraId="50E0AE65" w14:textId="77777777" w:rsidR="00F05906" w:rsidRPr="00023FBD" w:rsidRDefault="00F05906" w:rsidP="00F05906">
            <w:pP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023FBD">
              <w:rPr>
                <w:rFonts w:eastAsia="Times New Roman"/>
                <w:color w:val="000000"/>
              </w:rPr>
              <w:t>F1</w:t>
            </w:r>
          </w:p>
        </w:tc>
        <w:tc>
          <w:tcPr>
            <w:tcW w:w="1076" w:type="dxa"/>
            <w:gridSpan w:val="2"/>
            <w:noWrap/>
            <w:hideMark/>
          </w:tcPr>
          <w:p w14:paraId="568F4975" w14:textId="77777777" w:rsidR="00F05906" w:rsidRPr="00023FBD" w:rsidRDefault="00F05906" w:rsidP="00F05906">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023FBD">
              <w:rPr>
                <w:rFonts w:eastAsia="Times New Roman"/>
                <w:color w:val="000000"/>
              </w:rPr>
              <w:t>30</w:t>
            </w:r>
          </w:p>
        </w:tc>
        <w:tc>
          <w:tcPr>
            <w:tcW w:w="918" w:type="dxa"/>
            <w:noWrap/>
            <w:hideMark/>
          </w:tcPr>
          <w:p w14:paraId="5201F581" w14:textId="77777777" w:rsidR="00F05906" w:rsidRPr="00023FBD" w:rsidRDefault="00F05906" w:rsidP="00F05906">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023FBD">
              <w:rPr>
                <w:rFonts w:eastAsia="Times New Roman"/>
                <w:color w:val="000000"/>
              </w:rPr>
              <w:t> </w:t>
            </w:r>
          </w:p>
        </w:tc>
        <w:tc>
          <w:tcPr>
            <w:tcW w:w="1276" w:type="dxa"/>
            <w:noWrap/>
            <w:hideMark/>
          </w:tcPr>
          <w:p w14:paraId="30343433" w14:textId="77777777" w:rsidR="00F05906" w:rsidRPr="00023FBD" w:rsidRDefault="00F05906" w:rsidP="00F05906">
            <w:pP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023FBD">
              <w:rPr>
                <w:rFonts w:eastAsia="Times New Roman"/>
                <w:color w:val="000000"/>
              </w:rPr>
              <w:t>6mth</w:t>
            </w:r>
          </w:p>
        </w:tc>
      </w:tr>
      <w:tr w:rsidR="0020545F" w:rsidRPr="0020545F" w14:paraId="032C6C18" w14:textId="77777777" w:rsidTr="008F0C00">
        <w:trPr>
          <w:cnfStyle w:val="000000100000" w:firstRow="0" w:lastRow="0" w:firstColumn="0" w:lastColumn="0" w:oddVBand="0" w:evenVBand="0" w:oddHBand="1" w:evenHBand="0" w:firstRowFirstColumn="0" w:firstRowLastColumn="0" w:lastRowFirstColumn="0" w:lastRowLastColumn="0"/>
          <w:trHeight w:val="120"/>
        </w:trPr>
        <w:tc>
          <w:tcPr>
            <w:cnfStyle w:val="001000000000" w:firstRow="0" w:lastRow="0" w:firstColumn="1" w:lastColumn="0" w:oddVBand="0" w:evenVBand="0" w:oddHBand="0" w:evenHBand="0" w:firstRowFirstColumn="0" w:firstRowLastColumn="0" w:lastRowFirstColumn="0" w:lastRowLastColumn="0"/>
            <w:tcW w:w="279" w:type="dxa"/>
            <w:vMerge w:val="restart"/>
            <w:noWrap/>
            <w:hideMark/>
          </w:tcPr>
          <w:p w14:paraId="29D2B6A5" w14:textId="77777777" w:rsidR="00F05906" w:rsidRPr="0020545F" w:rsidRDefault="00F05906" w:rsidP="00F05906">
            <w:pPr>
              <w:rPr>
                <w:rFonts w:eastAsia="Times New Roman"/>
                <w:color w:val="000000"/>
              </w:rPr>
            </w:pPr>
            <w:r w:rsidRPr="0020545F">
              <w:rPr>
                <w:rFonts w:eastAsia="Times New Roman"/>
                <w:color w:val="000000"/>
              </w:rPr>
              <w:t> </w:t>
            </w:r>
          </w:p>
        </w:tc>
        <w:tc>
          <w:tcPr>
            <w:tcW w:w="4178" w:type="dxa"/>
            <w:vMerge w:val="restart"/>
            <w:noWrap/>
            <w:hideMark/>
          </w:tcPr>
          <w:p w14:paraId="13B59649" w14:textId="77777777" w:rsidR="00F05906" w:rsidRPr="00251C8A" w:rsidRDefault="00F05906" w:rsidP="00F05906">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251C8A">
              <w:rPr>
                <w:rFonts w:eastAsia="Times New Roman"/>
                <w:color w:val="000000"/>
              </w:rPr>
              <w:t>Bank of England (DMADF)</w:t>
            </w:r>
          </w:p>
        </w:tc>
        <w:tc>
          <w:tcPr>
            <w:tcW w:w="0" w:type="dxa"/>
            <w:vMerge w:val="restart"/>
            <w:noWrap/>
            <w:hideMark/>
          </w:tcPr>
          <w:p w14:paraId="385326CB" w14:textId="77777777" w:rsidR="00F05906" w:rsidRPr="00023FBD" w:rsidRDefault="00F05906" w:rsidP="00F05906">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023FBD">
              <w:rPr>
                <w:rFonts w:eastAsia="Times New Roman"/>
                <w:color w:val="000000"/>
              </w:rPr>
              <w:t> </w:t>
            </w:r>
          </w:p>
        </w:tc>
        <w:tc>
          <w:tcPr>
            <w:tcW w:w="0" w:type="dxa"/>
            <w:vMerge w:val="restart"/>
            <w:noWrap/>
            <w:hideMark/>
          </w:tcPr>
          <w:p w14:paraId="6903FD08" w14:textId="77777777" w:rsidR="00F05906" w:rsidRPr="00023FBD" w:rsidRDefault="00F05906" w:rsidP="00F05906">
            <w:pPr>
              <w:cnfStyle w:val="000000100000" w:firstRow="0" w:lastRow="0" w:firstColumn="0" w:lastColumn="0" w:oddVBand="0" w:evenVBand="0" w:oddHBand="1" w:evenHBand="0" w:firstRowFirstColumn="0" w:firstRowLastColumn="0" w:lastRowFirstColumn="0" w:lastRowLastColumn="0"/>
              <w:rPr>
                <w:rFonts w:eastAsia="Times New Roman"/>
                <w:color w:val="000000"/>
              </w:rPr>
            </w:pPr>
          </w:p>
        </w:tc>
        <w:tc>
          <w:tcPr>
            <w:tcW w:w="1076" w:type="dxa"/>
            <w:gridSpan w:val="2"/>
            <w:vMerge w:val="restart"/>
            <w:noWrap/>
            <w:hideMark/>
          </w:tcPr>
          <w:p w14:paraId="590EFA17" w14:textId="77777777" w:rsidR="00F05906" w:rsidRPr="00023FBD" w:rsidRDefault="00F05906" w:rsidP="00F05906">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023FBD">
              <w:rPr>
                <w:rFonts w:eastAsia="Times New Roman"/>
                <w:color w:val="000000"/>
              </w:rPr>
              <w:t>100</w:t>
            </w:r>
          </w:p>
        </w:tc>
        <w:tc>
          <w:tcPr>
            <w:tcW w:w="918" w:type="dxa"/>
            <w:vMerge w:val="restart"/>
            <w:noWrap/>
            <w:hideMark/>
          </w:tcPr>
          <w:p w14:paraId="2E9D2A8F" w14:textId="77777777" w:rsidR="00F05906" w:rsidRPr="00023FBD" w:rsidRDefault="00F05906" w:rsidP="00F05906">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023FBD">
              <w:rPr>
                <w:rFonts w:eastAsia="Times New Roman"/>
                <w:color w:val="000000"/>
              </w:rPr>
              <w:t> </w:t>
            </w:r>
          </w:p>
        </w:tc>
        <w:tc>
          <w:tcPr>
            <w:tcW w:w="1276" w:type="dxa"/>
            <w:noWrap/>
            <w:hideMark/>
          </w:tcPr>
          <w:p w14:paraId="5E76807F" w14:textId="45C45086" w:rsidR="00F05906" w:rsidRPr="008F0C00" w:rsidRDefault="00F05906" w:rsidP="00F05906">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8F0C00">
              <w:rPr>
                <w:rFonts w:eastAsia="Times New Roman"/>
                <w:color w:val="000000"/>
              </w:rPr>
              <w:t> </w:t>
            </w:r>
            <w:r w:rsidR="00494BC8" w:rsidRPr="00943E5C">
              <w:rPr>
                <w:rFonts w:eastAsia="Times New Roman"/>
                <w:color w:val="000000"/>
              </w:rPr>
              <w:t>1 year +</w:t>
            </w:r>
          </w:p>
        </w:tc>
      </w:tr>
      <w:tr w:rsidR="0020545F" w:rsidRPr="0020545F" w14:paraId="6128BDA2" w14:textId="77777777" w:rsidTr="008F0C00">
        <w:trPr>
          <w:trHeight w:val="124"/>
        </w:trPr>
        <w:tc>
          <w:tcPr>
            <w:cnfStyle w:val="001000000000" w:firstRow="0" w:lastRow="0" w:firstColumn="1" w:lastColumn="0" w:oddVBand="0" w:evenVBand="0" w:oddHBand="0" w:evenHBand="0" w:firstRowFirstColumn="0" w:firstRowLastColumn="0" w:lastRowFirstColumn="0" w:lastRowLastColumn="0"/>
            <w:tcW w:w="279" w:type="dxa"/>
            <w:vMerge/>
            <w:hideMark/>
          </w:tcPr>
          <w:p w14:paraId="5A3B9408" w14:textId="77777777" w:rsidR="00F05906" w:rsidRPr="0020545F" w:rsidRDefault="00F05906" w:rsidP="00F05906">
            <w:pPr>
              <w:rPr>
                <w:rFonts w:eastAsia="Times New Roman"/>
                <w:color w:val="000000"/>
              </w:rPr>
            </w:pPr>
          </w:p>
        </w:tc>
        <w:tc>
          <w:tcPr>
            <w:tcW w:w="4178" w:type="dxa"/>
            <w:vMerge/>
            <w:hideMark/>
          </w:tcPr>
          <w:p w14:paraId="3AAAE368" w14:textId="77777777" w:rsidR="00F05906" w:rsidRPr="00023FBD" w:rsidRDefault="00F05906" w:rsidP="00F05906">
            <w:pPr>
              <w:cnfStyle w:val="000000000000" w:firstRow="0" w:lastRow="0" w:firstColumn="0" w:lastColumn="0" w:oddVBand="0" w:evenVBand="0" w:oddHBand="0" w:evenHBand="0" w:firstRowFirstColumn="0" w:firstRowLastColumn="0" w:lastRowFirstColumn="0" w:lastRowLastColumn="0"/>
              <w:rPr>
                <w:rFonts w:eastAsia="Times New Roman"/>
                <w:color w:val="000000"/>
              </w:rPr>
            </w:pPr>
          </w:p>
        </w:tc>
        <w:tc>
          <w:tcPr>
            <w:tcW w:w="0" w:type="dxa"/>
            <w:vMerge/>
            <w:hideMark/>
          </w:tcPr>
          <w:p w14:paraId="48E2D7DC" w14:textId="77777777" w:rsidR="00F05906" w:rsidRPr="00023FBD" w:rsidRDefault="00F05906" w:rsidP="00F05906">
            <w:pPr>
              <w:cnfStyle w:val="000000000000" w:firstRow="0" w:lastRow="0" w:firstColumn="0" w:lastColumn="0" w:oddVBand="0" w:evenVBand="0" w:oddHBand="0" w:evenHBand="0" w:firstRowFirstColumn="0" w:firstRowLastColumn="0" w:lastRowFirstColumn="0" w:lastRowLastColumn="0"/>
              <w:rPr>
                <w:rFonts w:eastAsia="Times New Roman"/>
                <w:color w:val="000000"/>
              </w:rPr>
            </w:pPr>
          </w:p>
        </w:tc>
        <w:tc>
          <w:tcPr>
            <w:tcW w:w="0" w:type="dxa"/>
            <w:vMerge/>
            <w:hideMark/>
          </w:tcPr>
          <w:p w14:paraId="417FECE9" w14:textId="77777777" w:rsidR="00F05906" w:rsidRPr="00023FBD" w:rsidRDefault="00F05906" w:rsidP="00F05906">
            <w:pPr>
              <w:cnfStyle w:val="000000000000" w:firstRow="0" w:lastRow="0" w:firstColumn="0" w:lastColumn="0" w:oddVBand="0" w:evenVBand="0" w:oddHBand="0" w:evenHBand="0" w:firstRowFirstColumn="0" w:firstRowLastColumn="0" w:lastRowFirstColumn="0" w:lastRowLastColumn="0"/>
              <w:rPr>
                <w:rFonts w:eastAsia="Times New Roman"/>
                <w:color w:val="000000"/>
              </w:rPr>
            </w:pPr>
          </w:p>
        </w:tc>
        <w:tc>
          <w:tcPr>
            <w:tcW w:w="1076" w:type="dxa"/>
            <w:gridSpan w:val="2"/>
            <w:vMerge/>
            <w:hideMark/>
          </w:tcPr>
          <w:p w14:paraId="63B08640" w14:textId="77777777" w:rsidR="00F05906" w:rsidRPr="00023FBD" w:rsidRDefault="00F05906" w:rsidP="00F05906">
            <w:pPr>
              <w:cnfStyle w:val="000000000000" w:firstRow="0" w:lastRow="0" w:firstColumn="0" w:lastColumn="0" w:oddVBand="0" w:evenVBand="0" w:oddHBand="0" w:evenHBand="0" w:firstRowFirstColumn="0" w:firstRowLastColumn="0" w:lastRowFirstColumn="0" w:lastRowLastColumn="0"/>
              <w:rPr>
                <w:rFonts w:eastAsia="Times New Roman"/>
                <w:color w:val="000000"/>
              </w:rPr>
            </w:pPr>
          </w:p>
        </w:tc>
        <w:tc>
          <w:tcPr>
            <w:tcW w:w="918" w:type="dxa"/>
            <w:vMerge/>
            <w:hideMark/>
          </w:tcPr>
          <w:p w14:paraId="061B3CC4" w14:textId="77777777" w:rsidR="00F05906" w:rsidRPr="00023FBD" w:rsidRDefault="00F05906" w:rsidP="00F05906">
            <w:pPr>
              <w:cnfStyle w:val="000000000000" w:firstRow="0" w:lastRow="0" w:firstColumn="0" w:lastColumn="0" w:oddVBand="0" w:evenVBand="0" w:oddHBand="0" w:evenHBand="0" w:firstRowFirstColumn="0" w:firstRowLastColumn="0" w:lastRowFirstColumn="0" w:lastRowLastColumn="0"/>
              <w:rPr>
                <w:rFonts w:eastAsia="Times New Roman"/>
                <w:color w:val="000000"/>
              </w:rPr>
            </w:pPr>
          </w:p>
        </w:tc>
        <w:tc>
          <w:tcPr>
            <w:tcW w:w="1276" w:type="dxa"/>
            <w:shd w:val="clear" w:color="auto" w:fill="D9E2F3" w:themeFill="accent1" w:themeFillTint="33"/>
            <w:noWrap/>
            <w:hideMark/>
          </w:tcPr>
          <w:p w14:paraId="5DF6D3D0" w14:textId="7B654720" w:rsidR="00F05906" w:rsidRPr="008F0C00" w:rsidRDefault="00F05906" w:rsidP="00F05906">
            <w:pPr>
              <w:cnfStyle w:val="000000000000" w:firstRow="0" w:lastRow="0" w:firstColumn="0" w:lastColumn="0" w:oddVBand="0" w:evenVBand="0" w:oddHBand="0" w:evenHBand="0" w:firstRowFirstColumn="0" w:firstRowLastColumn="0" w:lastRowFirstColumn="0" w:lastRowLastColumn="0"/>
              <w:rPr>
                <w:rFonts w:eastAsia="Times New Roman"/>
                <w:color w:val="000000"/>
              </w:rPr>
            </w:pPr>
          </w:p>
        </w:tc>
      </w:tr>
    </w:tbl>
    <w:p w14:paraId="3BBE2B75" w14:textId="3473233F" w:rsidR="00264268" w:rsidRDefault="00F619A4" w:rsidP="00F04970">
      <w:r w:rsidRPr="0020545F">
        <w:rPr>
          <w:noProof/>
        </w:rPr>
        <w:drawing>
          <wp:inline distT="0" distB="0" distL="0" distR="0" wp14:anchorId="62CC709F" wp14:editId="4FB21441">
            <wp:extent cx="5721350" cy="352806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43478" cy="3541705"/>
                    </a:xfrm>
                    <a:prstGeom prst="rect">
                      <a:avLst/>
                    </a:prstGeom>
                  </pic:spPr>
                </pic:pic>
              </a:graphicData>
            </a:graphic>
          </wp:inline>
        </w:drawing>
      </w:r>
    </w:p>
    <w:p w14:paraId="363CD7C2" w14:textId="1CF5F40A" w:rsidR="00264268" w:rsidRDefault="003A7DA9" w:rsidP="00F04970">
      <w:r w:rsidRPr="0020545F">
        <w:t xml:space="preserve">Investments with foreign banks will only be made if they are in Sterling and it is </w:t>
      </w:r>
      <w:r w:rsidR="00F619A4" w:rsidRPr="0020545F">
        <w:t>economically attractive to do so</w:t>
      </w:r>
      <w:r w:rsidRPr="0020545F">
        <w:t xml:space="preserve">. The minimal national credit rating for the </w:t>
      </w:r>
      <w:r w:rsidR="00412F34" w:rsidRPr="0020545F">
        <w:t xml:space="preserve">country and </w:t>
      </w:r>
      <w:r w:rsidRPr="0020545F">
        <w:t>bank must then be AAA.</w:t>
      </w:r>
    </w:p>
    <w:tbl>
      <w:tblPr>
        <w:tblStyle w:val="GridTable5Dark-Accent1"/>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5"/>
        <w:gridCol w:w="1456"/>
        <w:gridCol w:w="4608"/>
      </w:tblGrid>
      <w:tr w:rsidR="00264268" w:rsidRPr="0020545F" w14:paraId="1B648E5C" w14:textId="77777777" w:rsidTr="008F0C00">
        <w:trPr>
          <w:cnfStyle w:val="000000100000" w:firstRow="0" w:lastRow="0" w:firstColumn="0" w:lastColumn="0" w:oddVBand="0" w:evenVBand="0" w:oddHBand="1" w:evenHBand="0" w:firstRowFirstColumn="0" w:firstRowLastColumn="0" w:lastRowFirstColumn="0" w:lastRowLastColumn="0"/>
          <w:trHeight w:val="315"/>
        </w:trPr>
        <w:tc>
          <w:tcPr>
            <w:cnfStyle w:val="000010000000" w:firstRow="0" w:lastRow="0" w:firstColumn="0" w:lastColumn="0" w:oddVBand="1" w:evenVBand="0" w:oddHBand="0" w:evenHBand="0" w:firstRowFirstColumn="0" w:firstRowLastColumn="0" w:lastRowFirstColumn="0" w:lastRowLastColumn="0"/>
            <w:tcW w:w="0" w:type="dxa"/>
            <w:noWrap/>
          </w:tcPr>
          <w:p w14:paraId="69F06BA3" w14:textId="77777777" w:rsidR="00264268" w:rsidRPr="00251C8A" w:rsidRDefault="00264268" w:rsidP="00932616">
            <w:pPr>
              <w:rPr>
                <w:rFonts w:eastAsia="Times New Roman"/>
                <w:b/>
                <w:bCs/>
              </w:rPr>
            </w:pPr>
            <w:r w:rsidRPr="00251C8A">
              <w:rPr>
                <w:rFonts w:eastAsia="Times New Roman"/>
                <w:b/>
                <w:bCs/>
              </w:rPr>
              <w:t>LOCAL AUTHORITIES</w:t>
            </w:r>
          </w:p>
        </w:tc>
        <w:tc>
          <w:tcPr>
            <w:tcW w:w="0" w:type="dxa"/>
            <w:noWrap/>
          </w:tcPr>
          <w:p w14:paraId="03090BB3" w14:textId="77777777" w:rsidR="00264268" w:rsidRPr="008F0C00" w:rsidRDefault="00264268" w:rsidP="00C43F9E">
            <w:pPr>
              <w:jc w:val="center"/>
              <w:cnfStyle w:val="000000100000" w:firstRow="0" w:lastRow="0" w:firstColumn="0" w:lastColumn="0" w:oddVBand="0" w:evenVBand="0" w:oddHBand="1" w:evenHBand="0" w:firstRowFirstColumn="0" w:firstRowLastColumn="0" w:lastRowFirstColumn="0" w:lastRowLastColumn="0"/>
              <w:rPr>
                <w:rFonts w:eastAsia="Times New Roman"/>
                <w:b/>
                <w:bCs/>
              </w:rPr>
            </w:pPr>
            <w:r w:rsidRPr="008F0C00">
              <w:rPr>
                <w:rFonts w:eastAsia="Times New Roman"/>
                <w:b/>
                <w:bCs/>
              </w:rPr>
              <w:t>LIMIT for each LA</w:t>
            </w:r>
          </w:p>
        </w:tc>
        <w:tc>
          <w:tcPr>
            <w:cnfStyle w:val="000010000000" w:firstRow="0" w:lastRow="0" w:firstColumn="0" w:lastColumn="0" w:oddVBand="1" w:evenVBand="0" w:oddHBand="0" w:evenHBand="0" w:firstRowFirstColumn="0" w:firstRowLastColumn="0" w:lastRowFirstColumn="0" w:lastRowLastColumn="0"/>
            <w:tcW w:w="2503" w:type="dxa"/>
            <w:noWrap/>
          </w:tcPr>
          <w:p w14:paraId="0D128AD4" w14:textId="3AD6083F" w:rsidR="00264268" w:rsidRPr="008F0C00" w:rsidRDefault="00264268" w:rsidP="00C43F9E">
            <w:pPr>
              <w:jc w:val="center"/>
              <w:rPr>
                <w:rFonts w:eastAsia="Times New Roman"/>
              </w:rPr>
            </w:pPr>
          </w:p>
        </w:tc>
      </w:tr>
      <w:tr w:rsidR="00264268" w:rsidRPr="0020545F" w14:paraId="6F283C3C" w14:textId="77777777" w:rsidTr="008F0C00">
        <w:trPr>
          <w:trHeight w:val="270"/>
        </w:trPr>
        <w:tc>
          <w:tcPr>
            <w:cnfStyle w:val="000010000000" w:firstRow="0" w:lastRow="0" w:firstColumn="0" w:lastColumn="0" w:oddVBand="1" w:evenVBand="0" w:oddHBand="0" w:evenHBand="0" w:firstRowFirstColumn="0" w:firstRowLastColumn="0" w:lastRowFirstColumn="0" w:lastRowLastColumn="0"/>
            <w:tcW w:w="0" w:type="dxa"/>
            <w:noWrap/>
          </w:tcPr>
          <w:p w14:paraId="12C5F9D7" w14:textId="49623B77" w:rsidR="00264268" w:rsidRPr="008F0C00" w:rsidRDefault="00264268" w:rsidP="00932616">
            <w:pPr>
              <w:rPr>
                <w:rFonts w:eastAsia="Times New Roman"/>
              </w:rPr>
            </w:pPr>
            <w:r w:rsidRPr="008F0C00">
              <w:rPr>
                <w:rFonts w:eastAsia="Times New Roman"/>
              </w:rPr>
              <w:t> </w:t>
            </w:r>
          </w:p>
        </w:tc>
        <w:tc>
          <w:tcPr>
            <w:tcW w:w="0" w:type="dxa"/>
            <w:shd w:val="clear" w:color="auto" w:fill="B4C6E7" w:themeFill="accent1" w:themeFillTint="66"/>
            <w:noWrap/>
          </w:tcPr>
          <w:p w14:paraId="0F703105" w14:textId="77777777" w:rsidR="00264268" w:rsidRPr="008F0C00" w:rsidRDefault="00264268" w:rsidP="00C43F9E">
            <w:pPr>
              <w:jc w:val="center"/>
              <w:cnfStyle w:val="000000000000" w:firstRow="0" w:lastRow="0" w:firstColumn="0" w:lastColumn="0" w:oddVBand="0" w:evenVBand="0" w:oddHBand="0" w:evenHBand="0" w:firstRowFirstColumn="0" w:firstRowLastColumn="0" w:lastRowFirstColumn="0" w:lastRowLastColumn="0"/>
              <w:rPr>
                <w:rFonts w:eastAsia="Times New Roman"/>
                <w:b/>
                <w:bCs/>
              </w:rPr>
            </w:pPr>
            <w:r w:rsidRPr="008F0C00">
              <w:rPr>
                <w:rFonts w:eastAsia="Times New Roman"/>
                <w:b/>
                <w:bCs/>
              </w:rPr>
              <w:t>£000</w:t>
            </w:r>
          </w:p>
        </w:tc>
        <w:tc>
          <w:tcPr>
            <w:cnfStyle w:val="000010000000" w:firstRow="0" w:lastRow="0" w:firstColumn="0" w:lastColumn="0" w:oddVBand="1" w:evenVBand="0" w:oddHBand="0" w:evenHBand="0" w:firstRowFirstColumn="0" w:firstRowLastColumn="0" w:lastRowFirstColumn="0" w:lastRowLastColumn="0"/>
            <w:tcW w:w="2503" w:type="dxa"/>
            <w:noWrap/>
          </w:tcPr>
          <w:p w14:paraId="5E153893" w14:textId="77777777" w:rsidR="00264268" w:rsidRPr="008F0C00" w:rsidRDefault="00264268" w:rsidP="00C43F9E">
            <w:pPr>
              <w:jc w:val="center"/>
              <w:rPr>
                <w:rFonts w:eastAsia="Times New Roman"/>
                <w:b/>
                <w:bCs/>
              </w:rPr>
            </w:pPr>
            <w:r w:rsidRPr="008F0C00">
              <w:rPr>
                <w:rFonts w:eastAsia="Times New Roman"/>
                <w:b/>
                <w:bCs/>
              </w:rPr>
              <w:t>PERIOD</w:t>
            </w:r>
          </w:p>
        </w:tc>
      </w:tr>
      <w:tr w:rsidR="00251846" w:rsidRPr="0020545F" w14:paraId="7CDB67DF" w14:textId="77777777" w:rsidTr="008F0C00">
        <w:trPr>
          <w:cnfStyle w:val="000000100000" w:firstRow="0" w:lastRow="0" w:firstColumn="0" w:lastColumn="0" w:oddVBand="0" w:evenVBand="0" w:oddHBand="1" w:evenHBand="0" w:firstRowFirstColumn="0" w:firstRowLastColumn="0" w:lastRowFirstColumn="0" w:lastRowLastColumn="0"/>
          <w:trHeight w:val="270"/>
        </w:trPr>
        <w:tc>
          <w:tcPr>
            <w:cnfStyle w:val="000010000000" w:firstRow="0" w:lastRow="0" w:firstColumn="0" w:lastColumn="0" w:oddVBand="1" w:evenVBand="0" w:oddHBand="0" w:evenHBand="0" w:firstRowFirstColumn="0" w:firstRowLastColumn="0" w:lastRowFirstColumn="0" w:lastRowLastColumn="0"/>
            <w:tcW w:w="0" w:type="dxa"/>
            <w:noWrap/>
          </w:tcPr>
          <w:p w14:paraId="20EB6723" w14:textId="3C0AB69B" w:rsidR="00251846" w:rsidRPr="00251C8A" w:rsidRDefault="00251846" w:rsidP="00932616">
            <w:pPr>
              <w:rPr>
                <w:rFonts w:eastAsia="Times New Roman"/>
              </w:rPr>
            </w:pPr>
            <w:r w:rsidRPr="008F0C00">
              <w:rPr>
                <w:rFonts w:eastAsia="Times New Roman"/>
              </w:rPr>
              <w:t> </w:t>
            </w:r>
            <w:r w:rsidRPr="00402E3B">
              <w:rPr>
                <w:rFonts w:eastAsia="Times New Roman"/>
              </w:rPr>
              <w:t>All Local Authorities**</w:t>
            </w:r>
          </w:p>
          <w:p w14:paraId="74EED054" w14:textId="401C0985" w:rsidR="00251846" w:rsidRPr="00023FBD" w:rsidRDefault="00251846" w:rsidP="0032221F">
            <w:pPr>
              <w:rPr>
                <w:rFonts w:eastAsia="Times New Roman"/>
              </w:rPr>
            </w:pPr>
          </w:p>
        </w:tc>
        <w:tc>
          <w:tcPr>
            <w:tcW w:w="0" w:type="dxa"/>
            <w:noWrap/>
          </w:tcPr>
          <w:p w14:paraId="4413B3CD" w14:textId="20DF8AA1" w:rsidR="00251846" w:rsidRPr="008F0C00" w:rsidRDefault="00251846" w:rsidP="00C43F9E">
            <w:pPr>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8F0C00">
              <w:rPr>
                <w:rFonts w:eastAsia="Times New Roman"/>
              </w:rPr>
              <w:t>30</w:t>
            </w:r>
          </w:p>
        </w:tc>
        <w:tc>
          <w:tcPr>
            <w:cnfStyle w:val="000010000000" w:firstRow="0" w:lastRow="0" w:firstColumn="0" w:lastColumn="0" w:oddVBand="1" w:evenVBand="0" w:oddHBand="0" w:evenHBand="0" w:firstRowFirstColumn="0" w:firstRowLastColumn="0" w:lastRowFirstColumn="0" w:lastRowLastColumn="0"/>
            <w:tcW w:w="2503" w:type="dxa"/>
            <w:noWrap/>
          </w:tcPr>
          <w:p w14:paraId="42E596EA" w14:textId="77777777" w:rsidR="00251846" w:rsidRPr="008F0C00" w:rsidRDefault="00251846" w:rsidP="00C43F9E">
            <w:pPr>
              <w:jc w:val="center"/>
              <w:rPr>
                <w:rFonts w:eastAsia="Times New Roman"/>
              </w:rPr>
            </w:pPr>
            <w:r w:rsidRPr="008F0C00">
              <w:rPr>
                <w:rFonts w:eastAsia="Times New Roman"/>
              </w:rPr>
              <w:t>1 year+</w:t>
            </w:r>
          </w:p>
        </w:tc>
      </w:tr>
    </w:tbl>
    <w:p w14:paraId="527333B6" w14:textId="0909310E" w:rsidR="006140DC" w:rsidRPr="0020545F" w:rsidRDefault="0094539C" w:rsidP="001616A3">
      <w:r>
        <w:t>*</w:t>
      </w:r>
      <w:r w:rsidR="0032793E" w:rsidRPr="0020545F">
        <w:t>* Local authorities ma</w:t>
      </w:r>
      <w:r w:rsidR="00816CC6" w:rsidRPr="0020545F">
        <w:t>y be subject to lower limits throughout the year if they are deemed to be under severe financial stress.</w:t>
      </w:r>
    </w:p>
    <w:tbl>
      <w:tblPr>
        <w:tblW w:w="9115" w:type="dxa"/>
        <w:tblInd w:w="89" w:type="dxa"/>
        <w:tblLook w:val="0000" w:firstRow="0" w:lastRow="0" w:firstColumn="0" w:lastColumn="0" w:noHBand="0" w:noVBand="0"/>
      </w:tblPr>
      <w:tblGrid>
        <w:gridCol w:w="605"/>
        <w:gridCol w:w="3465"/>
        <w:gridCol w:w="576"/>
        <w:gridCol w:w="717"/>
        <w:gridCol w:w="685"/>
        <w:gridCol w:w="510"/>
        <w:gridCol w:w="1301"/>
        <w:gridCol w:w="1256"/>
      </w:tblGrid>
      <w:tr w:rsidR="00264268" w:rsidRPr="0020545F" w14:paraId="177C5E19" w14:textId="77777777" w:rsidTr="008F0C00">
        <w:trPr>
          <w:trHeight w:val="315"/>
        </w:trPr>
        <w:tc>
          <w:tcPr>
            <w:tcW w:w="4070" w:type="dxa"/>
            <w:gridSpan w:val="2"/>
            <w:tcBorders>
              <w:top w:val="single" w:sz="8" w:space="0" w:color="auto"/>
              <w:left w:val="single" w:sz="8" w:space="0" w:color="auto"/>
              <w:bottom w:val="nil"/>
              <w:right w:val="nil"/>
            </w:tcBorders>
            <w:shd w:val="clear" w:color="auto" w:fill="B4C6E7" w:themeFill="accent1" w:themeFillTint="66"/>
            <w:noWrap/>
            <w:vAlign w:val="bottom"/>
          </w:tcPr>
          <w:p w14:paraId="2D560D1D" w14:textId="77E57E5E" w:rsidR="00264268" w:rsidRPr="00251C8A" w:rsidRDefault="00264268" w:rsidP="00CA5827">
            <w:pPr>
              <w:rPr>
                <w:rFonts w:eastAsia="Times New Roman"/>
                <w:b/>
                <w:bCs/>
              </w:rPr>
            </w:pPr>
            <w:r w:rsidRPr="00251C8A">
              <w:rPr>
                <w:rFonts w:eastAsia="Times New Roman"/>
                <w:b/>
                <w:bCs/>
              </w:rPr>
              <w:lastRenderedPageBreak/>
              <w:t>Money Market funds</w:t>
            </w:r>
          </w:p>
        </w:tc>
        <w:tc>
          <w:tcPr>
            <w:tcW w:w="2488" w:type="dxa"/>
            <w:gridSpan w:val="4"/>
            <w:vMerge w:val="restart"/>
            <w:tcBorders>
              <w:top w:val="single" w:sz="8" w:space="0" w:color="auto"/>
              <w:left w:val="single" w:sz="8" w:space="0" w:color="auto"/>
              <w:right w:val="single" w:sz="8" w:space="0" w:color="000000"/>
            </w:tcBorders>
            <w:shd w:val="clear" w:color="auto" w:fill="B4C6E7" w:themeFill="accent1" w:themeFillTint="66"/>
            <w:noWrap/>
            <w:vAlign w:val="bottom"/>
          </w:tcPr>
          <w:p w14:paraId="5941CB74" w14:textId="77777777" w:rsidR="00264268" w:rsidRPr="008F0C00" w:rsidRDefault="00264268" w:rsidP="00CA5827">
            <w:pPr>
              <w:jc w:val="center"/>
              <w:rPr>
                <w:rFonts w:eastAsia="Times New Roman"/>
                <w:b/>
                <w:bCs/>
              </w:rPr>
            </w:pPr>
          </w:p>
        </w:tc>
        <w:tc>
          <w:tcPr>
            <w:tcW w:w="1301" w:type="dxa"/>
            <w:tcBorders>
              <w:top w:val="single" w:sz="8" w:space="0" w:color="auto"/>
              <w:left w:val="nil"/>
              <w:bottom w:val="nil"/>
              <w:right w:val="single" w:sz="8" w:space="0" w:color="auto"/>
            </w:tcBorders>
            <w:shd w:val="clear" w:color="auto" w:fill="B4C6E7" w:themeFill="accent1" w:themeFillTint="66"/>
            <w:noWrap/>
            <w:vAlign w:val="bottom"/>
          </w:tcPr>
          <w:p w14:paraId="4C270AA4" w14:textId="3A2DE4F8" w:rsidR="00264268" w:rsidRPr="008F0C00" w:rsidRDefault="00264268" w:rsidP="00FB2DC3">
            <w:pPr>
              <w:jc w:val="center"/>
              <w:rPr>
                <w:rFonts w:eastAsia="Times New Roman"/>
                <w:b/>
                <w:bCs/>
              </w:rPr>
            </w:pPr>
            <w:r w:rsidRPr="008F0C00">
              <w:rPr>
                <w:rFonts w:eastAsia="Times New Roman"/>
                <w:b/>
                <w:bCs/>
              </w:rPr>
              <w:t>LIMIT</w:t>
            </w:r>
          </w:p>
        </w:tc>
        <w:tc>
          <w:tcPr>
            <w:tcW w:w="1256" w:type="dxa"/>
            <w:tcBorders>
              <w:top w:val="single" w:sz="8" w:space="0" w:color="auto"/>
              <w:left w:val="single" w:sz="8" w:space="0" w:color="auto"/>
              <w:bottom w:val="nil"/>
              <w:right w:val="single" w:sz="8" w:space="0" w:color="auto"/>
            </w:tcBorders>
            <w:shd w:val="clear" w:color="auto" w:fill="B4C6E7" w:themeFill="accent1" w:themeFillTint="66"/>
            <w:noWrap/>
            <w:vAlign w:val="bottom"/>
          </w:tcPr>
          <w:p w14:paraId="10D005D4" w14:textId="77777777" w:rsidR="00264268" w:rsidRPr="008F0C00" w:rsidRDefault="00264268" w:rsidP="00CA5827">
            <w:pPr>
              <w:jc w:val="center"/>
              <w:rPr>
                <w:rFonts w:eastAsia="Times New Roman"/>
              </w:rPr>
            </w:pPr>
          </w:p>
        </w:tc>
      </w:tr>
      <w:tr w:rsidR="00264268" w:rsidRPr="0020545F" w14:paraId="58B95CAD" w14:textId="77777777" w:rsidTr="008F0C00">
        <w:trPr>
          <w:trHeight w:val="270"/>
        </w:trPr>
        <w:tc>
          <w:tcPr>
            <w:tcW w:w="605" w:type="dxa"/>
            <w:tcBorders>
              <w:top w:val="nil"/>
              <w:left w:val="single" w:sz="8" w:space="0" w:color="auto"/>
              <w:bottom w:val="single" w:sz="8" w:space="0" w:color="auto"/>
              <w:right w:val="nil"/>
            </w:tcBorders>
            <w:shd w:val="clear" w:color="auto" w:fill="B4C6E7" w:themeFill="accent1" w:themeFillTint="66"/>
            <w:noWrap/>
            <w:vAlign w:val="bottom"/>
          </w:tcPr>
          <w:p w14:paraId="1932B4E2" w14:textId="77777777" w:rsidR="00264268" w:rsidRPr="008F0C00" w:rsidRDefault="00264268" w:rsidP="00CA5827">
            <w:pPr>
              <w:rPr>
                <w:rFonts w:eastAsia="Times New Roman"/>
              </w:rPr>
            </w:pPr>
            <w:r w:rsidRPr="008F0C00">
              <w:rPr>
                <w:rFonts w:eastAsia="Times New Roman"/>
              </w:rPr>
              <w:t> </w:t>
            </w:r>
          </w:p>
        </w:tc>
        <w:tc>
          <w:tcPr>
            <w:tcW w:w="3465" w:type="dxa"/>
            <w:tcBorders>
              <w:top w:val="nil"/>
              <w:left w:val="nil"/>
              <w:bottom w:val="nil"/>
              <w:right w:val="nil"/>
            </w:tcBorders>
            <w:shd w:val="clear" w:color="auto" w:fill="B4C6E7" w:themeFill="accent1" w:themeFillTint="66"/>
            <w:noWrap/>
            <w:vAlign w:val="bottom"/>
          </w:tcPr>
          <w:p w14:paraId="495206BC" w14:textId="77777777" w:rsidR="00264268" w:rsidRPr="008F0C00" w:rsidRDefault="00264268" w:rsidP="00CA5827">
            <w:pPr>
              <w:rPr>
                <w:rFonts w:eastAsia="Times New Roman"/>
              </w:rPr>
            </w:pPr>
          </w:p>
        </w:tc>
        <w:tc>
          <w:tcPr>
            <w:tcW w:w="2488" w:type="dxa"/>
            <w:gridSpan w:val="4"/>
            <w:vMerge/>
            <w:tcBorders>
              <w:left w:val="single" w:sz="8" w:space="0" w:color="auto"/>
              <w:bottom w:val="single" w:sz="8" w:space="0" w:color="auto"/>
              <w:right w:val="single" w:sz="8" w:space="0" w:color="000000"/>
            </w:tcBorders>
            <w:shd w:val="clear" w:color="auto" w:fill="B4C6E7" w:themeFill="accent1" w:themeFillTint="66"/>
            <w:noWrap/>
            <w:vAlign w:val="bottom"/>
          </w:tcPr>
          <w:p w14:paraId="4072BFC5" w14:textId="77777777" w:rsidR="00264268" w:rsidRPr="008F0C00" w:rsidRDefault="00264268" w:rsidP="00CA5827">
            <w:pPr>
              <w:rPr>
                <w:rFonts w:eastAsia="Times New Roman"/>
                <w:b/>
                <w:bCs/>
              </w:rPr>
            </w:pPr>
          </w:p>
        </w:tc>
        <w:tc>
          <w:tcPr>
            <w:tcW w:w="1301" w:type="dxa"/>
            <w:tcBorders>
              <w:top w:val="nil"/>
              <w:left w:val="single" w:sz="8" w:space="0" w:color="000000"/>
              <w:bottom w:val="nil"/>
              <w:right w:val="single" w:sz="8" w:space="0" w:color="auto"/>
            </w:tcBorders>
            <w:shd w:val="clear" w:color="auto" w:fill="B4C6E7" w:themeFill="accent1" w:themeFillTint="66"/>
            <w:noWrap/>
            <w:vAlign w:val="bottom"/>
          </w:tcPr>
          <w:p w14:paraId="0D33AC61" w14:textId="77777777" w:rsidR="00264268" w:rsidRPr="008F0C00" w:rsidRDefault="00264268" w:rsidP="00CA5827">
            <w:pPr>
              <w:jc w:val="center"/>
              <w:rPr>
                <w:rFonts w:eastAsia="Times New Roman"/>
                <w:b/>
                <w:bCs/>
              </w:rPr>
            </w:pPr>
            <w:r w:rsidRPr="008F0C00">
              <w:rPr>
                <w:rFonts w:eastAsia="Times New Roman"/>
                <w:b/>
                <w:bCs/>
              </w:rPr>
              <w:t>£000</w:t>
            </w:r>
          </w:p>
        </w:tc>
        <w:tc>
          <w:tcPr>
            <w:tcW w:w="1256" w:type="dxa"/>
            <w:tcBorders>
              <w:top w:val="nil"/>
              <w:left w:val="single" w:sz="8" w:space="0" w:color="auto"/>
              <w:bottom w:val="nil"/>
              <w:right w:val="single" w:sz="8" w:space="0" w:color="auto"/>
            </w:tcBorders>
            <w:shd w:val="clear" w:color="auto" w:fill="B4C6E7" w:themeFill="accent1" w:themeFillTint="66"/>
            <w:noWrap/>
            <w:vAlign w:val="bottom"/>
          </w:tcPr>
          <w:p w14:paraId="1268C77A" w14:textId="77777777" w:rsidR="00264268" w:rsidRPr="008F0C00" w:rsidRDefault="00264268" w:rsidP="00CA5827">
            <w:pPr>
              <w:jc w:val="center"/>
              <w:rPr>
                <w:rFonts w:eastAsia="Times New Roman"/>
                <w:b/>
                <w:bCs/>
              </w:rPr>
            </w:pPr>
            <w:r w:rsidRPr="008F0C00">
              <w:rPr>
                <w:rFonts w:eastAsia="Times New Roman"/>
                <w:b/>
                <w:bCs/>
              </w:rPr>
              <w:t>PERIOD</w:t>
            </w:r>
          </w:p>
        </w:tc>
      </w:tr>
      <w:tr w:rsidR="00251846" w:rsidRPr="0020545F" w14:paraId="7FB91878" w14:textId="77777777" w:rsidTr="00251846">
        <w:trPr>
          <w:trHeight w:val="270"/>
        </w:trPr>
        <w:tc>
          <w:tcPr>
            <w:tcW w:w="605" w:type="dxa"/>
            <w:tcBorders>
              <w:top w:val="nil"/>
              <w:left w:val="single" w:sz="8" w:space="0" w:color="auto"/>
              <w:bottom w:val="single" w:sz="8" w:space="0" w:color="auto"/>
              <w:right w:val="nil"/>
            </w:tcBorders>
            <w:shd w:val="clear" w:color="auto" w:fill="B4C6E7" w:themeFill="accent1" w:themeFillTint="66"/>
            <w:noWrap/>
            <w:vAlign w:val="bottom"/>
          </w:tcPr>
          <w:p w14:paraId="5A252C04" w14:textId="77777777" w:rsidR="00FB2DC3" w:rsidRPr="008F0C00" w:rsidRDefault="00FB2DC3" w:rsidP="00CA5827">
            <w:pPr>
              <w:rPr>
                <w:rFonts w:eastAsia="Times New Roman"/>
              </w:rPr>
            </w:pPr>
            <w:r w:rsidRPr="008F0C00">
              <w:rPr>
                <w:rFonts w:eastAsia="Times New Roman"/>
              </w:rPr>
              <w:t> </w:t>
            </w:r>
          </w:p>
        </w:tc>
        <w:tc>
          <w:tcPr>
            <w:tcW w:w="3465" w:type="dxa"/>
            <w:tcBorders>
              <w:top w:val="single" w:sz="8" w:space="0" w:color="auto"/>
              <w:left w:val="nil"/>
              <w:bottom w:val="single" w:sz="8" w:space="0" w:color="auto"/>
              <w:right w:val="nil"/>
            </w:tcBorders>
            <w:shd w:val="clear" w:color="auto" w:fill="B4C6E7" w:themeFill="accent1" w:themeFillTint="66"/>
            <w:noWrap/>
            <w:vAlign w:val="bottom"/>
          </w:tcPr>
          <w:p w14:paraId="5F16871E" w14:textId="26585369" w:rsidR="00FB2DC3" w:rsidRPr="00251C8A" w:rsidRDefault="00FB2DC3" w:rsidP="00CA5827">
            <w:pPr>
              <w:rPr>
                <w:rFonts w:eastAsia="Times New Roman"/>
              </w:rPr>
            </w:pPr>
            <w:r w:rsidRPr="00251C8A">
              <w:rPr>
                <w:rFonts w:eastAsia="Times New Roman"/>
              </w:rPr>
              <w:t xml:space="preserve">All </w:t>
            </w:r>
          </w:p>
        </w:tc>
        <w:tc>
          <w:tcPr>
            <w:tcW w:w="576" w:type="dxa"/>
            <w:tcBorders>
              <w:top w:val="nil"/>
              <w:left w:val="single" w:sz="8" w:space="0" w:color="auto"/>
              <w:bottom w:val="single" w:sz="8" w:space="0" w:color="auto"/>
              <w:right w:val="nil"/>
            </w:tcBorders>
            <w:shd w:val="clear" w:color="auto" w:fill="B4C6E7" w:themeFill="accent1" w:themeFillTint="66"/>
            <w:noWrap/>
            <w:vAlign w:val="bottom"/>
          </w:tcPr>
          <w:p w14:paraId="7E4A78CA" w14:textId="77777777" w:rsidR="00FB2DC3" w:rsidRPr="008F0C00" w:rsidRDefault="00FB2DC3" w:rsidP="00CA5827">
            <w:pPr>
              <w:rPr>
                <w:rFonts w:eastAsia="Times New Roman"/>
              </w:rPr>
            </w:pPr>
            <w:r w:rsidRPr="008F0C00">
              <w:rPr>
                <w:rFonts w:eastAsia="Times New Roman"/>
              </w:rPr>
              <w:t> </w:t>
            </w:r>
          </w:p>
        </w:tc>
        <w:tc>
          <w:tcPr>
            <w:tcW w:w="717" w:type="dxa"/>
            <w:tcBorders>
              <w:top w:val="nil"/>
              <w:left w:val="nil"/>
              <w:bottom w:val="single" w:sz="8" w:space="0" w:color="auto"/>
              <w:right w:val="nil"/>
            </w:tcBorders>
            <w:shd w:val="clear" w:color="auto" w:fill="B4C6E7" w:themeFill="accent1" w:themeFillTint="66"/>
            <w:noWrap/>
            <w:vAlign w:val="bottom"/>
          </w:tcPr>
          <w:p w14:paraId="0A08D6FF" w14:textId="11793E8C" w:rsidR="00FB2DC3" w:rsidRPr="008F0C00" w:rsidRDefault="004E01C2" w:rsidP="00CA5827">
            <w:pPr>
              <w:rPr>
                <w:rFonts w:eastAsia="Times New Roman"/>
              </w:rPr>
            </w:pPr>
            <w:r w:rsidRPr="008F0C00">
              <w:rPr>
                <w:rFonts w:eastAsia="Times New Roman"/>
              </w:rPr>
              <w:t>AAA</w:t>
            </w:r>
          </w:p>
        </w:tc>
        <w:tc>
          <w:tcPr>
            <w:tcW w:w="685" w:type="dxa"/>
            <w:tcBorders>
              <w:top w:val="nil"/>
              <w:left w:val="nil"/>
              <w:bottom w:val="single" w:sz="8" w:space="0" w:color="auto"/>
              <w:right w:val="nil"/>
            </w:tcBorders>
            <w:shd w:val="clear" w:color="auto" w:fill="B4C6E7" w:themeFill="accent1" w:themeFillTint="66"/>
            <w:noWrap/>
            <w:vAlign w:val="bottom"/>
          </w:tcPr>
          <w:p w14:paraId="102CA09F" w14:textId="77777777" w:rsidR="00FB2DC3" w:rsidRPr="008F0C00" w:rsidRDefault="00FB2DC3" w:rsidP="00CA5827">
            <w:pPr>
              <w:rPr>
                <w:rFonts w:eastAsia="Times New Roman"/>
              </w:rPr>
            </w:pPr>
            <w:r w:rsidRPr="008F0C00">
              <w:rPr>
                <w:rFonts w:eastAsia="Times New Roman"/>
              </w:rPr>
              <w:t> </w:t>
            </w:r>
          </w:p>
        </w:tc>
        <w:tc>
          <w:tcPr>
            <w:tcW w:w="510" w:type="dxa"/>
            <w:tcBorders>
              <w:top w:val="nil"/>
              <w:left w:val="nil"/>
              <w:bottom w:val="single" w:sz="8" w:space="0" w:color="auto"/>
              <w:right w:val="single" w:sz="8" w:space="0" w:color="auto"/>
            </w:tcBorders>
            <w:shd w:val="clear" w:color="auto" w:fill="B4C6E7" w:themeFill="accent1" w:themeFillTint="66"/>
            <w:noWrap/>
            <w:vAlign w:val="bottom"/>
          </w:tcPr>
          <w:p w14:paraId="1B1ABF24" w14:textId="77777777" w:rsidR="00FB2DC3" w:rsidRPr="008F0C00" w:rsidRDefault="00FB2DC3" w:rsidP="00CA5827">
            <w:pPr>
              <w:rPr>
                <w:rFonts w:eastAsia="Times New Roman"/>
              </w:rPr>
            </w:pPr>
            <w:r w:rsidRPr="008F0C00">
              <w:rPr>
                <w:rFonts w:eastAsia="Times New Roman"/>
              </w:rPr>
              <w:t> </w:t>
            </w:r>
          </w:p>
        </w:tc>
        <w:tc>
          <w:tcPr>
            <w:tcW w:w="1301" w:type="dxa"/>
            <w:tcBorders>
              <w:top w:val="single" w:sz="4" w:space="0" w:color="auto"/>
              <w:left w:val="nil"/>
              <w:bottom w:val="single" w:sz="8" w:space="0" w:color="auto"/>
              <w:right w:val="single" w:sz="8" w:space="0" w:color="auto"/>
            </w:tcBorders>
            <w:shd w:val="clear" w:color="auto" w:fill="B4C6E7" w:themeFill="accent1" w:themeFillTint="66"/>
            <w:noWrap/>
            <w:vAlign w:val="bottom"/>
          </w:tcPr>
          <w:p w14:paraId="6C239793" w14:textId="77777777" w:rsidR="00FB2DC3" w:rsidRPr="008F0C00" w:rsidRDefault="00FB2DC3" w:rsidP="00CA5827">
            <w:pPr>
              <w:jc w:val="center"/>
              <w:rPr>
                <w:rFonts w:eastAsia="Times New Roman"/>
              </w:rPr>
            </w:pPr>
            <w:r w:rsidRPr="008F0C00">
              <w:rPr>
                <w:rFonts w:eastAsia="Times New Roman"/>
              </w:rPr>
              <w:t>30</w:t>
            </w:r>
          </w:p>
        </w:tc>
        <w:tc>
          <w:tcPr>
            <w:tcW w:w="1256" w:type="dxa"/>
            <w:tcBorders>
              <w:top w:val="single" w:sz="4" w:space="0" w:color="auto"/>
              <w:left w:val="single" w:sz="8" w:space="0" w:color="auto"/>
              <w:bottom w:val="single" w:sz="8" w:space="0" w:color="auto"/>
              <w:right w:val="single" w:sz="8" w:space="0" w:color="auto"/>
            </w:tcBorders>
            <w:shd w:val="clear" w:color="auto" w:fill="B4C6E7" w:themeFill="accent1" w:themeFillTint="66"/>
            <w:noWrap/>
            <w:vAlign w:val="bottom"/>
          </w:tcPr>
          <w:p w14:paraId="2C7AD7E4" w14:textId="5BE49223" w:rsidR="00FB2DC3" w:rsidRPr="008F0C00" w:rsidRDefault="004E01C2" w:rsidP="00CA5827">
            <w:pPr>
              <w:jc w:val="center"/>
              <w:rPr>
                <w:rFonts w:eastAsia="Times New Roman"/>
              </w:rPr>
            </w:pPr>
            <w:r w:rsidRPr="008F0C00">
              <w:rPr>
                <w:rFonts w:eastAsia="Times New Roman"/>
              </w:rPr>
              <w:t>&lt;1 year</w:t>
            </w:r>
          </w:p>
        </w:tc>
      </w:tr>
    </w:tbl>
    <w:p w14:paraId="68E82811" w14:textId="77777777" w:rsidR="00FB2DC3" w:rsidRPr="0020545F" w:rsidRDefault="00FB2DC3" w:rsidP="001616A3"/>
    <w:p w14:paraId="0380A848" w14:textId="77777777" w:rsidR="006F20F4" w:rsidRPr="0020545F" w:rsidRDefault="006F20F4" w:rsidP="006F20F4">
      <w:r w:rsidRPr="0020545F">
        <w:t>Long Term Ratings AAA to DDD the best quality to junk bonds</w:t>
      </w:r>
    </w:p>
    <w:p w14:paraId="79C487CD" w14:textId="77777777" w:rsidR="006F20F4" w:rsidRPr="0020545F" w:rsidRDefault="006F20F4" w:rsidP="006F20F4">
      <w:r w:rsidRPr="0020545F">
        <w:t>Short Term Ratings F1+ to F3 the safest to the riskier</w:t>
      </w:r>
    </w:p>
    <w:p w14:paraId="05E7F19A" w14:textId="717B0BEC" w:rsidR="00F13679" w:rsidRPr="00312B82" w:rsidRDefault="006F20F4" w:rsidP="008F0C00">
      <w:pPr>
        <w:rPr>
          <w:b/>
          <w:highlight w:val="yellow"/>
        </w:rPr>
      </w:pPr>
      <w:r w:rsidRPr="0020545F">
        <w:t>Local Authorities are assumed to have the same ratings as UK Government.</w:t>
      </w:r>
    </w:p>
    <w:p w14:paraId="751C4FC6" w14:textId="77777777" w:rsidR="001D3578" w:rsidRPr="0020545F" w:rsidRDefault="001D3578" w:rsidP="006E5B44">
      <w:pPr>
        <w:ind w:left="719" w:hanging="719"/>
        <w:jc w:val="right"/>
        <w:rPr>
          <w:b/>
        </w:rPr>
      </w:pPr>
    </w:p>
    <w:p w14:paraId="5DF9093C" w14:textId="0A3A2EA6" w:rsidR="006E5B44" w:rsidRPr="0020545F" w:rsidRDefault="006E5B44" w:rsidP="006E5B44">
      <w:pPr>
        <w:ind w:left="719" w:hanging="719"/>
        <w:jc w:val="right"/>
        <w:rPr>
          <w:b/>
        </w:rPr>
      </w:pPr>
      <w:r w:rsidRPr="0020545F">
        <w:rPr>
          <w:b/>
        </w:rPr>
        <w:t>APPENDIX D</w:t>
      </w:r>
    </w:p>
    <w:p w14:paraId="3FC841EA" w14:textId="77777777" w:rsidR="0094727B" w:rsidRPr="0020545F" w:rsidRDefault="0094727B" w:rsidP="001616A3"/>
    <w:tbl>
      <w:tblPr>
        <w:tblStyle w:val="GridTable4-Accent1"/>
        <w:tblW w:w="9314" w:type="dxa"/>
        <w:tblLook w:val="04A0" w:firstRow="1" w:lastRow="0" w:firstColumn="1" w:lastColumn="0" w:noHBand="0" w:noVBand="1"/>
      </w:tblPr>
      <w:tblGrid>
        <w:gridCol w:w="1739"/>
        <w:gridCol w:w="1977"/>
        <w:gridCol w:w="2138"/>
        <w:gridCol w:w="1700"/>
        <w:gridCol w:w="1760"/>
      </w:tblGrid>
      <w:tr w:rsidR="0094727B" w:rsidRPr="0020545F" w14:paraId="42B07606" w14:textId="77777777" w:rsidTr="008F0C00">
        <w:trPr>
          <w:cnfStyle w:val="100000000000" w:firstRow="1" w:lastRow="0" w:firstColumn="0" w:lastColumn="0" w:oddVBand="0" w:evenVBand="0" w:oddHBand="0"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0" w:type="dxa"/>
            <w:noWrap/>
            <w:hideMark/>
          </w:tcPr>
          <w:p w14:paraId="009582C2" w14:textId="77777777" w:rsidR="0094727B" w:rsidRPr="00275F21" w:rsidRDefault="0094727B" w:rsidP="0094727B">
            <w:pPr>
              <w:rPr>
                <w:rFonts w:ascii="Calibri" w:eastAsia="Times New Roman" w:hAnsi="Calibri" w:cs="Calibri"/>
                <w:b w:val="0"/>
                <w:bCs w:val="0"/>
                <w:color w:val="000000"/>
              </w:rPr>
            </w:pPr>
            <w:r w:rsidRPr="00275F21">
              <w:rPr>
                <w:rFonts w:ascii="Calibri" w:eastAsia="Times New Roman" w:hAnsi="Calibri" w:cs="Calibri"/>
                <w:b w:val="0"/>
                <w:bCs w:val="0"/>
                <w:color w:val="000000"/>
              </w:rPr>
              <w:t> </w:t>
            </w:r>
          </w:p>
        </w:tc>
        <w:tc>
          <w:tcPr>
            <w:tcW w:w="0" w:type="dxa"/>
            <w:gridSpan w:val="2"/>
            <w:noWrap/>
            <w:hideMark/>
          </w:tcPr>
          <w:p w14:paraId="02C5EA4D" w14:textId="24522611" w:rsidR="0094727B" w:rsidRPr="008F0C00" w:rsidRDefault="0094727B" w:rsidP="0094727B">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color w:val="000000"/>
                <w:sz w:val="24"/>
              </w:rPr>
            </w:pPr>
            <w:r w:rsidRPr="008F0C00">
              <w:rPr>
                <w:rFonts w:ascii="Calibri" w:eastAsia="Times New Roman" w:hAnsi="Calibri" w:cs="Calibri"/>
                <w:color w:val="000000"/>
                <w:sz w:val="24"/>
              </w:rPr>
              <w:t xml:space="preserve">INVESTMENTS AS AT </w:t>
            </w:r>
            <w:r w:rsidR="00275F21" w:rsidRPr="008F0C00">
              <w:rPr>
                <w:rFonts w:ascii="Calibri" w:eastAsia="Times New Roman" w:hAnsi="Calibri" w:cs="Calibri"/>
                <w:color w:val="000000"/>
                <w:sz w:val="24"/>
              </w:rPr>
              <w:t>06</w:t>
            </w:r>
            <w:r w:rsidRPr="008F0C00">
              <w:rPr>
                <w:rFonts w:ascii="Calibri" w:eastAsia="Times New Roman" w:hAnsi="Calibri" w:cs="Calibri"/>
                <w:color w:val="000000"/>
                <w:sz w:val="24"/>
              </w:rPr>
              <w:t>/0</w:t>
            </w:r>
            <w:r w:rsidR="00F619A4" w:rsidRPr="008F0C00">
              <w:rPr>
                <w:rFonts w:ascii="Calibri" w:eastAsia="Times New Roman" w:hAnsi="Calibri" w:cs="Calibri"/>
                <w:color w:val="000000"/>
                <w:sz w:val="24"/>
              </w:rPr>
              <w:t>3</w:t>
            </w:r>
            <w:r w:rsidRPr="008F0C00">
              <w:rPr>
                <w:rFonts w:ascii="Calibri" w:eastAsia="Times New Roman" w:hAnsi="Calibri" w:cs="Calibri"/>
                <w:color w:val="000000"/>
                <w:sz w:val="24"/>
              </w:rPr>
              <w:t>/2</w:t>
            </w:r>
            <w:r w:rsidR="00275F21" w:rsidRPr="008F0C00">
              <w:rPr>
                <w:rFonts w:ascii="Calibri" w:eastAsia="Times New Roman" w:hAnsi="Calibri" w:cs="Calibri"/>
                <w:color w:val="000000"/>
                <w:sz w:val="24"/>
              </w:rPr>
              <w:t>3</w:t>
            </w:r>
          </w:p>
        </w:tc>
        <w:tc>
          <w:tcPr>
            <w:tcW w:w="0" w:type="dxa"/>
            <w:noWrap/>
            <w:hideMark/>
          </w:tcPr>
          <w:p w14:paraId="7DBA4AAF" w14:textId="77777777" w:rsidR="0094727B" w:rsidRPr="00275F21" w:rsidRDefault="0094727B" w:rsidP="0094727B">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275F21">
              <w:rPr>
                <w:rFonts w:ascii="Calibri" w:eastAsia="Times New Roman" w:hAnsi="Calibri" w:cs="Calibri"/>
                <w:color w:val="000000"/>
              </w:rPr>
              <w:t> </w:t>
            </w:r>
          </w:p>
        </w:tc>
        <w:tc>
          <w:tcPr>
            <w:tcW w:w="0" w:type="dxa"/>
            <w:noWrap/>
            <w:hideMark/>
          </w:tcPr>
          <w:p w14:paraId="6ED0288C" w14:textId="77777777" w:rsidR="0094727B" w:rsidRPr="00275F21" w:rsidRDefault="0094727B" w:rsidP="0094727B">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275F21">
              <w:rPr>
                <w:rFonts w:ascii="Calibri" w:eastAsia="Times New Roman" w:hAnsi="Calibri" w:cs="Calibri"/>
                <w:color w:val="000000"/>
              </w:rPr>
              <w:t> </w:t>
            </w:r>
          </w:p>
        </w:tc>
      </w:tr>
      <w:tr w:rsidR="0094727B" w:rsidRPr="0020545F" w14:paraId="11288857" w14:textId="77777777" w:rsidTr="008F0C00">
        <w:trPr>
          <w:cnfStyle w:val="000000100000" w:firstRow="0" w:lastRow="0" w:firstColumn="0" w:lastColumn="0" w:oddVBand="0" w:evenVBand="0" w:oddHBand="1"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0" w:type="dxa"/>
            <w:noWrap/>
            <w:hideMark/>
          </w:tcPr>
          <w:p w14:paraId="06ACA511" w14:textId="77777777" w:rsidR="0094727B" w:rsidRPr="008F0C00" w:rsidRDefault="0094727B" w:rsidP="0094727B">
            <w:pPr>
              <w:rPr>
                <w:rFonts w:eastAsia="Times New Roman"/>
                <w:color w:val="000000"/>
              </w:rPr>
            </w:pPr>
            <w:r w:rsidRPr="008F0C00">
              <w:rPr>
                <w:rFonts w:eastAsia="Times New Roman"/>
                <w:color w:val="000000"/>
              </w:rPr>
              <w:t> </w:t>
            </w:r>
          </w:p>
        </w:tc>
        <w:tc>
          <w:tcPr>
            <w:tcW w:w="0" w:type="dxa"/>
            <w:noWrap/>
            <w:hideMark/>
          </w:tcPr>
          <w:p w14:paraId="28452B55" w14:textId="77777777" w:rsidR="0094727B" w:rsidRPr="008F0C00" w:rsidRDefault="0094727B" w:rsidP="0094727B">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8F0C00">
              <w:rPr>
                <w:rFonts w:eastAsia="Times New Roman"/>
                <w:color w:val="000000"/>
              </w:rPr>
              <w:t> </w:t>
            </w:r>
          </w:p>
        </w:tc>
        <w:tc>
          <w:tcPr>
            <w:tcW w:w="0" w:type="dxa"/>
            <w:noWrap/>
            <w:hideMark/>
          </w:tcPr>
          <w:p w14:paraId="009C3187" w14:textId="77777777" w:rsidR="0094727B" w:rsidRPr="008F0C00" w:rsidRDefault="0094727B" w:rsidP="0094727B">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8F0C00">
              <w:rPr>
                <w:rFonts w:eastAsia="Times New Roman"/>
                <w:color w:val="000000"/>
              </w:rPr>
              <w:t> </w:t>
            </w:r>
          </w:p>
        </w:tc>
        <w:tc>
          <w:tcPr>
            <w:tcW w:w="0" w:type="dxa"/>
            <w:noWrap/>
            <w:hideMark/>
          </w:tcPr>
          <w:p w14:paraId="0324ACC3" w14:textId="77777777" w:rsidR="0094727B" w:rsidRPr="008F0C00" w:rsidRDefault="0094727B" w:rsidP="0094727B">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8F0C00">
              <w:rPr>
                <w:rFonts w:eastAsia="Times New Roman"/>
                <w:color w:val="000000"/>
              </w:rPr>
              <w:t> </w:t>
            </w:r>
          </w:p>
        </w:tc>
        <w:tc>
          <w:tcPr>
            <w:tcW w:w="0" w:type="dxa"/>
            <w:noWrap/>
            <w:hideMark/>
          </w:tcPr>
          <w:p w14:paraId="31046878" w14:textId="77777777" w:rsidR="0094727B" w:rsidRPr="008F0C00" w:rsidRDefault="0094727B" w:rsidP="0094727B">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8F0C00">
              <w:rPr>
                <w:rFonts w:eastAsia="Times New Roman"/>
                <w:color w:val="000000"/>
              </w:rPr>
              <w:t> </w:t>
            </w:r>
          </w:p>
        </w:tc>
      </w:tr>
      <w:tr w:rsidR="0094727B" w:rsidRPr="0020545F" w14:paraId="2F12386E" w14:textId="77777777" w:rsidTr="008F0C00">
        <w:trPr>
          <w:trHeight w:val="215"/>
        </w:trPr>
        <w:tc>
          <w:tcPr>
            <w:cnfStyle w:val="001000000000" w:firstRow="0" w:lastRow="0" w:firstColumn="1" w:lastColumn="0" w:oddVBand="0" w:evenVBand="0" w:oddHBand="0" w:evenHBand="0" w:firstRowFirstColumn="0" w:firstRowLastColumn="0" w:lastRowFirstColumn="0" w:lastRowLastColumn="0"/>
            <w:tcW w:w="0" w:type="dxa"/>
            <w:noWrap/>
            <w:hideMark/>
          </w:tcPr>
          <w:p w14:paraId="5B033A66" w14:textId="77777777" w:rsidR="0094727B" w:rsidRPr="008F0C00" w:rsidRDefault="0094727B" w:rsidP="0094727B">
            <w:pPr>
              <w:rPr>
                <w:rFonts w:eastAsia="Times New Roman"/>
                <w:bCs w:val="0"/>
                <w:color w:val="000000"/>
              </w:rPr>
            </w:pPr>
            <w:r w:rsidRPr="008F0C00">
              <w:rPr>
                <w:rFonts w:eastAsia="Times New Roman"/>
                <w:color w:val="000000"/>
              </w:rPr>
              <w:t>Maturity</w:t>
            </w:r>
          </w:p>
        </w:tc>
        <w:tc>
          <w:tcPr>
            <w:tcW w:w="0" w:type="dxa"/>
            <w:noWrap/>
            <w:hideMark/>
          </w:tcPr>
          <w:p w14:paraId="25E43382" w14:textId="77777777" w:rsidR="0094727B" w:rsidRPr="008F0C00" w:rsidRDefault="0094727B" w:rsidP="0094727B">
            <w:pPr>
              <w:cnfStyle w:val="000000000000" w:firstRow="0" w:lastRow="0" w:firstColumn="0" w:lastColumn="0" w:oddVBand="0" w:evenVBand="0" w:oddHBand="0" w:evenHBand="0" w:firstRowFirstColumn="0" w:firstRowLastColumn="0" w:lastRowFirstColumn="0" w:lastRowLastColumn="0"/>
              <w:rPr>
                <w:rFonts w:eastAsia="Times New Roman"/>
                <w:b/>
                <w:bCs/>
                <w:color w:val="000000"/>
              </w:rPr>
            </w:pPr>
            <w:r w:rsidRPr="008F0C00">
              <w:rPr>
                <w:rFonts w:eastAsia="Times New Roman"/>
                <w:b/>
                <w:bCs/>
                <w:color w:val="000000"/>
              </w:rPr>
              <w:t>Borrower</w:t>
            </w:r>
          </w:p>
        </w:tc>
        <w:tc>
          <w:tcPr>
            <w:tcW w:w="0" w:type="dxa"/>
            <w:noWrap/>
            <w:hideMark/>
          </w:tcPr>
          <w:p w14:paraId="3E98D94B" w14:textId="77777777" w:rsidR="0094727B" w:rsidRPr="008F0C00" w:rsidRDefault="0094727B" w:rsidP="0094727B">
            <w:pPr>
              <w:cnfStyle w:val="000000000000" w:firstRow="0" w:lastRow="0" w:firstColumn="0" w:lastColumn="0" w:oddVBand="0" w:evenVBand="0" w:oddHBand="0" w:evenHBand="0" w:firstRowFirstColumn="0" w:firstRowLastColumn="0" w:lastRowFirstColumn="0" w:lastRowLastColumn="0"/>
              <w:rPr>
                <w:rFonts w:eastAsia="Times New Roman"/>
                <w:b/>
                <w:bCs/>
                <w:color w:val="000000"/>
              </w:rPr>
            </w:pPr>
            <w:r w:rsidRPr="008F0C00">
              <w:rPr>
                <w:rFonts w:eastAsia="Times New Roman"/>
                <w:b/>
                <w:bCs/>
                <w:color w:val="000000"/>
              </w:rPr>
              <w:t>Principal</w:t>
            </w:r>
          </w:p>
        </w:tc>
        <w:tc>
          <w:tcPr>
            <w:tcW w:w="0" w:type="dxa"/>
            <w:noWrap/>
            <w:hideMark/>
          </w:tcPr>
          <w:p w14:paraId="08D4EEA3" w14:textId="77777777" w:rsidR="0094727B" w:rsidRPr="008F0C00" w:rsidRDefault="0094727B" w:rsidP="0094727B">
            <w:pPr>
              <w:jc w:val="center"/>
              <w:cnfStyle w:val="000000000000" w:firstRow="0" w:lastRow="0" w:firstColumn="0" w:lastColumn="0" w:oddVBand="0" w:evenVBand="0" w:oddHBand="0" w:evenHBand="0" w:firstRowFirstColumn="0" w:firstRowLastColumn="0" w:lastRowFirstColumn="0" w:lastRowLastColumn="0"/>
              <w:rPr>
                <w:rFonts w:eastAsia="Times New Roman"/>
                <w:b/>
                <w:bCs/>
                <w:color w:val="000000"/>
              </w:rPr>
            </w:pPr>
            <w:r w:rsidRPr="008F0C00">
              <w:rPr>
                <w:rFonts w:eastAsia="Times New Roman"/>
                <w:b/>
                <w:bCs/>
                <w:color w:val="000000"/>
              </w:rPr>
              <w:t>Rate</w:t>
            </w:r>
          </w:p>
        </w:tc>
        <w:tc>
          <w:tcPr>
            <w:tcW w:w="0" w:type="dxa"/>
            <w:noWrap/>
            <w:hideMark/>
          </w:tcPr>
          <w:p w14:paraId="6BD39544" w14:textId="0E9BC207" w:rsidR="0094727B" w:rsidRPr="008F0C00" w:rsidRDefault="00F619A4" w:rsidP="0094727B">
            <w:pPr>
              <w:cnfStyle w:val="000000000000" w:firstRow="0" w:lastRow="0" w:firstColumn="0" w:lastColumn="0" w:oddVBand="0" w:evenVBand="0" w:oddHBand="0" w:evenHBand="0" w:firstRowFirstColumn="0" w:firstRowLastColumn="0" w:lastRowFirstColumn="0" w:lastRowLastColumn="0"/>
              <w:rPr>
                <w:rFonts w:eastAsia="Times New Roman"/>
                <w:b/>
                <w:bCs/>
                <w:color w:val="000000"/>
              </w:rPr>
            </w:pPr>
            <w:r w:rsidRPr="008F0C00">
              <w:rPr>
                <w:rFonts w:eastAsia="Times New Roman"/>
                <w:b/>
                <w:bCs/>
                <w:color w:val="000000"/>
              </w:rPr>
              <w:t>Type</w:t>
            </w:r>
          </w:p>
        </w:tc>
      </w:tr>
      <w:tr w:rsidR="0094727B" w:rsidRPr="0020545F" w14:paraId="67AFFEFB" w14:textId="77777777" w:rsidTr="008F0C00">
        <w:trPr>
          <w:cnfStyle w:val="000000100000" w:firstRow="0" w:lastRow="0" w:firstColumn="0" w:lastColumn="0" w:oddVBand="0" w:evenVBand="0" w:oddHBand="1"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0" w:type="dxa"/>
            <w:noWrap/>
            <w:hideMark/>
          </w:tcPr>
          <w:p w14:paraId="690BAEFF" w14:textId="77777777" w:rsidR="0094727B" w:rsidRPr="008F0C00" w:rsidRDefault="0094727B" w:rsidP="0094727B">
            <w:pPr>
              <w:rPr>
                <w:rFonts w:eastAsia="Times New Roman"/>
                <w:color w:val="000000"/>
              </w:rPr>
            </w:pPr>
            <w:r w:rsidRPr="008F0C00">
              <w:rPr>
                <w:rFonts w:eastAsia="Times New Roman"/>
                <w:color w:val="000000"/>
              </w:rPr>
              <w:t> </w:t>
            </w:r>
          </w:p>
        </w:tc>
        <w:tc>
          <w:tcPr>
            <w:tcW w:w="0" w:type="dxa"/>
            <w:noWrap/>
            <w:hideMark/>
          </w:tcPr>
          <w:p w14:paraId="00456114" w14:textId="77777777" w:rsidR="0094727B" w:rsidRPr="008F0C00" w:rsidRDefault="0094727B" w:rsidP="0094727B">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8F0C00">
              <w:rPr>
                <w:rFonts w:eastAsia="Times New Roman"/>
                <w:color w:val="000000"/>
              </w:rPr>
              <w:t> </w:t>
            </w:r>
          </w:p>
        </w:tc>
        <w:tc>
          <w:tcPr>
            <w:tcW w:w="0" w:type="dxa"/>
            <w:noWrap/>
            <w:hideMark/>
          </w:tcPr>
          <w:p w14:paraId="00A9FA16" w14:textId="77777777" w:rsidR="0094727B" w:rsidRPr="008F0C00" w:rsidRDefault="0094727B" w:rsidP="0094727B">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8F0C00">
              <w:rPr>
                <w:rFonts w:eastAsia="Times New Roman"/>
                <w:color w:val="000000"/>
              </w:rPr>
              <w:t>£</w:t>
            </w:r>
          </w:p>
        </w:tc>
        <w:tc>
          <w:tcPr>
            <w:tcW w:w="0" w:type="dxa"/>
            <w:noWrap/>
            <w:hideMark/>
          </w:tcPr>
          <w:p w14:paraId="13EBCBDA" w14:textId="77777777" w:rsidR="0094727B" w:rsidRPr="008F0C00" w:rsidRDefault="0094727B" w:rsidP="0094727B">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8F0C00">
              <w:rPr>
                <w:rFonts w:eastAsia="Times New Roman"/>
                <w:color w:val="000000"/>
              </w:rPr>
              <w:t>%</w:t>
            </w:r>
          </w:p>
        </w:tc>
        <w:tc>
          <w:tcPr>
            <w:tcW w:w="0" w:type="dxa"/>
            <w:noWrap/>
            <w:hideMark/>
          </w:tcPr>
          <w:p w14:paraId="57F83256" w14:textId="77777777" w:rsidR="0094727B" w:rsidRPr="008F0C00" w:rsidRDefault="0094727B" w:rsidP="0094727B">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8F0C00">
              <w:rPr>
                <w:rFonts w:eastAsia="Times New Roman"/>
                <w:color w:val="000000"/>
              </w:rPr>
              <w:t> </w:t>
            </w:r>
          </w:p>
        </w:tc>
      </w:tr>
      <w:tr w:rsidR="00275F21" w:rsidRPr="0020545F" w14:paraId="634A2B2C" w14:textId="77777777" w:rsidTr="008F0C00">
        <w:trPr>
          <w:trHeight w:val="215"/>
        </w:trPr>
        <w:tc>
          <w:tcPr>
            <w:cnfStyle w:val="001000000000" w:firstRow="0" w:lastRow="0" w:firstColumn="1" w:lastColumn="0" w:oddVBand="0" w:evenVBand="0" w:oddHBand="0" w:evenHBand="0" w:firstRowFirstColumn="0" w:firstRowLastColumn="0" w:lastRowFirstColumn="0" w:lastRowLastColumn="0"/>
            <w:tcW w:w="0" w:type="dxa"/>
            <w:noWrap/>
            <w:hideMark/>
          </w:tcPr>
          <w:p w14:paraId="550A43FA" w14:textId="3FFD64A0" w:rsidR="00275F21" w:rsidRPr="008F0C00" w:rsidRDefault="00275F21" w:rsidP="00275F21">
            <w:pPr>
              <w:jc w:val="center"/>
              <w:rPr>
                <w:rFonts w:eastAsia="Times New Roman"/>
              </w:rPr>
            </w:pPr>
            <w:r w:rsidRPr="008F0C00">
              <w:rPr>
                <w:rFonts w:eastAsia="Times New Roman"/>
              </w:rPr>
              <w:t>17-Mar-23</w:t>
            </w:r>
          </w:p>
        </w:tc>
        <w:tc>
          <w:tcPr>
            <w:tcW w:w="0" w:type="dxa"/>
            <w:noWrap/>
            <w:hideMark/>
          </w:tcPr>
          <w:p w14:paraId="05DEB287" w14:textId="6829F9A8" w:rsidR="00275F21" w:rsidRPr="008F0C00" w:rsidRDefault="00275F21" w:rsidP="00275F21">
            <w:pPr>
              <w:cnfStyle w:val="000000000000" w:firstRow="0" w:lastRow="0" w:firstColumn="0" w:lastColumn="0" w:oddVBand="0" w:evenVBand="0" w:oddHBand="0" w:evenHBand="0" w:firstRowFirstColumn="0" w:firstRowLastColumn="0" w:lastRowFirstColumn="0" w:lastRowLastColumn="0"/>
              <w:rPr>
                <w:rFonts w:eastAsia="Times New Roman"/>
              </w:rPr>
            </w:pPr>
            <w:r w:rsidRPr="008F0C00">
              <w:rPr>
                <w:rFonts w:eastAsia="Times New Roman"/>
              </w:rPr>
              <w:t>Goldman Sachs</w:t>
            </w:r>
          </w:p>
        </w:tc>
        <w:tc>
          <w:tcPr>
            <w:tcW w:w="0" w:type="dxa"/>
            <w:noWrap/>
            <w:hideMark/>
          </w:tcPr>
          <w:p w14:paraId="4B739D50" w14:textId="2C638C63" w:rsidR="00275F21" w:rsidRPr="008F0C00" w:rsidRDefault="00275F21" w:rsidP="00275F21">
            <w:pPr>
              <w:jc w:val="right"/>
              <w:cnfStyle w:val="000000000000" w:firstRow="0" w:lastRow="0" w:firstColumn="0" w:lastColumn="0" w:oddVBand="0" w:evenVBand="0" w:oddHBand="0" w:evenHBand="0" w:firstRowFirstColumn="0" w:firstRowLastColumn="0" w:lastRowFirstColumn="0" w:lastRowLastColumn="0"/>
              <w:rPr>
                <w:rFonts w:eastAsia="Times New Roman"/>
              </w:rPr>
            </w:pPr>
            <w:r w:rsidRPr="008F0C00">
              <w:rPr>
                <w:rFonts w:eastAsia="Times New Roman"/>
              </w:rPr>
              <w:t>10,000,000</w:t>
            </w:r>
          </w:p>
        </w:tc>
        <w:tc>
          <w:tcPr>
            <w:tcW w:w="0" w:type="dxa"/>
            <w:noWrap/>
            <w:hideMark/>
          </w:tcPr>
          <w:p w14:paraId="2D66EFB6" w14:textId="23C1A217" w:rsidR="00275F21" w:rsidRPr="008F0C00" w:rsidRDefault="00275F21" w:rsidP="00275F21">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8F0C00">
              <w:rPr>
                <w:rFonts w:eastAsia="Times New Roman"/>
                <w:color w:val="000000"/>
              </w:rPr>
              <w:t>3.28</w:t>
            </w:r>
          </w:p>
        </w:tc>
        <w:tc>
          <w:tcPr>
            <w:tcW w:w="0" w:type="dxa"/>
            <w:noWrap/>
            <w:hideMark/>
          </w:tcPr>
          <w:p w14:paraId="6106F74D" w14:textId="4B42BCD1" w:rsidR="00275F21" w:rsidRPr="008F0C00" w:rsidRDefault="00275F21" w:rsidP="00275F21">
            <w:pP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8F0C00">
              <w:rPr>
                <w:rFonts w:eastAsia="Times New Roman"/>
                <w:color w:val="000000"/>
              </w:rPr>
              <w:t>Bank</w:t>
            </w:r>
          </w:p>
        </w:tc>
      </w:tr>
      <w:tr w:rsidR="0094727B" w:rsidRPr="0020545F" w14:paraId="60861A91" w14:textId="77777777" w:rsidTr="008F0C00">
        <w:trPr>
          <w:cnfStyle w:val="000000100000" w:firstRow="0" w:lastRow="0" w:firstColumn="0" w:lastColumn="0" w:oddVBand="0" w:evenVBand="0" w:oddHBand="1"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0" w:type="dxa"/>
            <w:noWrap/>
          </w:tcPr>
          <w:p w14:paraId="65D5D90B" w14:textId="31FC2B96" w:rsidR="0094727B" w:rsidRPr="008F0C00" w:rsidRDefault="00F619A4" w:rsidP="0094727B">
            <w:pPr>
              <w:jc w:val="center"/>
              <w:rPr>
                <w:rFonts w:eastAsia="Times New Roman"/>
              </w:rPr>
            </w:pPr>
            <w:r w:rsidRPr="008F0C00">
              <w:rPr>
                <w:rFonts w:eastAsia="Times New Roman"/>
              </w:rPr>
              <w:t>2</w:t>
            </w:r>
            <w:r w:rsidR="00275F21" w:rsidRPr="008F0C00">
              <w:rPr>
                <w:rFonts w:eastAsia="Times New Roman"/>
              </w:rPr>
              <w:t>4</w:t>
            </w:r>
            <w:r w:rsidRPr="008F0C00">
              <w:rPr>
                <w:rFonts w:eastAsia="Times New Roman"/>
              </w:rPr>
              <w:t>-Mar-2</w:t>
            </w:r>
            <w:r w:rsidR="00275F21" w:rsidRPr="008F0C00">
              <w:rPr>
                <w:rFonts w:eastAsia="Times New Roman"/>
              </w:rPr>
              <w:t>3</w:t>
            </w:r>
          </w:p>
        </w:tc>
        <w:tc>
          <w:tcPr>
            <w:tcW w:w="0" w:type="dxa"/>
            <w:noWrap/>
          </w:tcPr>
          <w:p w14:paraId="57F4707C" w14:textId="2E17633B" w:rsidR="0094727B" w:rsidRPr="008F0C00" w:rsidRDefault="00F619A4" w:rsidP="0094727B">
            <w:pPr>
              <w:cnfStyle w:val="000000100000" w:firstRow="0" w:lastRow="0" w:firstColumn="0" w:lastColumn="0" w:oddVBand="0" w:evenVBand="0" w:oddHBand="1" w:evenHBand="0" w:firstRowFirstColumn="0" w:firstRowLastColumn="0" w:lastRowFirstColumn="0" w:lastRowLastColumn="0"/>
              <w:rPr>
                <w:rFonts w:eastAsia="Times New Roman"/>
              </w:rPr>
            </w:pPr>
            <w:r w:rsidRPr="008F0C00">
              <w:rPr>
                <w:rFonts w:eastAsia="Times New Roman"/>
              </w:rPr>
              <w:t>National Bank of Kuwait</w:t>
            </w:r>
          </w:p>
        </w:tc>
        <w:tc>
          <w:tcPr>
            <w:tcW w:w="0" w:type="dxa"/>
            <w:noWrap/>
          </w:tcPr>
          <w:p w14:paraId="578C17B1" w14:textId="52469F95" w:rsidR="0094727B" w:rsidRPr="008F0C00" w:rsidRDefault="00F619A4" w:rsidP="0094727B">
            <w:pPr>
              <w:jc w:val="right"/>
              <w:cnfStyle w:val="000000100000" w:firstRow="0" w:lastRow="0" w:firstColumn="0" w:lastColumn="0" w:oddVBand="0" w:evenVBand="0" w:oddHBand="1" w:evenHBand="0" w:firstRowFirstColumn="0" w:firstRowLastColumn="0" w:lastRowFirstColumn="0" w:lastRowLastColumn="0"/>
              <w:rPr>
                <w:rFonts w:eastAsia="Times New Roman"/>
              </w:rPr>
            </w:pPr>
            <w:r w:rsidRPr="008F0C00">
              <w:rPr>
                <w:rFonts w:eastAsia="Times New Roman"/>
              </w:rPr>
              <w:t>10,000,000</w:t>
            </w:r>
          </w:p>
        </w:tc>
        <w:tc>
          <w:tcPr>
            <w:tcW w:w="0" w:type="dxa"/>
            <w:noWrap/>
          </w:tcPr>
          <w:p w14:paraId="3475C88E" w14:textId="01024D8A" w:rsidR="0094727B" w:rsidRPr="008F0C00" w:rsidRDefault="00275F21" w:rsidP="0020545F">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8F0C00">
              <w:rPr>
                <w:rFonts w:eastAsia="Times New Roman"/>
                <w:color w:val="000000"/>
              </w:rPr>
              <w:t>3.81</w:t>
            </w:r>
          </w:p>
        </w:tc>
        <w:tc>
          <w:tcPr>
            <w:tcW w:w="0" w:type="dxa"/>
            <w:noWrap/>
          </w:tcPr>
          <w:p w14:paraId="259BAE9A" w14:textId="2022DD86" w:rsidR="0094727B" w:rsidRPr="008F0C00" w:rsidRDefault="00F619A4" w:rsidP="0094727B">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8F0C00">
              <w:rPr>
                <w:rFonts w:eastAsia="Times New Roman"/>
                <w:color w:val="000000"/>
              </w:rPr>
              <w:t>Bank</w:t>
            </w:r>
          </w:p>
        </w:tc>
      </w:tr>
      <w:tr w:rsidR="0094727B" w:rsidRPr="0020545F" w14:paraId="367483F4" w14:textId="77777777" w:rsidTr="008F0C00">
        <w:trPr>
          <w:trHeight w:val="215"/>
        </w:trPr>
        <w:tc>
          <w:tcPr>
            <w:cnfStyle w:val="001000000000" w:firstRow="0" w:lastRow="0" w:firstColumn="1" w:lastColumn="0" w:oddVBand="0" w:evenVBand="0" w:oddHBand="0" w:evenHBand="0" w:firstRowFirstColumn="0" w:firstRowLastColumn="0" w:lastRowFirstColumn="0" w:lastRowLastColumn="0"/>
            <w:tcW w:w="0" w:type="dxa"/>
            <w:noWrap/>
          </w:tcPr>
          <w:p w14:paraId="13B6179A" w14:textId="30F685A9" w:rsidR="0094727B" w:rsidRPr="008F0C00" w:rsidRDefault="00F619A4" w:rsidP="0094727B">
            <w:pPr>
              <w:jc w:val="center"/>
              <w:rPr>
                <w:rFonts w:eastAsia="Times New Roman"/>
              </w:rPr>
            </w:pPr>
            <w:r w:rsidRPr="008F0C00">
              <w:rPr>
                <w:rFonts w:eastAsia="Times New Roman"/>
              </w:rPr>
              <w:t>2</w:t>
            </w:r>
            <w:r w:rsidR="00275F21" w:rsidRPr="008F0C00">
              <w:rPr>
                <w:rFonts w:eastAsia="Times New Roman"/>
              </w:rPr>
              <w:t>4</w:t>
            </w:r>
            <w:r w:rsidRPr="008F0C00">
              <w:rPr>
                <w:rFonts w:eastAsia="Times New Roman"/>
              </w:rPr>
              <w:t>-Mar-2</w:t>
            </w:r>
            <w:r w:rsidR="00275F21" w:rsidRPr="008F0C00">
              <w:rPr>
                <w:rFonts w:eastAsia="Times New Roman"/>
              </w:rPr>
              <w:t>3</w:t>
            </w:r>
          </w:p>
        </w:tc>
        <w:tc>
          <w:tcPr>
            <w:tcW w:w="0" w:type="dxa"/>
            <w:noWrap/>
          </w:tcPr>
          <w:p w14:paraId="4BB42A23" w14:textId="31DD3E8E" w:rsidR="0094727B" w:rsidRPr="008F0C00" w:rsidRDefault="00F619A4" w:rsidP="0094727B">
            <w:pPr>
              <w:cnfStyle w:val="000000000000" w:firstRow="0" w:lastRow="0" w:firstColumn="0" w:lastColumn="0" w:oddVBand="0" w:evenVBand="0" w:oddHBand="0" w:evenHBand="0" w:firstRowFirstColumn="0" w:firstRowLastColumn="0" w:lastRowFirstColumn="0" w:lastRowLastColumn="0"/>
              <w:rPr>
                <w:rFonts w:eastAsia="Times New Roman"/>
              </w:rPr>
            </w:pPr>
            <w:r w:rsidRPr="008F0C00">
              <w:rPr>
                <w:rFonts w:eastAsia="Times New Roman"/>
              </w:rPr>
              <w:t>National Bank of Kuwait</w:t>
            </w:r>
          </w:p>
        </w:tc>
        <w:tc>
          <w:tcPr>
            <w:tcW w:w="0" w:type="dxa"/>
            <w:noWrap/>
          </w:tcPr>
          <w:p w14:paraId="59C16D96" w14:textId="0FB59572" w:rsidR="0094727B" w:rsidRPr="008F0C00" w:rsidRDefault="00F619A4" w:rsidP="0094727B">
            <w:pPr>
              <w:jc w:val="right"/>
              <w:cnfStyle w:val="000000000000" w:firstRow="0" w:lastRow="0" w:firstColumn="0" w:lastColumn="0" w:oddVBand="0" w:evenVBand="0" w:oddHBand="0" w:evenHBand="0" w:firstRowFirstColumn="0" w:firstRowLastColumn="0" w:lastRowFirstColumn="0" w:lastRowLastColumn="0"/>
              <w:rPr>
                <w:rFonts w:eastAsia="Times New Roman"/>
              </w:rPr>
            </w:pPr>
            <w:r w:rsidRPr="008F0C00">
              <w:rPr>
                <w:rFonts w:eastAsia="Times New Roman"/>
              </w:rPr>
              <w:t>10,000,000</w:t>
            </w:r>
          </w:p>
        </w:tc>
        <w:tc>
          <w:tcPr>
            <w:tcW w:w="0" w:type="dxa"/>
            <w:noWrap/>
          </w:tcPr>
          <w:p w14:paraId="6C95EA68" w14:textId="55EC53FE" w:rsidR="0094727B" w:rsidRPr="008F0C00" w:rsidRDefault="00275F21" w:rsidP="0020545F">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8F0C00">
              <w:rPr>
                <w:rFonts w:eastAsia="Times New Roman"/>
                <w:color w:val="000000"/>
              </w:rPr>
              <w:t>3.87</w:t>
            </w:r>
          </w:p>
        </w:tc>
        <w:tc>
          <w:tcPr>
            <w:tcW w:w="0" w:type="dxa"/>
            <w:noWrap/>
          </w:tcPr>
          <w:p w14:paraId="4E4E8C98" w14:textId="716034B2" w:rsidR="0094727B" w:rsidRPr="008F0C00" w:rsidRDefault="00F619A4" w:rsidP="0094727B">
            <w:pP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8F0C00">
              <w:rPr>
                <w:rFonts w:eastAsia="Times New Roman"/>
                <w:color w:val="000000"/>
              </w:rPr>
              <w:t>Bank</w:t>
            </w:r>
          </w:p>
        </w:tc>
      </w:tr>
      <w:tr w:rsidR="0020545F" w:rsidRPr="0020545F" w14:paraId="298D8312" w14:textId="77777777" w:rsidTr="008F0C00">
        <w:trPr>
          <w:cnfStyle w:val="000000100000" w:firstRow="0" w:lastRow="0" w:firstColumn="0" w:lastColumn="0" w:oddVBand="0" w:evenVBand="0" w:oddHBand="1"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0" w:type="dxa"/>
            <w:noWrap/>
            <w:hideMark/>
          </w:tcPr>
          <w:p w14:paraId="02C43433" w14:textId="77777777" w:rsidR="0020545F" w:rsidRPr="008F0C00" w:rsidRDefault="0020545F" w:rsidP="0020545F">
            <w:pPr>
              <w:jc w:val="center"/>
              <w:rPr>
                <w:rFonts w:eastAsia="Times New Roman"/>
              </w:rPr>
            </w:pPr>
            <w:r w:rsidRPr="008F0C00">
              <w:rPr>
                <w:rFonts w:eastAsia="Times New Roman"/>
              </w:rPr>
              <w:t>07-Jul-23</w:t>
            </w:r>
          </w:p>
        </w:tc>
        <w:tc>
          <w:tcPr>
            <w:tcW w:w="0" w:type="dxa"/>
            <w:noWrap/>
            <w:hideMark/>
          </w:tcPr>
          <w:p w14:paraId="3C134BAA" w14:textId="77777777" w:rsidR="0020545F" w:rsidRPr="008F0C00" w:rsidRDefault="0020545F" w:rsidP="0020545F">
            <w:pPr>
              <w:cnfStyle w:val="000000100000" w:firstRow="0" w:lastRow="0" w:firstColumn="0" w:lastColumn="0" w:oddVBand="0" w:evenVBand="0" w:oddHBand="1" w:evenHBand="0" w:firstRowFirstColumn="0" w:firstRowLastColumn="0" w:lastRowFirstColumn="0" w:lastRowLastColumn="0"/>
              <w:rPr>
                <w:rFonts w:eastAsia="Times New Roman"/>
              </w:rPr>
            </w:pPr>
            <w:r w:rsidRPr="008F0C00">
              <w:rPr>
                <w:rFonts w:eastAsia="Times New Roman"/>
              </w:rPr>
              <w:t>Dudley MBC</w:t>
            </w:r>
          </w:p>
        </w:tc>
        <w:tc>
          <w:tcPr>
            <w:tcW w:w="0" w:type="dxa"/>
            <w:noWrap/>
            <w:hideMark/>
          </w:tcPr>
          <w:p w14:paraId="4B4A8902" w14:textId="77777777" w:rsidR="0020545F" w:rsidRPr="008F0C00" w:rsidRDefault="0020545F" w:rsidP="0020545F">
            <w:pPr>
              <w:jc w:val="right"/>
              <w:cnfStyle w:val="000000100000" w:firstRow="0" w:lastRow="0" w:firstColumn="0" w:lastColumn="0" w:oddVBand="0" w:evenVBand="0" w:oddHBand="1" w:evenHBand="0" w:firstRowFirstColumn="0" w:firstRowLastColumn="0" w:lastRowFirstColumn="0" w:lastRowLastColumn="0"/>
              <w:rPr>
                <w:rFonts w:eastAsia="Times New Roman"/>
              </w:rPr>
            </w:pPr>
            <w:r w:rsidRPr="008F0C00">
              <w:rPr>
                <w:rFonts w:eastAsia="Times New Roman"/>
              </w:rPr>
              <w:t xml:space="preserve"> 10,000,000 </w:t>
            </w:r>
          </w:p>
        </w:tc>
        <w:tc>
          <w:tcPr>
            <w:tcW w:w="0" w:type="dxa"/>
            <w:noWrap/>
            <w:hideMark/>
          </w:tcPr>
          <w:p w14:paraId="0576F0D1" w14:textId="332A12C2" w:rsidR="0020545F" w:rsidRPr="008F0C00" w:rsidRDefault="0020545F" w:rsidP="0020545F">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8F0C00">
              <w:rPr>
                <w:rFonts w:eastAsia="Times New Roman"/>
                <w:color w:val="000000"/>
              </w:rPr>
              <w:t>1.70</w:t>
            </w:r>
          </w:p>
        </w:tc>
        <w:tc>
          <w:tcPr>
            <w:tcW w:w="0" w:type="dxa"/>
            <w:noWrap/>
            <w:hideMark/>
          </w:tcPr>
          <w:p w14:paraId="3F01224C" w14:textId="77777777" w:rsidR="0020545F" w:rsidRPr="008F0C00" w:rsidRDefault="0020545F" w:rsidP="0020545F">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8F0C00">
              <w:rPr>
                <w:rFonts w:eastAsia="Times New Roman"/>
                <w:color w:val="000000"/>
              </w:rPr>
              <w:t>Local Authority</w:t>
            </w:r>
          </w:p>
        </w:tc>
      </w:tr>
      <w:tr w:rsidR="0020545F" w:rsidRPr="0020545F" w14:paraId="5269F855" w14:textId="77777777" w:rsidTr="008F0C00">
        <w:trPr>
          <w:trHeight w:val="215"/>
        </w:trPr>
        <w:tc>
          <w:tcPr>
            <w:cnfStyle w:val="001000000000" w:firstRow="0" w:lastRow="0" w:firstColumn="1" w:lastColumn="0" w:oddVBand="0" w:evenVBand="0" w:oddHBand="0" w:evenHBand="0" w:firstRowFirstColumn="0" w:firstRowLastColumn="0" w:lastRowFirstColumn="0" w:lastRowLastColumn="0"/>
            <w:tcW w:w="0" w:type="dxa"/>
            <w:noWrap/>
            <w:hideMark/>
          </w:tcPr>
          <w:p w14:paraId="34EA0BA0" w14:textId="77777777" w:rsidR="0020545F" w:rsidRPr="008F0C00" w:rsidRDefault="0020545F" w:rsidP="0020545F">
            <w:pPr>
              <w:rPr>
                <w:rFonts w:eastAsia="Times New Roman"/>
                <w:color w:val="000000"/>
              </w:rPr>
            </w:pPr>
            <w:r w:rsidRPr="008F0C00">
              <w:rPr>
                <w:rFonts w:eastAsia="Times New Roman"/>
                <w:color w:val="000000"/>
              </w:rPr>
              <w:t> </w:t>
            </w:r>
          </w:p>
        </w:tc>
        <w:tc>
          <w:tcPr>
            <w:tcW w:w="0" w:type="dxa"/>
            <w:noWrap/>
            <w:hideMark/>
          </w:tcPr>
          <w:p w14:paraId="11CCDAE9" w14:textId="77777777" w:rsidR="0020545F" w:rsidRPr="008F0C00" w:rsidRDefault="0020545F" w:rsidP="0020545F">
            <w:pP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8F0C00">
              <w:rPr>
                <w:rFonts w:eastAsia="Times New Roman"/>
                <w:color w:val="000000"/>
              </w:rPr>
              <w:t> </w:t>
            </w:r>
          </w:p>
        </w:tc>
        <w:tc>
          <w:tcPr>
            <w:tcW w:w="0" w:type="dxa"/>
            <w:noWrap/>
            <w:hideMark/>
          </w:tcPr>
          <w:p w14:paraId="7AF6D1B1" w14:textId="77777777" w:rsidR="0020545F" w:rsidRPr="008F0C00" w:rsidRDefault="0020545F" w:rsidP="0020545F">
            <w:pP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8F0C00">
              <w:rPr>
                <w:rFonts w:eastAsia="Times New Roman"/>
                <w:color w:val="000000"/>
              </w:rPr>
              <w:t> </w:t>
            </w:r>
          </w:p>
        </w:tc>
        <w:tc>
          <w:tcPr>
            <w:tcW w:w="0" w:type="dxa"/>
            <w:noWrap/>
            <w:hideMark/>
          </w:tcPr>
          <w:p w14:paraId="69D76437" w14:textId="77777777" w:rsidR="0020545F" w:rsidRPr="008F0C00" w:rsidRDefault="0020545F" w:rsidP="0020545F">
            <w:pP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8F0C00">
              <w:rPr>
                <w:rFonts w:eastAsia="Times New Roman"/>
                <w:color w:val="000000"/>
              </w:rPr>
              <w:t> </w:t>
            </w:r>
          </w:p>
        </w:tc>
        <w:tc>
          <w:tcPr>
            <w:tcW w:w="0" w:type="dxa"/>
            <w:noWrap/>
            <w:hideMark/>
          </w:tcPr>
          <w:p w14:paraId="072C87FF" w14:textId="77777777" w:rsidR="0020545F" w:rsidRPr="008F0C00" w:rsidRDefault="0020545F" w:rsidP="0020545F">
            <w:pP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8F0C00">
              <w:rPr>
                <w:rFonts w:eastAsia="Times New Roman"/>
                <w:color w:val="000000"/>
              </w:rPr>
              <w:t> </w:t>
            </w:r>
          </w:p>
        </w:tc>
      </w:tr>
      <w:tr w:rsidR="00275F21" w:rsidRPr="0020545F" w14:paraId="59D8743C" w14:textId="77777777" w:rsidTr="008F0C00">
        <w:trPr>
          <w:cnfStyle w:val="000000100000" w:firstRow="0" w:lastRow="0" w:firstColumn="0" w:lastColumn="0" w:oddVBand="0" w:evenVBand="0" w:oddHBand="1"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0" w:type="dxa"/>
            <w:noWrap/>
          </w:tcPr>
          <w:p w14:paraId="38968510" w14:textId="3E28FB63" w:rsidR="00275F21" w:rsidRPr="008F0C00" w:rsidRDefault="00275F21" w:rsidP="00275F21">
            <w:pPr>
              <w:rPr>
                <w:rFonts w:eastAsia="Times New Roman"/>
                <w:color w:val="000000"/>
              </w:rPr>
            </w:pPr>
            <w:r w:rsidRPr="008F0C00">
              <w:rPr>
                <w:rFonts w:eastAsia="Times New Roman"/>
                <w:color w:val="000000"/>
              </w:rPr>
              <w:t>Instant</w:t>
            </w:r>
          </w:p>
        </w:tc>
        <w:tc>
          <w:tcPr>
            <w:tcW w:w="0" w:type="dxa"/>
            <w:noWrap/>
          </w:tcPr>
          <w:p w14:paraId="017B844B" w14:textId="1400FCDF" w:rsidR="00275F21" w:rsidRPr="008F0C00" w:rsidRDefault="00275F21" w:rsidP="00275F21">
            <w:pPr>
              <w:cnfStyle w:val="000000100000" w:firstRow="0" w:lastRow="0" w:firstColumn="0" w:lastColumn="0" w:oddVBand="0" w:evenVBand="0" w:oddHBand="1" w:evenHBand="0" w:firstRowFirstColumn="0" w:firstRowLastColumn="0" w:lastRowFirstColumn="0" w:lastRowLastColumn="0"/>
              <w:rPr>
                <w:rFonts w:eastAsia="Times New Roman"/>
              </w:rPr>
            </w:pPr>
            <w:r w:rsidRPr="008F0C00">
              <w:rPr>
                <w:rFonts w:eastAsia="Times New Roman"/>
              </w:rPr>
              <w:t>Money Market Fund CCLA</w:t>
            </w:r>
          </w:p>
        </w:tc>
        <w:tc>
          <w:tcPr>
            <w:tcW w:w="0" w:type="dxa"/>
            <w:noWrap/>
          </w:tcPr>
          <w:p w14:paraId="7A8EDDAD" w14:textId="6659C35E" w:rsidR="00275F21" w:rsidRPr="008F0C00" w:rsidRDefault="00275F21" w:rsidP="00275F21">
            <w:pPr>
              <w:jc w:val="right"/>
              <w:cnfStyle w:val="000000100000" w:firstRow="0" w:lastRow="0" w:firstColumn="0" w:lastColumn="0" w:oddVBand="0" w:evenVBand="0" w:oddHBand="1" w:evenHBand="0" w:firstRowFirstColumn="0" w:firstRowLastColumn="0" w:lastRowFirstColumn="0" w:lastRowLastColumn="0"/>
              <w:rPr>
                <w:rFonts w:eastAsia="Times New Roman"/>
                <w:b/>
                <w:bCs/>
              </w:rPr>
            </w:pPr>
            <w:r w:rsidRPr="008F0C00">
              <w:rPr>
                <w:rFonts w:eastAsia="Times New Roman"/>
                <w:b/>
                <w:bCs/>
              </w:rPr>
              <w:t>30,000,000</w:t>
            </w:r>
          </w:p>
        </w:tc>
        <w:tc>
          <w:tcPr>
            <w:tcW w:w="0" w:type="dxa"/>
            <w:noWrap/>
          </w:tcPr>
          <w:p w14:paraId="55DB2B09" w14:textId="1CA8CA70" w:rsidR="00275F21" w:rsidRPr="008F0C00" w:rsidRDefault="00275F21" w:rsidP="00275F21">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8F0C00">
              <w:rPr>
                <w:rFonts w:eastAsia="Times New Roman"/>
                <w:color w:val="000000"/>
              </w:rPr>
              <w:t>variable</w:t>
            </w:r>
          </w:p>
        </w:tc>
        <w:tc>
          <w:tcPr>
            <w:tcW w:w="0" w:type="dxa"/>
            <w:noWrap/>
          </w:tcPr>
          <w:p w14:paraId="540EE0F2" w14:textId="77777777" w:rsidR="00275F21" w:rsidRPr="008F0C00" w:rsidRDefault="00275F21" w:rsidP="00275F21">
            <w:pPr>
              <w:cnfStyle w:val="000000100000" w:firstRow="0" w:lastRow="0" w:firstColumn="0" w:lastColumn="0" w:oddVBand="0" w:evenVBand="0" w:oddHBand="1" w:evenHBand="0" w:firstRowFirstColumn="0" w:firstRowLastColumn="0" w:lastRowFirstColumn="0" w:lastRowLastColumn="0"/>
              <w:rPr>
                <w:rFonts w:eastAsia="Times New Roman"/>
                <w:color w:val="000000"/>
              </w:rPr>
            </w:pPr>
          </w:p>
        </w:tc>
      </w:tr>
      <w:tr w:rsidR="0020545F" w:rsidRPr="0020545F" w14:paraId="0952E188" w14:textId="77777777" w:rsidTr="008F0C00">
        <w:trPr>
          <w:trHeight w:val="215"/>
        </w:trPr>
        <w:tc>
          <w:tcPr>
            <w:cnfStyle w:val="001000000000" w:firstRow="0" w:lastRow="0" w:firstColumn="1" w:lastColumn="0" w:oddVBand="0" w:evenVBand="0" w:oddHBand="0" w:evenHBand="0" w:firstRowFirstColumn="0" w:firstRowLastColumn="0" w:lastRowFirstColumn="0" w:lastRowLastColumn="0"/>
            <w:tcW w:w="0" w:type="dxa"/>
            <w:noWrap/>
          </w:tcPr>
          <w:p w14:paraId="48D745D6" w14:textId="5241D7E3" w:rsidR="0020545F" w:rsidRPr="008F0C00" w:rsidRDefault="0020545F" w:rsidP="0020545F">
            <w:pPr>
              <w:rPr>
                <w:rFonts w:eastAsia="Times New Roman"/>
                <w:color w:val="000000"/>
              </w:rPr>
            </w:pPr>
            <w:r w:rsidRPr="008F0C00">
              <w:rPr>
                <w:rFonts w:eastAsia="Times New Roman"/>
                <w:color w:val="000000"/>
              </w:rPr>
              <w:t>Instant</w:t>
            </w:r>
          </w:p>
        </w:tc>
        <w:tc>
          <w:tcPr>
            <w:tcW w:w="0" w:type="dxa"/>
            <w:noWrap/>
          </w:tcPr>
          <w:p w14:paraId="059F06C6" w14:textId="4953CA7C" w:rsidR="0020545F" w:rsidRPr="008F0C00" w:rsidRDefault="0020545F" w:rsidP="0020545F">
            <w:pPr>
              <w:cnfStyle w:val="000000000000" w:firstRow="0" w:lastRow="0" w:firstColumn="0" w:lastColumn="0" w:oddVBand="0" w:evenVBand="0" w:oddHBand="0" w:evenHBand="0" w:firstRowFirstColumn="0" w:firstRowLastColumn="0" w:lastRowFirstColumn="0" w:lastRowLastColumn="0"/>
              <w:rPr>
                <w:rFonts w:eastAsia="Times New Roman"/>
              </w:rPr>
            </w:pPr>
            <w:r w:rsidRPr="008F0C00">
              <w:rPr>
                <w:rFonts w:eastAsia="Times New Roman"/>
              </w:rPr>
              <w:t xml:space="preserve">Money </w:t>
            </w:r>
            <w:r w:rsidR="00275F21" w:rsidRPr="008F0C00">
              <w:rPr>
                <w:rFonts w:eastAsia="Times New Roman"/>
              </w:rPr>
              <w:t>M</w:t>
            </w:r>
            <w:r w:rsidRPr="008F0C00">
              <w:rPr>
                <w:rFonts w:eastAsia="Times New Roman"/>
              </w:rPr>
              <w:t xml:space="preserve">arket Fund </w:t>
            </w:r>
            <w:r w:rsidR="00275F21" w:rsidRPr="008F0C00">
              <w:rPr>
                <w:rFonts w:eastAsia="Times New Roman"/>
              </w:rPr>
              <w:t>Federated</w:t>
            </w:r>
          </w:p>
        </w:tc>
        <w:tc>
          <w:tcPr>
            <w:tcW w:w="0" w:type="dxa"/>
            <w:noWrap/>
          </w:tcPr>
          <w:p w14:paraId="40D3A036" w14:textId="78A2B60F" w:rsidR="0020545F" w:rsidRPr="008F0C00" w:rsidRDefault="0020545F" w:rsidP="0020545F">
            <w:pPr>
              <w:jc w:val="right"/>
              <w:cnfStyle w:val="000000000000" w:firstRow="0" w:lastRow="0" w:firstColumn="0" w:lastColumn="0" w:oddVBand="0" w:evenVBand="0" w:oddHBand="0" w:evenHBand="0" w:firstRowFirstColumn="0" w:firstRowLastColumn="0" w:lastRowFirstColumn="0" w:lastRowLastColumn="0"/>
              <w:rPr>
                <w:rFonts w:eastAsia="Times New Roman"/>
                <w:b/>
                <w:bCs/>
              </w:rPr>
            </w:pPr>
            <w:r w:rsidRPr="008F0C00">
              <w:rPr>
                <w:rFonts w:eastAsia="Times New Roman"/>
                <w:b/>
                <w:bCs/>
              </w:rPr>
              <w:t>30,000,000</w:t>
            </w:r>
          </w:p>
        </w:tc>
        <w:tc>
          <w:tcPr>
            <w:tcW w:w="0" w:type="dxa"/>
            <w:noWrap/>
          </w:tcPr>
          <w:p w14:paraId="11B61FFF" w14:textId="0D5CB3C0" w:rsidR="0020545F" w:rsidRPr="008F0C00" w:rsidRDefault="0020545F" w:rsidP="0020545F">
            <w:pP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8F0C00">
              <w:rPr>
                <w:rFonts w:eastAsia="Times New Roman"/>
                <w:color w:val="000000"/>
              </w:rPr>
              <w:t>variable</w:t>
            </w:r>
          </w:p>
        </w:tc>
        <w:tc>
          <w:tcPr>
            <w:tcW w:w="0" w:type="dxa"/>
            <w:noWrap/>
          </w:tcPr>
          <w:p w14:paraId="12F62E17" w14:textId="665F1F59" w:rsidR="0020545F" w:rsidRPr="008F0C00" w:rsidRDefault="0020545F" w:rsidP="0020545F">
            <w:pPr>
              <w:cnfStyle w:val="000000000000" w:firstRow="0" w:lastRow="0" w:firstColumn="0" w:lastColumn="0" w:oddVBand="0" w:evenVBand="0" w:oddHBand="0" w:evenHBand="0" w:firstRowFirstColumn="0" w:firstRowLastColumn="0" w:lastRowFirstColumn="0" w:lastRowLastColumn="0"/>
              <w:rPr>
                <w:rFonts w:eastAsia="Times New Roman"/>
                <w:color w:val="000000"/>
              </w:rPr>
            </w:pPr>
          </w:p>
        </w:tc>
      </w:tr>
      <w:tr w:rsidR="0020545F" w:rsidRPr="0094727B" w14:paraId="169D9A2F" w14:textId="77777777" w:rsidTr="008F0C00">
        <w:trPr>
          <w:cnfStyle w:val="000000100000" w:firstRow="0" w:lastRow="0" w:firstColumn="0" w:lastColumn="0" w:oddVBand="0" w:evenVBand="0" w:oddHBand="1"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0" w:type="dxa"/>
            <w:noWrap/>
            <w:hideMark/>
          </w:tcPr>
          <w:p w14:paraId="1E67477B" w14:textId="77777777" w:rsidR="0020545F" w:rsidRPr="008F0C00" w:rsidRDefault="0020545F" w:rsidP="0020545F">
            <w:pPr>
              <w:rPr>
                <w:rFonts w:eastAsia="Times New Roman"/>
                <w:color w:val="000000"/>
              </w:rPr>
            </w:pPr>
            <w:r w:rsidRPr="008F0C00">
              <w:rPr>
                <w:rFonts w:eastAsia="Times New Roman"/>
                <w:color w:val="000000"/>
              </w:rPr>
              <w:t>5 to 10 years</w:t>
            </w:r>
          </w:p>
        </w:tc>
        <w:tc>
          <w:tcPr>
            <w:tcW w:w="0" w:type="dxa"/>
            <w:noWrap/>
            <w:hideMark/>
          </w:tcPr>
          <w:p w14:paraId="7B2DFD0A" w14:textId="77777777" w:rsidR="0020545F" w:rsidRPr="008F0C00" w:rsidRDefault="0020545F" w:rsidP="0020545F">
            <w:pPr>
              <w:cnfStyle w:val="000000100000" w:firstRow="0" w:lastRow="0" w:firstColumn="0" w:lastColumn="0" w:oddVBand="0" w:evenVBand="0" w:oddHBand="1" w:evenHBand="0" w:firstRowFirstColumn="0" w:firstRowLastColumn="0" w:lastRowFirstColumn="0" w:lastRowLastColumn="0"/>
              <w:rPr>
                <w:rFonts w:eastAsia="Times New Roman"/>
              </w:rPr>
            </w:pPr>
            <w:r w:rsidRPr="008F0C00">
              <w:rPr>
                <w:rFonts w:eastAsia="Times New Roman"/>
              </w:rPr>
              <w:t>CCLA</w:t>
            </w:r>
          </w:p>
        </w:tc>
        <w:tc>
          <w:tcPr>
            <w:tcW w:w="0" w:type="dxa"/>
            <w:noWrap/>
            <w:hideMark/>
          </w:tcPr>
          <w:p w14:paraId="2E517427" w14:textId="77777777" w:rsidR="0020545F" w:rsidRPr="008F0C00" w:rsidRDefault="0020545F" w:rsidP="0020545F">
            <w:pPr>
              <w:jc w:val="right"/>
              <w:cnfStyle w:val="000000100000" w:firstRow="0" w:lastRow="0" w:firstColumn="0" w:lastColumn="0" w:oddVBand="0" w:evenVBand="0" w:oddHBand="1" w:evenHBand="0" w:firstRowFirstColumn="0" w:firstRowLastColumn="0" w:lastRowFirstColumn="0" w:lastRowLastColumn="0"/>
              <w:rPr>
                <w:rFonts w:eastAsia="Times New Roman"/>
                <w:b/>
                <w:bCs/>
              </w:rPr>
            </w:pPr>
            <w:r w:rsidRPr="008F0C00">
              <w:rPr>
                <w:rFonts w:eastAsia="Times New Roman"/>
                <w:b/>
                <w:bCs/>
              </w:rPr>
              <w:t xml:space="preserve"> 5,000,000 </w:t>
            </w:r>
          </w:p>
        </w:tc>
        <w:tc>
          <w:tcPr>
            <w:tcW w:w="0" w:type="dxa"/>
            <w:noWrap/>
            <w:hideMark/>
          </w:tcPr>
          <w:p w14:paraId="05E1B80A" w14:textId="064DB5C7" w:rsidR="0020545F" w:rsidRPr="008F0C00" w:rsidRDefault="0020545F" w:rsidP="0020545F">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8F0C00">
              <w:rPr>
                <w:rFonts w:eastAsia="Times New Roman"/>
                <w:color w:val="000000"/>
              </w:rPr>
              <w:t> variable</w:t>
            </w:r>
          </w:p>
        </w:tc>
        <w:tc>
          <w:tcPr>
            <w:tcW w:w="0" w:type="dxa"/>
            <w:noWrap/>
            <w:hideMark/>
          </w:tcPr>
          <w:p w14:paraId="3F5E1021" w14:textId="77777777" w:rsidR="0020545F" w:rsidRPr="008F0C00" w:rsidRDefault="0020545F" w:rsidP="0020545F">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8F0C00">
              <w:rPr>
                <w:rFonts w:eastAsia="Times New Roman"/>
                <w:color w:val="000000"/>
              </w:rPr>
              <w:t>Property Fund</w:t>
            </w:r>
          </w:p>
        </w:tc>
      </w:tr>
    </w:tbl>
    <w:p w14:paraId="114C8D41" w14:textId="77777777" w:rsidR="00275F21" w:rsidRDefault="00275F21" w:rsidP="008F0C00">
      <w:pPr>
        <w:rPr>
          <w:b/>
        </w:rPr>
      </w:pPr>
    </w:p>
    <w:p w14:paraId="418E330D" w14:textId="1885548C" w:rsidR="00C26B8C" w:rsidRPr="0020545F" w:rsidRDefault="00263CBE" w:rsidP="008F0C00">
      <w:pPr>
        <w:jc w:val="right"/>
      </w:pPr>
      <w:r w:rsidRPr="0020545F">
        <w:rPr>
          <w:b/>
        </w:rPr>
        <w:t xml:space="preserve">Appendix E </w:t>
      </w:r>
    </w:p>
    <w:p w14:paraId="33326217" w14:textId="24DCB165" w:rsidR="00263CBE" w:rsidRPr="008F0C00" w:rsidRDefault="00263CBE" w:rsidP="001616A3">
      <w:pPr>
        <w:rPr>
          <w:b/>
          <w:sz w:val="24"/>
        </w:rPr>
      </w:pPr>
      <w:r w:rsidRPr="008F0C00">
        <w:rPr>
          <w:b/>
          <w:sz w:val="24"/>
        </w:rPr>
        <w:t xml:space="preserve">Loan maturity profile </w:t>
      </w:r>
    </w:p>
    <w:p w14:paraId="0F096F6B" w14:textId="07495EE1" w:rsidR="00263CBE" w:rsidRPr="0020545F" w:rsidRDefault="00263CBE" w:rsidP="001616A3"/>
    <w:tbl>
      <w:tblPr>
        <w:tblStyle w:val="GridTable4-Accent1"/>
        <w:tblW w:w="5375" w:type="dxa"/>
        <w:tblLook w:val="04A0" w:firstRow="1" w:lastRow="0" w:firstColumn="1" w:lastColumn="0" w:noHBand="0" w:noVBand="1"/>
      </w:tblPr>
      <w:tblGrid>
        <w:gridCol w:w="1344"/>
        <w:gridCol w:w="1469"/>
        <w:gridCol w:w="1031"/>
        <w:gridCol w:w="1531"/>
      </w:tblGrid>
      <w:tr w:rsidR="00C26B8C" w:rsidRPr="0020545F" w14:paraId="04C9265E" w14:textId="77777777" w:rsidTr="008F0C00">
        <w:trPr>
          <w:cnfStyle w:val="100000000000" w:firstRow="1" w:lastRow="0" w:firstColumn="0" w:lastColumn="0" w:oddVBand="0" w:evenVBand="0" w:oddHBand="0" w:evenHBand="0" w:firstRowFirstColumn="0" w:firstRowLastColumn="0" w:lastRowFirstColumn="0" w:lastRowLastColumn="0"/>
          <w:trHeight w:val="640"/>
        </w:trPr>
        <w:tc>
          <w:tcPr>
            <w:cnfStyle w:val="001000000000" w:firstRow="0" w:lastRow="0" w:firstColumn="1" w:lastColumn="0" w:oddVBand="0" w:evenVBand="0" w:oddHBand="0" w:evenHBand="0" w:firstRowFirstColumn="0" w:firstRowLastColumn="0" w:lastRowFirstColumn="0" w:lastRowLastColumn="0"/>
            <w:tcW w:w="0" w:type="dxa"/>
            <w:hideMark/>
          </w:tcPr>
          <w:p w14:paraId="5916B02E" w14:textId="77777777" w:rsidR="00C26B8C" w:rsidRPr="008F0C00" w:rsidRDefault="00C26B8C" w:rsidP="00C26B8C">
            <w:pPr>
              <w:jc w:val="center"/>
              <w:rPr>
                <w:rFonts w:eastAsia="Times New Roman"/>
                <w:bCs w:val="0"/>
                <w:color w:val="000000"/>
              </w:rPr>
            </w:pPr>
            <w:r w:rsidRPr="008F0C00">
              <w:rPr>
                <w:rFonts w:eastAsia="Times New Roman"/>
                <w:color w:val="000000"/>
              </w:rPr>
              <w:t>Maturity Date</w:t>
            </w:r>
          </w:p>
        </w:tc>
        <w:tc>
          <w:tcPr>
            <w:tcW w:w="0" w:type="dxa"/>
            <w:noWrap/>
            <w:hideMark/>
          </w:tcPr>
          <w:p w14:paraId="5671C9E6" w14:textId="77777777" w:rsidR="00C26B8C" w:rsidRPr="008F0C00" w:rsidRDefault="00C26B8C" w:rsidP="00C26B8C">
            <w:pPr>
              <w:jc w:val="center"/>
              <w:cnfStyle w:val="100000000000" w:firstRow="1" w:lastRow="0" w:firstColumn="0" w:lastColumn="0" w:oddVBand="0" w:evenVBand="0" w:oddHBand="0" w:evenHBand="0" w:firstRowFirstColumn="0" w:firstRowLastColumn="0" w:lastRowFirstColumn="0" w:lastRowLastColumn="0"/>
              <w:rPr>
                <w:rFonts w:eastAsia="Times New Roman"/>
                <w:bCs w:val="0"/>
                <w:color w:val="000000"/>
              </w:rPr>
            </w:pPr>
            <w:r w:rsidRPr="008F0C00">
              <w:rPr>
                <w:rFonts w:eastAsia="Times New Roman"/>
                <w:color w:val="000000"/>
              </w:rPr>
              <w:t>Loan amount</w:t>
            </w:r>
          </w:p>
        </w:tc>
        <w:tc>
          <w:tcPr>
            <w:tcW w:w="0" w:type="dxa"/>
            <w:noWrap/>
            <w:hideMark/>
          </w:tcPr>
          <w:p w14:paraId="665B59B0" w14:textId="77777777" w:rsidR="00C26B8C" w:rsidRPr="008F0C00" w:rsidRDefault="00C26B8C" w:rsidP="00C26B8C">
            <w:pPr>
              <w:jc w:val="center"/>
              <w:cnfStyle w:val="100000000000" w:firstRow="1" w:lastRow="0" w:firstColumn="0" w:lastColumn="0" w:oddVBand="0" w:evenVBand="0" w:oddHBand="0" w:evenHBand="0" w:firstRowFirstColumn="0" w:firstRowLastColumn="0" w:lastRowFirstColumn="0" w:lastRowLastColumn="0"/>
              <w:rPr>
                <w:rFonts w:eastAsia="Times New Roman"/>
                <w:bCs w:val="0"/>
                <w:color w:val="000000"/>
              </w:rPr>
            </w:pPr>
            <w:r w:rsidRPr="008F0C00">
              <w:rPr>
                <w:rFonts w:eastAsia="Times New Roman"/>
                <w:color w:val="000000"/>
              </w:rPr>
              <w:t>Interest rate</w:t>
            </w:r>
          </w:p>
        </w:tc>
        <w:tc>
          <w:tcPr>
            <w:tcW w:w="0" w:type="dxa"/>
            <w:hideMark/>
          </w:tcPr>
          <w:p w14:paraId="598CACAC" w14:textId="77777777" w:rsidR="00C26B8C" w:rsidRPr="008F0C00" w:rsidRDefault="00C26B8C" w:rsidP="00C26B8C">
            <w:pPr>
              <w:jc w:val="right"/>
              <w:cnfStyle w:val="100000000000" w:firstRow="1" w:lastRow="0" w:firstColumn="0" w:lastColumn="0" w:oddVBand="0" w:evenVBand="0" w:oddHBand="0" w:evenHBand="0" w:firstRowFirstColumn="0" w:firstRowLastColumn="0" w:lastRowFirstColumn="0" w:lastRowLastColumn="0"/>
              <w:rPr>
                <w:rFonts w:eastAsia="Times New Roman"/>
                <w:bCs w:val="0"/>
                <w:color w:val="000000"/>
              </w:rPr>
            </w:pPr>
            <w:r w:rsidRPr="008F0C00">
              <w:rPr>
                <w:rFonts w:eastAsia="Times New Roman"/>
                <w:color w:val="000000"/>
              </w:rPr>
              <w:t>Annual int. payable</w:t>
            </w:r>
          </w:p>
        </w:tc>
      </w:tr>
      <w:tr w:rsidR="00C26B8C" w:rsidRPr="0020545F" w14:paraId="20D4DA74" w14:textId="77777777" w:rsidTr="008F0C00">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0" w:type="dxa"/>
            <w:noWrap/>
            <w:hideMark/>
          </w:tcPr>
          <w:p w14:paraId="3E333123" w14:textId="77777777" w:rsidR="00C26B8C" w:rsidRPr="008F0C00" w:rsidRDefault="00C26B8C" w:rsidP="00C26B8C">
            <w:pPr>
              <w:jc w:val="right"/>
              <w:rPr>
                <w:rFonts w:eastAsia="Times New Roman"/>
                <w:color w:val="000000"/>
              </w:rPr>
            </w:pPr>
            <w:r w:rsidRPr="008F0C00">
              <w:rPr>
                <w:rFonts w:eastAsia="Times New Roman"/>
                <w:color w:val="000000"/>
              </w:rPr>
              <w:t>15/10/2023</w:t>
            </w:r>
          </w:p>
        </w:tc>
        <w:tc>
          <w:tcPr>
            <w:tcW w:w="0" w:type="dxa"/>
            <w:noWrap/>
            <w:hideMark/>
          </w:tcPr>
          <w:p w14:paraId="4CF0F284" w14:textId="77777777" w:rsidR="00C26B8C" w:rsidRPr="008F0C00" w:rsidRDefault="00C26B8C" w:rsidP="00C26B8C">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8F0C00">
              <w:rPr>
                <w:rFonts w:eastAsia="Times New Roman"/>
                <w:color w:val="000000"/>
              </w:rPr>
              <w:t xml:space="preserve"> 800,000 </w:t>
            </w:r>
          </w:p>
        </w:tc>
        <w:tc>
          <w:tcPr>
            <w:tcW w:w="0" w:type="dxa"/>
            <w:noWrap/>
            <w:hideMark/>
          </w:tcPr>
          <w:p w14:paraId="529493E2" w14:textId="77777777" w:rsidR="00C26B8C" w:rsidRPr="008F0C00" w:rsidRDefault="00C26B8C" w:rsidP="00C26B8C">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8F0C00">
              <w:rPr>
                <w:rFonts w:eastAsia="Times New Roman"/>
                <w:color w:val="000000"/>
              </w:rPr>
              <w:t>6.625%</w:t>
            </w:r>
          </w:p>
        </w:tc>
        <w:tc>
          <w:tcPr>
            <w:tcW w:w="0" w:type="dxa"/>
            <w:noWrap/>
            <w:hideMark/>
          </w:tcPr>
          <w:p w14:paraId="28FA2E74" w14:textId="77777777" w:rsidR="00C26B8C" w:rsidRPr="008F0C00" w:rsidRDefault="00C26B8C" w:rsidP="00C26B8C">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8F0C00">
              <w:rPr>
                <w:rFonts w:eastAsia="Times New Roman"/>
                <w:color w:val="000000"/>
              </w:rPr>
              <w:t>53,000.00</w:t>
            </w:r>
          </w:p>
        </w:tc>
      </w:tr>
      <w:tr w:rsidR="00C26B8C" w:rsidRPr="0020545F" w14:paraId="0A6054C1" w14:textId="77777777" w:rsidTr="008F0C00">
        <w:trPr>
          <w:trHeight w:val="290"/>
        </w:trPr>
        <w:tc>
          <w:tcPr>
            <w:cnfStyle w:val="001000000000" w:firstRow="0" w:lastRow="0" w:firstColumn="1" w:lastColumn="0" w:oddVBand="0" w:evenVBand="0" w:oddHBand="0" w:evenHBand="0" w:firstRowFirstColumn="0" w:firstRowLastColumn="0" w:lastRowFirstColumn="0" w:lastRowLastColumn="0"/>
            <w:tcW w:w="0" w:type="dxa"/>
            <w:noWrap/>
            <w:hideMark/>
          </w:tcPr>
          <w:p w14:paraId="20CD6477" w14:textId="77777777" w:rsidR="00C26B8C" w:rsidRPr="008F0C00" w:rsidRDefault="00C26B8C" w:rsidP="00C26B8C">
            <w:pPr>
              <w:jc w:val="right"/>
              <w:rPr>
                <w:rFonts w:eastAsia="Times New Roman"/>
                <w:color w:val="000000"/>
              </w:rPr>
            </w:pPr>
            <w:r w:rsidRPr="008F0C00">
              <w:rPr>
                <w:rFonts w:eastAsia="Times New Roman"/>
                <w:color w:val="000000"/>
              </w:rPr>
              <w:t>15/10/2024</w:t>
            </w:r>
          </w:p>
        </w:tc>
        <w:tc>
          <w:tcPr>
            <w:tcW w:w="0" w:type="dxa"/>
            <w:noWrap/>
            <w:hideMark/>
          </w:tcPr>
          <w:p w14:paraId="0293F849" w14:textId="77777777" w:rsidR="00C26B8C" w:rsidRPr="008F0C00" w:rsidRDefault="00C26B8C" w:rsidP="00C26B8C">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8F0C00">
              <w:rPr>
                <w:rFonts w:eastAsia="Times New Roman"/>
                <w:color w:val="000000"/>
              </w:rPr>
              <w:t xml:space="preserve"> 2,200,000 </w:t>
            </w:r>
          </w:p>
        </w:tc>
        <w:tc>
          <w:tcPr>
            <w:tcW w:w="0" w:type="dxa"/>
            <w:noWrap/>
            <w:hideMark/>
          </w:tcPr>
          <w:p w14:paraId="01A8ADD7" w14:textId="77777777" w:rsidR="00C26B8C" w:rsidRPr="008F0C00" w:rsidRDefault="00C26B8C" w:rsidP="00C26B8C">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8F0C00">
              <w:rPr>
                <w:rFonts w:eastAsia="Times New Roman"/>
                <w:color w:val="000000"/>
              </w:rPr>
              <w:t>6.625%</w:t>
            </w:r>
          </w:p>
        </w:tc>
        <w:tc>
          <w:tcPr>
            <w:tcW w:w="0" w:type="dxa"/>
            <w:noWrap/>
            <w:hideMark/>
          </w:tcPr>
          <w:p w14:paraId="3F21AFC1" w14:textId="77777777" w:rsidR="00C26B8C" w:rsidRPr="008F0C00" w:rsidRDefault="00C26B8C" w:rsidP="00C26B8C">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8F0C00">
              <w:rPr>
                <w:rFonts w:eastAsia="Times New Roman"/>
                <w:color w:val="000000"/>
              </w:rPr>
              <w:t>145,750.00</w:t>
            </w:r>
          </w:p>
        </w:tc>
      </w:tr>
      <w:tr w:rsidR="00C26B8C" w:rsidRPr="0020545F" w14:paraId="7175981D" w14:textId="77777777" w:rsidTr="008F0C00">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0" w:type="dxa"/>
            <w:noWrap/>
            <w:hideMark/>
          </w:tcPr>
          <w:p w14:paraId="2CA02816" w14:textId="77777777" w:rsidR="00C26B8C" w:rsidRPr="008F0C00" w:rsidRDefault="00C26B8C" w:rsidP="00C26B8C">
            <w:pPr>
              <w:jc w:val="right"/>
              <w:rPr>
                <w:rFonts w:eastAsia="Times New Roman"/>
                <w:color w:val="000000"/>
              </w:rPr>
            </w:pPr>
            <w:r w:rsidRPr="008F0C00">
              <w:rPr>
                <w:rFonts w:eastAsia="Times New Roman"/>
                <w:color w:val="000000"/>
              </w:rPr>
              <w:t>15/10/2025</w:t>
            </w:r>
          </w:p>
        </w:tc>
        <w:tc>
          <w:tcPr>
            <w:tcW w:w="0" w:type="dxa"/>
            <w:noWrap/>
            <w:hideMark/>
          </w:tcPr>
          <w:p w14:paraId="172EA1C5" w14:textId="77777777" w:rsidR="00C26B8C" w:rsidRPr="008F0C00" w:rsidRDefault="00C26B8C" w:rsidP="00C26B8C">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8F0C00">
              <w:rPr>
                <w:rFonts w:eastAsia="Times New Roman"/>
                <w:color w:val="000000"/>
              </w:rPr>
              <w:t xml:space="preserve"> 2,000,000 </w:t>
            </w:r>
          </w:p>
        </w:tc>
        <w:tc>
          <w:tcPr>
            <w:tcW w:w="0" w:type="dxa"/>
            <w:noWrap/>
            <w:hideMark/>
          </w:tcPr>
          <w:p w14:paraId="7300CADF" w14:textId="77777777" w:rsidR="00C26B8C" w:rsidRPr="008F0C00" w:rsidRDefault="00C26B8C" w:rsidP="00C26B8C">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8F0C00">
              <w:rPr>
                <w:rFonts w:eastAsia="Times New Roman"/>
                <w:color w:val="000000"/>
              </w:rPr>
              <w:t>6.625%</w:t>
            </w:r>
          </w:p>
        </w:tc>
        <w:tc>
          <w:tcPr>
            <w:tcW w:w="0" w:type="dxa"/>
            <w:noWrap/>
            <w:hideMark/>
          </w:tcPr>
          <w:p w14:paraId="0073B1B8" w14:textId="77777777" w:rsidR="00C26B8C" w:rsidRPr="008F0C00" w:rsidRDefault="00C26B8C" w:rsidP="00C26B8C">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8F0C00">
              <w:rPr>
                <w:rFonts w:eastAsia="Times New Roman"/>
                <w:color w:val="000000"/>
              </w:rPr>
              <w:t>132,500.00</w:t>
            </w:r>
          </w:p>
        </w:tc>
      </w:tr>
      <w:tr w:rsidR="00A82D7E" w:rsidRPr="0020545F" w14:paraId="40933AA8" w14:textId="77777777" w:rsidTr="008F0C00">
        <w:trPr>
          <w:trHeight w:val="290"/>
        </w:trPr>
        <w:tc>
          <w:tcPr>
            <w:cnfStyle w:val="001000000000" w:firstRow="0" w:lastRow="0" w:firstColumn="1" w:lastColumn="0" w:oddVBand="0" w:evenVBand="0" w:oddHBand="0" w:evenHBand="0" w:firstRowFirstColumn="0" w:firstRowLastColumn="0" w:lastRowFirstColumn="0" w:lastRowLastColumn="0"/>
            <w:tcW w:w="0" w:type="dxa"/>
            <w:noWrap/>
          </w:tcPr>
          <w:p w14:paraId="51501B33" w14:textId="0E5F8457" w:rsidR="00A82D7E" w:rsidRPr="008F0C00" w:rsidRDefault="00A82D7E" w:rsidP="00C26B8C">
            <w:pPr>
              <w:jc w:val="right"/>
              <w:rPr>
                <w:rFonts w:eastAsia="Times New Roman"/>
                <w:color w:val="000000"/>
              </w:rPr>
            </w:pPr>
            <w:r w:rsidRPr="008F0C00">
              <w:rPr>
                <w:rFonts w:eastAsia="Times New Roman"/>
                <w:color w:val="000000"/>
              </w:rPr>
              <w:t>30/11/2027</w:t>
            </w:r>
          </w:p>
        </w:tc>
        <w:tc>
          <w:tcPr>
            <w:tcW w:w="0" w:type="dxa"/>
            <w:noWrap/>
          </w:tcPr>
          <w:p w14:paraId="093063A0" w14:textId="707F413D" w:rsidR="00A82D7E" w:rsidRPr="008F0C00" w:rsidRDefault="00A82D7E" w:rsidP="00C26B8C">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8F0C00">
              <w:rPr>
                <w:rFonts w:eastAsia="Times New Roman"/>
                <w:color w:val="000000"/>
              </w:rPr>
              <w:t>7,000,000</w:t>
            </w:r>
          </w:p>
        </w:tc>
        <w:tc>
          <w:tcPr>
            <w:tcW w:w="0" w:type="dxa"/>
            <w:noWrap/>
          </w:tcPr>
          <w:p w14:paraId="206A9A6A" w14:textId="367270A9" w:rsidR="00A82D7E" w:rsidRPr="008F0C00" w:rsidRDefault="00A82D7E" w:rsidP="00C26B8C">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8F0C00">
              <w:rPr>
                <w:rFonts w:eastAsia="Times New Roman"/>
                <w:color w:val="000000"/>
              </w:rPr>
              <w:t>3.990%</w:t>
            </w:r>
          </w:p>
        </w:tc>
        <w:tc>
          <w:tcPr>
            <w:tcW w:w="0" w:type="dxa"/>
            <w:noWrap/>
          </w:tcPr>
          <w:p w14:paraId="34B28B35" w14:textId="3A7EBBF3" w:rsidR="00A82D7E" w:rsidRPr="008F0C00" w:rsidRDefault="00A82D7E" w:rsidP="00C26B8C">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8F0C00">
              <w:rPr>
                <w:rFonts w:eastAsia="Times New Roman"/>
                <w:color w:val="000000"/>
              </w:rPr>
              <w:t>279,300.00</w:t>
            </w:r>
          </w:p>
        </w:tc>
      </w:tr>
      <w:tr w:rsidR="00C26B8C" w:rsidRPr="0020545F" w14:paraId="489A8929" w14:textId="77777777" w:rsidTr="008F0C00">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0" w:type="dxa"/>
            <w:noWrap/>
            <w:hideMark/>
          </w:tcPr>
          <w:p w14:paraId="47597A2F" w14:textId="77777777" w:rsidR="00C26B8C" w:rsidRPr="008F0C00" w:rsidRDefault="00C26B8C" w:rsidP="00C26B8C">
            <w:pPr>
              <w:jc w:val="right"/>
              <w:rPr>
                <w:rFonts w:eastAsia="Times New Roman"/>
                <w:color w:val="000000"/>
              </w:rPr>
            </w:pPr>
            <w:r w:rsidRPr="008F0C00">
              <w:rPr>
                <w:rFonts w:eastAsia="Times New Roman"/>
                <w:color w:val="000000"/>
              </w:rPr>
              <w:t>23/01/2051</w:t>
            </w:r>
          </w:p>
        </w:tc>
        <w:tc>
          <w:tcPr>
            <w:tcW w:w="0" w:type="dxa"/>
            <w:noWrap/>
            <w:hideMark/>
          </w:tcPr>
          <w:p w14:paraId="4EB146CC" w14:textId="77777777" w:rsidR="00C26B8C" w:rsidRPr="008F0C00" w:rsidRDefault="00C26B8C" w:rsidP="00C26B8C">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8F0C00">
              <w:rPr>
                <w:rFonts w:eastAsia="Times New Roman"/>
                <w:color w:val="000000"/>
              </w:rPr>
              <w:t xml:space="preserve"> 15,000,000 </w:t>
            </w:r>
          </w:p>
        </w:tc>
        <w:tc>
          <w:tcPr>
            <w:tcW w:w="0" w:type="dxa"/>
            <w:noWrap/>
            <w:hideMark/>
          </w:tcPr>
          <w:p w14:paraId="01F5E544" w14:textId="77777777" w:rsidR="00C26B8C" w:rsidRPr="008F0C00" w:rsidRDefault="00C26B8C" w:rsidP="00C26B8C">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8F0C00">
              <w:rPr>
                <w:rFonts w:eastAsia="Times New Roman"/>
                <w:color w:val="000000"/>
              </w:rPr>
              <w:t>3.700%</w:t>
            </w:r>
          </w:p>
        </w:tc>
        <w:tc>
          <w:tcPr>
            <w:tcW w:w="0" w:type="dxa"/>
            <w:noWrap/>
            <w:hideMark/>
          </w:tcPr>
          <w:p w14:paraId="51691D6C" w14:textId="77777777" w:rsidR="00C26B8C" w:rsidRPr="008F0C00" w:rsidRDefault="00C26B8C" w:rsidP="00C26B8C">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8F0C00">
              <w:rPr>
                <w:rFonts w:eastAsia="Times New Roman"/>
                <w:color w:val="000000"/>
              </w:rPr>
              <w:t>555,000.00</w:t>
            </w:r>
          </w:p>
        </w:tc>
      </w:tr>
      <w:tr w:rsidR="00C26B8C" w:rsidRPr="0020545F" w14:paraId="6D44BAE6" w14:textId="77777777" w:rsidTr="008F0C00">
        <w:trPr>
          <w:trHeight w:val="290"/>
        </w:trPr>
        <w:tc>
          <w:tcPr>
            <w:cnfStyle w:val="001000000000" w:firstRow="0" w:lastRow="0" w:firstColumn="1" w:lastColumn="0" w:oddVBand="0" w:evenVBand="0" w:oddHBand="0" w:evenHBand="0" w:firstRowFirstColumn="0" w:firstRowLastColumn="0" w:lastRowFirstColumn="0" w:lastRowLastColumn="0"/>
            <w:tcW w:w="0" w:type="dxa"/>
            <w:noWrap/>
            <w:hideMark/>
          </w:tcPr>
          <w:p w14:paraId="6B8CBAF7" w14:textId="77777777" w:rsidR="00C26B8C" w:rsidRPr="008F0C00" w:rsidRDefault="00C26B8C" w:rsidP="00C26B8C">
            <w:pPr>
              <w:jc w:val="right"/>
              <w:rPr>
                <w:rFonts w:eastAsia="Times New Roman"/>
                <w:color w:val="000000"/>
              </w:rPr>
            </w:pPr>
            <w:r w:rsidRPr="008F0C00">
              <w:rPr>
                <w:rFonts w:eastAsia="Times New Roman"/>
                <w:color w:val="000000"/>
              </w:rPr>
              <w:t>15/06/2056</w:t>
            </w:r>
          </w:p>
        </w:tc>
        <w:tc>
          <w:tcPr>
            <w:tcW w:w="0" w:type="dxa"/>
            <w:noWrap/>
            <w:hideMark/>
          </w:tcPr>
          <w:p w14:paraId="10ED841A" w14:textId="77777777" w:rsidR="00C26B8C" w:rsidRPr="008F0C00" w:rsidRDefault="00C26B8C" w:rsidP="00C26B8C">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8F0C00">
              <w:rPr>
                <w:rFonts w:eastAsia="Times New Roman"/>
                <w:color w:val="000000"/>
              </w:rPr>
              <w:t xml:space="preserve"> 5,587,000 </w:t>
            </w:r>
          </w:p>
        </w:tc>
        <w:tc>
          <w:tcPr>
            <w:tcW w:w="0" w:type="dxa"/>
            <w:noWrap/>
            <w:hideMark/>
          </w:tcPr>
          <w:p w14:paraId="02F1A25B" w14:textId="77777777" w:rsidR="00C26B8C" w:rsidRPr="008F0C00" w:rsidRDefault="00C26B8C" w:rsidP="00C26B8C">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8F0C00">
              <w:rPr>
                <w:rFonts w:eastAsia="Times New Roman"/>
                <w:color w:val="000000"/>
              </w:rPr>
              <w:t>4.450%</w:t>
            </w:r>
          </w:p>
        </w:tc>
        <w:tc>
          <w:tcPr>
            <w:tcW w:w="0" w:type="dxa"/>
            <w:noWrap/>
            <w:hideMark/>
          </w:tcPr>
          <w:p w14:paraId="0AEE266C" w14:textId="77777777" w:rsidR="00C26B8C" w:rsidRPr="008F0C00" w:rsidRDefault="00C26B8C" w:rsidP="00C26B8C">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8F0C00">
              <w:rPr>
                <w:rFonts w:eastAsia="Times New Roman"/>
                <w:color w:val="000000"/>
              </w:rPr>
              <w:t>248,621.50</w:t>
            </w:r>
          </w:p>
        </w:tc>
      </w:tr>
      <w:tr w:rsidR="00C26B8C" w:rsidRPr="0020545F" w14:paraId="65966A79" w14:textId="77777777" w:rsidTr="008F0C00">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0" w:type="dxa"/>
            <w:noWrap/>
            <w:hideMark/>
          </w:tcPr>
          <w:p w14:paraId="00C30D33" w14:textId="77777777" w:rsidR="00C26B8C" w:rsidRPr="008F0C00" w:rsidRDefault="00C26B8C" w:rsidP="00C26B8C">
            <w:pPr>
              <w:jc w:val="right"/>
              <w:rPr>
                <w:rFonts w:eastAsia="Times New Roman"/>
                <w:color w:val="000000"/>
              </w:rPr>
            </w:pPr>
            <w:r w:rsidRPr="008F0C00">
              <w:rPr>
                <w:rFonts w:eastAsia="Times New Roman"/>
                <w:color w:val="000000"/>
              </w:rPr>
              <w:t>01/03/2057</w:t>
            </w:r>
          </w:p>
        </w:tc>
        <w:tc>
          <w:tcPr>
            <w:tcW w:w="0" w:type="dxa"/>
            <w:noWrap/>
            <w:hideMark/>
          </w:tcPr>
          <w:p w14:paraId="55DE0743" w14:textId="77777777" w:rsidR="00C26B8C" w:rsidRPr="008F0C00" w:rsidRDefault="00C26B8C" w:rsidP="00C26B8C">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8F0C00">
              <w:rPr>
                <w:rFonts w:eastAsia="Times New Roman"/>
                <w:color w:val="000000"/>
              </w:rPr>
              <w:t xml:space="preserve"> 8,200,000 </w:t>
            </w:r>
          </w:p>
        </w:tc>
        <w:tc>
          <w:tcPr>
            <w:tcW w:w="0" w:type="dxa"/>
            <w:noWrap/>
            <w:hideMark/>
          </w:tcPr>
          <w:p w14:paraId="41C975D9" w14:textId="77777777" w:rsidR="00C26B8C" w:rsidRPr="008F0C00" w:rsidRDefault="00C26B8C" w:rsidP="00C26B8C">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8F0C00">
              <w:rPr>
                <w:rFonts w:eastAsia="Times New Roman"/>
                <w:color w:val="000000"/>
              </w:rPr>
              <w:t>4.350%</w:t>
            </w:r>
          </w:p>
        </w:tc>
        <w:tc>
          <w:tcPr>
            <w:tcW w:w="0" w:type="dxa"/>
            <w:noWrap/>
            <w:hideMark/>
          </w:tcPr>
          <w:p w14:paraId="68BAE956" w14:textId="77777777" w:rsidR="00C26B8C" w:rsidRPr="008F0C00" w:rsidRDefault="00C26B8C" w:rsidP="00C26B8C">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8F0C00">
              <w:rPr>
                <w:rFonts w:eastAsia="Times New Roman"/>
                <w:color w:val="000000"/>
              </w:rPr>
              <w:t>356,700.00</w:t>
            </w:r>
          </w:p>
        </w:tc>
      </w:tr>
      <w:tr w:rsidR="00C26B8C" w:rsidRPr="0020545F" w14:paraId="059F73F9" w14:textId="77777777" w:rsidTr="008F0C00">
        <w:trPr>
          <w:trHeight w:val="290"/>
        </w:trPr>
        <w:tc>
          <w:tcPr>
            <w:cnfStyle w:val="001000000000" w:firstRow="0" w:lastRow="0" w:firstColumn="1" w:lastColumn="0" w:oddVBand="0" w:evenVBand="0" w:oddHBand="0" w:evenHBand="0" w:firstRowFirstColumn="0" w:firstRowLastColumn="0" w:lastRowFirstColumn="0" w:lastRowLastColumn="0"/>
            <w:tcW w:w="0" w:type="dxa"/>
            <w:noWrap/>
            <w:hideMark/>
          </w:tcPr>
          <w:p w14:paraId="567F82D1" w14:textId="77777777" w:rsidR="00C26B8C" w:rsidRPr="008F0C00" w:rsidRDefault="00C26B8C" w:rsidP="00C26B8C">
            <w:pPr>
              <w:jc w:val="right"/>
              <w:rPr>
                <w:rFonts w:eastAsia="Times New Roman"/>
                <w:color w:val="000000"/>
              </w:rPr>
            </w:pPr>
            <w:r w:rsidRPr="008F0C00">
              <w:rPr>
                <w:rFonts w:eastAsia="Times New Roman"/>
                <w:color w:val="000000"/>
              </w:rPr>
              <w:t>15/08/2058</w:t>
            </w:r>
          </w:p>
        </w:tc>
        <w:tc>
          <w:tcPr>
            <w:tcW w:w="0" w:type="dxa"/>
            <w:noWrap/>
            <w:hideMark/>
          </w:tcPr>
          <w:p w14:paraId="74CA641D" w14:textId="77777777" w:rsidR="00C26B8C" w:rsidRPr="008F0C00" w:rsidRDefault="00C26B8C" w:rsidP="00C26B8C">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8F0C00">
              <w:rPr>
                <w:rFonts w:eastAsia="Times New Roman"/>
                <w:color w:val="000000"/>
              </w:rPr>
              <w:t xml:space="preserve"> 5,000,000 </w:t>
            </w:r>
          </w:p>
        </w:tc>
        <w:tc>
          <w:tcPr>
            <w:tcW w:w="0" w:type="dxa"/>
            <w:noWrap/>
            <w:hideMark/>
          </w:tcPr>
          <w:p w14:paraId="136FA4B9" w14:textId="77777777" w:rsidR="00C26B8C" w:rsidRPr="008F0C00" w:rsidRDefault="00C26B8C" w:rsidP="00C26B8C">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8F0C00">
              <w:rPr>
                <w:rFonts w:eastAsia="Times New Roman"/>
                <w:color w:val="000000"/>
              </w:rPr>
              <w:t>4.390%</w:t>
            </w:r>
          </w:p>
        </w:tc>
        <w:tc>
          <w:tcPr>
            <w:tcW w:w="0" w:type="dxa"/>
            <w:noWrap/>
            <w:hideMark/>
          </w:tcPr>
          <w:p w14:paraId="3D0F0E2C" w14:textId="77777777" w:rsidR="00C26B8C" w:rsidRPr="008F0C00" w:rsidRDefault="00C26B8C" w:rsidP="00C26B8C">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8F0C00">
              <w:rPr>
                <w:rFonts w:eastAsia="Times New Roman"/>
                <w:color w:val="000000"/>
              </w:rPr>
              <w:t>219,500.00</w:t>
            </w:r>
          </w:p>
        </w:tc>
      </w:tr>
      <w:tr w:rsidR="00C26B8C" w:rsidRPr="0020545F" w14:paraId="2C5A6524" w14:textId="77777777" w:rsidTr="008F0C00">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0" w:type="dxa"/>
            <w:noWrap/>
            <w:hideMark/>
          </w:tcPr>
          <w:p w14:paraId="5130BD98" w14:textId="77777777" w:rsidR="00C26B8C" w:rsidRPr="008F0C00" w:rsidRDefault="00C26B8C" w:rsidP="00C26B8C">
            <w:pPr>
              <w:jc w:val="right"/>
              <w:rPr>
                <w:rFonts w:eastAsia="Times New Roman"/>
                <w:color w:val="000000"/>
              </w:rPr>
            </w:pPr>
            <w:r w:rsidRPr="008F0C00">
              <w:rPr>
                <w:rFonts w:eastAsia="Times New Roman"/>
                <w:color w:val="000000"/>
              </w:rPr>
              <w:t>01/09/2061</w:t>
            </w:r>
          </w:p>
        </w:tc>
        <w:tc>
          <w:tcPr>
            <w:tcW w:w="0" w:type="dxa"/>
            <w:noWrap/>
            <w:hideMark/>
          </w:tcPr>
          <w:p w14:paraId="55E65B84" w14:textId="77777777" w:rsidR="00C26B8C" w:rsidRPr="008F0C00" w:rsidRDefault="00C26B8C" w:rsidP="00C26B8C">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8F0C00">
              <w:rPr>
                <w:rFonts w:eastAsia="Times New Roman"/>
                <w:color w:val="000000"/>
              </w:rPr>
              <w:t xml:space="preserve"> 2,000,000 </w:t>
            </w:r>
          </w:p>
        </w:tc>
        <w:tc>
          <w:tcPr>
            <w:tcW w:w="0" w:type="dxa"/>
            <w:noWrap/>
            <w:hideMark/>
          </w:tcPr>
          <w:p w14:paraId="0151B4FE" w14:textId="77777777" w:rsidR="00C26B8C" w:rsidRPr="008F0C00" w:rsidRDefault="00C26B8C" w:rsidP="00C26B8C">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8F0C00">
              <w:rPr>
                <w:rFonts w:eastAsia="Times New Roman"/>
                <w:color w:val="000000"/>
              </w:rPr>
              <w:t>4.875%</w:t>
            </w:r>
          </w:p>
        </w:tc>
        <w:tc>
          <w:tcPr>
            <w:tcW w:w="0" w:type="dxa"/>
            <w:noWrap/>
            <w:hideMark/>
          </w:tcPr>
          <w:p w14:paraId="3699262D" w14:textId="77777777" w:rsidR="00C26B8C" w:rsidRPr="008F0C00" w:rsidRDefault="00C26B8C" w:rsidP="00C26B8C">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8F0C00">
              <w:rPr>
                <w:rFonts w:eastAsia="Times New Roman"/>
                <w:color w:val="000000"/>
              </w:rPr>
              <w:t>97,500.00</w:t>
            </w:r>
          </w:p>
        </w:tc>
      </w:tr>
      <w:tr w:rsidR="00C26B8C" w:rsidRPr="0020545F" w14:paraId="7540DE35" w14:textId="77777777" w:rsidTr="008F0C00">
        <w:trPr>
          <w:trHeight w:val="290"/>
        </w:trPr>
        <w:tc>
          <w:tcPr>
            <w:cnfStyle w:val="001000000000" w:firstRow="0" w:lastRow="0" w:firstColumn="1" w:lastColumn="0" w:oddVBand="0" w:evenVBand="0" w:oddHBand="0" w:evenHBand="0" w:firstRowFirstColumn="0" w:firstRowLastColumn="0" w:lastRowFirstColumn="0" w:lastRowLastColumn="0"/>
            <w:tcW w:w="0" w:type="dxa"/>
            <w:noWrap/>
            <w:hideMark/>
          </w:tcPr>
          <w:p w14:paraId="22E6DE63" w14:textId="77777777" w:rsidR="00C26B8C" w:rsidRPr="008F0C00" w:rsidRDefault="00C26B8C" w:rsidP="00C26B8C">
            <w:pPr>
              <w:jc w:val="right"/>
              <w:rPr>
                <w:rFonts w:eastAsia="Times New Roman"/>
                <w:color w:val="000000"/>
              </w:rPr>
            </w:pPr>
            <w:r w:rsidRPr="008F0C00">
              <w:rPr>
                <w:rFonts w:eastAsia="Times New Roman"/>
                <w:color w:val="000000"/>
              </w:rPr>
              <w:t>07/12/2068</w:t>
            </w:r>
          </w:p>
        </w:tc>
        <w:tc>
          <w:tcPr>
            <w:tcW w:w="0" w:type="dxa"/>
            <w:noWrap/>
            <w:hideMark/>
          </w:tcPr>
          <w:p w14:paraId="0DEE3A4F" w14:textId="77777777" w:rsidR="00C26B8C" w:rsidRPr="008F0C00" w:rsidRDefault="00C26B8C" w:rsidP="00C26B8C">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8F0C00">
              <w:rPr>
                <w:rFonts w:eastAsia="Times New Roman"/>
                <w:color w:val="000000"/>
              </w:rPr>
              <w:t xml:space="preserve"> 10,000,000 </w:t>
            </w:r>
          </w:p>
        </w:tc>
        <w:tc>
          <w:tcPr>
            <w:tcW w:w="0" w:type="dxa"/>
            <w:noWrap/>
            <w:hideMark/>
          </w:tcPr>
          <w:p w14:paraId="073FA0F9" w14:textId="77777777" w:rsidR="00C26B8C" w:rsidRPr="008F0C00" w:rsidRDefault="00C26B8C" w:rsidP="00C26B8C">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8F0C00">
              <w:rPr>
                <w:rFonts w:eastAsia="Times New Roman"/>
                <w:color w:val="000000"/>
              </w:rPr>
              <w:t>2.640%</w:t>
            </w:r>
          </w:p>
        </w:tc>
        <w:tc>
          <w:tcPr>
            <w:tcW w:w="0" w:type="dxa"/>
            <w:noWrap/>
            <w:hideMark/>
          </w:tcPr>
          <w:p w14:paraId="2F0F33BE" w14:textId="77777777" w:rsidR="00C26B8C" w:rsidRPr="008F0C00" w:rsidRDefault="00C26B8C" w:rsidP="00C26B8C">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8F0C00">
              <w:rPr>
                <w:rFonts w:eastAsia="Times New Roman"/>
                <w:color w:val="000000"/>
              </w:rPr>
              <w:t>264,000.00</w:t>
            </w:r>
          </w:p>
        </w:tc>
      </w:tr>
      <w:tr w:rsidR="00C26B8C" w:rsidRPr="0020545F" w14:paraId="22C51B41" w14:textId="77777777" w:rsidTr="008F0C00">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0" w:type="dxa"/>
            <w:noWrap/>
            <w:hideMark/>
          </w:tcPr>
          <w:p w14:paraId="54997D75" w14:textId="77777777" w:rsidR="00C26B8C" w:rsidRPr="008F0C00" w:rsidRDefault="00C26B8C" w:rsidP="00C26B8C">
            <w:pPr>
              <w:jc w:val="right"/>
              <w:rPr>
                <w:rFonts w:eastAsia="Times New Roman"/>
                <w:color w:val="000000"/>
              </w:rPr>
            </w:pPr>
            <w:r w:rsidRPr="008F0C00">
              <w:rPr>
                <w:rFonts w:eastAsia="Times New Roman"/>
                <w:color w:val="000000"/>
              </w:rPr>
              <w:t>10/12/2068</w:t>
            </w:r>
          </w:p>
        </w:tc>
        <w:tc>
          <w:tcPr>
            <w:tcW w:w="0" w:type="dxa"/>
            <w:noWrap/>
            <w:hideMark/>
          </w:tcPr>
          <w:p w14:paraId="1F6EC20E" w14:textId="77777777" w:rsidR="00C26B8C" w:rsidRPr="008F0C00" w:rsidRDefault="00C26B8C" w:rsidP="00C26B8C">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8F0C00">
              <w:rPr>
                <w:rFonts w:eastAsia="Times New Roman"/>
                <w:color w:val="000000"/>
              </w:rPr>
              <w:t xml:space="preserve"> 10,000,000 </w:t>
            </w:r>
          </w:p>
        </w:tc>
        <w:tc>
          <w:tcPr>
            <w:tcW w:w="0" w:type="dxa"/>
            <w:noWrap/>
            <w:hideMark/>
          </w:tcPr>
          <w:p w14:paraId="771750AD" w14:textId="77777777" w:rsidR="00C26B8C" w:rsidRPr="008F0C00" w:rsidRDefault="00C26B8C" w:rsidP="00C26B8C">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8F0C00">
              <w:rPr>
                <w:rFonts w:eastAsia="Times New Roman"/>
                <w:color w:val="000000"/>
              </w:rPr>
              <w:t>2.540%</w:t>
            </w:r>
          </w:p>
        </w:tc>
        <w:tc>
          <w:tcPr>
            <w:tcW w:w="0" w:type="dxa"/>
            <w:noWrap/>
            <w:hideMark/>
          </w:tcPr>
          <w:p w14:paraId="547EE286" w14:textId="77777777" w:rsidR="00C26B8C" w:rsidRPr="008F0C00" w:rsidRDefault="00C26B8C" w:rsidP="00C26B8C">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8F0C00">
              <w:rPr>
                <w:rFonts w:eastAsia="Times New Roman"/>
                <w:color w:val="000000"/>
              </w:rPr>
              <w:t>254,000.00</w:t>
            </w:r>
          </w:p>
        </w:tc>
      </w:tr>
      <w:tr w:rsidR="00C26B8C" w:rsidRPr="0020545F" w14:paraId="719044C8" w14:textId="77777777" w:rsidTr="008F0C00">
        <w:trPr>
          <w:trHeight w:val="290"/>
        </w:trPr>
        <w:tc>
          <w:tcPr>
            <w:cnfStyle w:val="001000000000" w:firstRow="0" w:lastRow="0" w:firstColumn="1" w:lastColumn="0" w:oddVBand="0" w:evenVBand="0" w:oddHBand="0" w:evenHBand="0" w:firstRowFirstColumn="0" w:firstRowLastColumn="0" w:lastRowFirstColumn="0" w:lastRowLastColumn="0"/>
            <w:tcW w:w="0" w:type="dxa"/>
            <w:noWrap/>
            <w:hideMark/>
          </w:tcPr>
          <w:p w14:paraId="7EB347A7" w14:textId="77777777" w:rsidR="00C26B8C" w:rsidRPr="008F0C00" w:rsidRDefault="00C26B8C" w:rsidP="00C26B8C">
            <w:pPr>
              <w:jc w:val="right"/>
              <w:rPr>
                <w:rFonts w:eastAsia="Times New Roman"/>
                <w:color w:val="000000"/>
              </w:rPr>
            </w:pPr>
            <w:r w:rsidRPr="008F0C00">
              <w:rPr>
                <w:rFonts w:eastAsia="Times New Roman"/>
                <w:color w:val="000000"/>
              </w:rPr>
              <w:t>12/02/2069</w:t>
            </w:r>
          </w:p>
        </w:tc>
        <w:tc>
          <w:tcPr>
            <w:tcW w:w="0" w:type="dxa"/>
            <w:noWrap/>
            <w:hideMark/>
          </w:tcPr>
          <w:p w14:paraId="3ED0D6F7" w14:textId="77777777" w:rsidR="00C26B8C" w:rsidRPr="008F0C00" w:rsidRDefault="00C26B8C" w:rsidP="00C26B8C">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8F0C00">
              <w:rPr>
                <w:rFonts w:eastAsia="Times New Roman"/>
                <w:color w:val="000000"/>
              </w:rPr>
              <w:t xml:space="preserve"> 5,000,000 </w:t>
            </w:r>
          </w:p>
        </w:tc>
        <w:tc>
          <w:tcPr>
            <w:tcW w:w="0" w:type="dxa"/>
            <w:noWrap/>
            <w:hideMark/>
          </w:tcPr>
          <w:p w14:paraId="6CD3A0F6" w14:textId="77777777" w:rsidR="00C26B8C" w:rsidRPr="008F0C00" w:rsidRDefault="00C26B8C" w:rsidP="00C26B8C">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8F0C00">
              <w:rPr>
                <w:rFonts w:eastAsia="Times New Roman"/>
                <w:color w:val="000000"/>
              </w:rPr>
              <w:t>2.370%</w:t>
            </w:r>
          </w:p>
        </w:tc>
        <w:tc>
          <w:tcPr>
            <w:tcW w:w="0" w:type="dxa"/>
            <w:noWrap/>
            <w:hideMark/>
          </w:tcPr>
          <w:p w14:paraId="0DD2F867" w14:textId="77777777" w:rsidR="00C26B8C" w:rsidRPr="008F0C00" w:rsidRDefault="00C26B8C" w:rsidP="00C26B8C">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8F0C00">
              <w:rPr>
                <w:rFonts w:eastAsia="Times New Roman"/>
                <w:color w:val="000000"/>
              </w:rPr>
              <w:t>118,500.00</w:t>
            </w:r>
          </w:p>
        </w:tc>
      </w:tr>
      <w:tr w:rsidR="00C26B8C" w:rsidRPr="0020545F" w14:paraId="731BC710" w14:textId="77777777" w:rsidTr="008F0C00">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0" w:type="dxa"/>
            <w:noWrap/>
            <w:hideMark/>
          </w:tcPr>
          <w:p w14:paraId="46ABA3CB" w14:textId="77777777" w:rsidR="00C26B8C" w:rsidRPr="008F0C00" w:rsidRDefault="00C26B8C" w:rsidP="00C26B8C">
            <w:pPr>
              <w:jc w:val="right"/>
              <w:rPr>
                <w:rFonts w:eastAsia="Times New Roman"/>
                <w:color w:val="000000"/>
              </w:rPr>
            </w:pPr>
            <w:r w:rsidRPr="008F0C00">
              <w:rPr>
                <w:rFonts w:eastAsia="Times New Roman"/>
                <w:color w:val="000000"/>
              </w:rPr>
              <w:t>28/03/2069</w:t>
            </w:r>
          </w:p>
        </w:tc>
        <w:tc>
          <w:tcPr>
            <w:tcW w:w="0" w:type="dxa"/>
            <w:noWrap/>
            <w:hideMark/>
          </w:tcPr>
          <w:p w14:paraId="41B77564" w14:textId="77777777" w:rsidR="00C26B8C" w:rsidRPr="008F0C00" w:rsidRDefault="00C26B8C" w:rsidP="00C26B8C">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8F0C00">
              <w:rPr>
                <w:rFonts w:eastAsia="Times New Roman"/>
                <w:color w:val="000000"/>
              </w:rPr>
              <w:t xml:space="preserve"> 10,000,000 </w:t>
            </w:r>
          </w:p>
        </w:tc>
        <w:tc>
          <w:tcPr>
            <w:tcW w:w="0" w:type="dxa"/>
            <w:noWrap/>
            <w:hideMark/>
          </w:tcPr>
          <w:p w14:paraId="361F6495" w14:textId="77777777" w:rsidR="00C26B8C" w:rsidRPr="008F0C00" w:rsidRDefault="00C26B8C" w:rsidP="00C26B8C">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8F0C00">
              <w:rPr>
                <w:rFonts w:eastAsia="Times New Roman"/>
                <w:color w:val="000000"/>
              </w:rPr>
              <w:t>2.160%</w:t>
            </w:r>
          </w:p>
        </w:tc>
        <w:tc>
          <w:tcPr>
            <w:tcW w:w="0" w:type="dxa"/>
            <w:noWrap/>
            <w:hideMark/>
          </w:tcPr>
          <w:p w14:paraId="6D626724" w14:textId="77777777" w:rsidR="00C26B8C" w:rsidRPr="008F0C00" w:rsidRDefault="00C26B8C" w:rsidP="00C26B8C">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8F0C00">
              <w:rPr>
                <w:rFonts w:eastAsia="Times New Roman"/>
                <w:color w:val="000000"/>
              </w:rPr>
              <w:t>216,000.00</w:t>
            </w:r>
          </w:p>
        </w:tc>
      </w:tr>
      <w:tr w:rsidR="00C26B8C" w:rsidRPr="0020545F" w14:paraId="6E2AD25E" w14:textId="77777777" w:rsidTr="008F0C00">
        <w:trPr>
          <w:trHeight w:val="290"/>
        </w:trPr>
        <w:tc>
          <w:tcPr>
            <w:cnfStyle w:val="001000000000" w:firstRow="0" w:lastRow="0" w:firstColumn="1" w:lastColumn="0" w:oddVBand="0" w:evenVBand="0" w:oddHBand="0" w:evenHBand="0" w:firstRowFirstColumn="0" w:firstRowLastColumn="0" w:lastRowFirstColumn="0" w:lastRowLastColumn="0"/>
            <w:tcW w:w="0" w:type="dxa"/>
            <w:noWrap/>
            <w:hideMark/>
          </w:tcPr>
          <w:p w14:paraId="0BB09BBD" w14:textId="77777777" w:rsidR="00C26B8C" w:rsidRPr="008F0C00" w:rsidRDefault="00C26B8C" w:rsidP="00C26B8C">
            <w:pPr>
              <w:jc w:val="right"/>
              <w:rPr>
                <w:rFonts w:eastAsia="Times New Roman"/>
                <w:color w:val="000000"/>
              </w:rPr>
            </w:pPr>
            <w:r w:rsidRPr="008F0C00">
              <w:rPr>
                <w:rFonts w:eastAsia="Times New Roman"/>
                <w:color w:val="000000"/>
              </w:rPr>
              <w:t>08/10/2069</w:t>
            </w:r>
          </w:p>
        </w:tc>
        <w:tc>
          <w:tcPr>
            <w:tcW w:w="0" w:type="dxa"/>
            <w:noWrap/>
            <w:hideMark/>
          </w:tcPr>
          <w:p w14:paraId="11535CEE" w14:textId="77777777" w:rsidR="00C26B8C" w:rsidRPr="008F0C00" w:rsidRDefault="00C26B8C" w:rsidP="00C26B8C">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8F0C00">
              <w:rPr>
                <w:rFonts w:eastAsia="Times New Roman"/>
                <w:color w:val="000000"/>
              </w:rPr>
              <w:t xml:space="preserve"> 15,000,000 </w:t>
            </w:r>
          </w:p>
        </w:tc>
        <w:tc>
          <w:tcPr>
            <w:tcW w:w="0" w:type="dxa"/>
            <w:noWrap/>
            <w:hideMark/>
          </w:tcPr>
          <w:p w14:paraId="4620E3F0" w14:textId="77777777" w:rsidR="00C26B8C" w:rsidRPr="008F0C00" w:rsidRDefault="00C26B8C" w:rsidP="00C26B8C">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8F0C00">
              <w:rPr>
                <w:rFonts w:eastAsia="Times New Roman"/>
                <w:color w:val="000000"/>
              </w:rPr>
              <w:t>1.630%</w:t>
            </w:r>
          </w:p>
        </w:tc>
        <w:tc>
          <w:tcPr>
            <w:tcW w:w="0" w:type="dxa"/>
            <w:noWrap/>
            <w:hideMark/>
          </w:tcPr>
          <w:p w14:paraId="76D540FB" w14:textId="77777777" w:rsidR="00C26B8C" w:rsidRPr="008F0C00" w:rsidRDefault="00C26B8C" w:rsidP="00C26B8C">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8F0C00">
              <w:rPr>
                <w:rFonts w:eastAsia="Times New Roman"/>
                <w:color w:val="000000"/>
              </w:rPr>
              <w:t>244,500.00</w:t>
            </w:r>
          </w:p>
        </w:tc>
      </w:tr>
      <w:tr w:rsidR="00C26B8C" w:rsidRPr="0020545F" w14:paraId="50C3EC81" w14:textId="77777777" w:rsidTr="008F0C0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noWrap/>
            <w:hideMark/>
          </w:tcPr>
          <w:p w14:paraId="7BD563A5" w14:textId="77777777" w:rsidR="00C26B8C" w:rsidRPr="008F0C00" w:rsidRDefault="00C26B8C" w:rsidP="00C26B8C">
            <w:pPr>
              <w:jc w:val="right"/>
              <w:rPr>
                <w:rFonts w:eastAsia="Times New Roman"/>
                <w:color w:val="000000"/>
              </w:rPr>
            </w:pPr>
            <w:r w:rsidRPr="008F0C00">
              <w:rPr>
                <w:rFonts w:eastAsia="Times New Roman"/>
                <w:color w:val="000000"/>
              </w:rPr>
              <w:t>14/03/2072</w:t>
            </w:r>
          </w:p>
        </w:tc>
        <w:tc>
          <w:tcPr>
            <w:tcW w:w="0" w:type="dxa"/>
            <w:noWrap/>
            <w:hideMark/>
          </w:tcPr>
          <w:p w14:paraId="445CA8C0" w14:textId="77777777" w:rsidR="00C26B8C" w:rsidRPr="008F0C00" w:rsidRDefault="00C26B8C" w:rsidP="00C26B8C">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8F0C00">
              <w:rPr>
                <w:rFonts w:eastAsia="Times New Roman"/>
                <w:color w:val="000000"/>
              </w:rPr>
              <w:t xml:space="preserve"> 7,500,000 </w:t>
            </w:r>
          </w:p>
        </w:tc>
        <w:tc>
          <w:tcPr>
            <w:tcW w:w="0" w:type="dxa"/>
            <w:noWrap/>
            <w:hideMark/>
          </w:tcPr>
          <w:p w14:paraId="31C2B8AD" w14:textId="36BA3079" w:rsidR="00C26B8C" w:rsidRPr="008F0C00" w:rsidRDefault="00C26B8C" w:rsidP="00C26B8C">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8F0C00">
              <w:rPr>
                <w:rFonts w:eastAsia="Times New Roman"/>
                <w:color w:val="000000"/>
              </w:rPr>
              <w:t>2.</w:t>
            </w:r>
            <w:r w:rsidR="00585927" w:rsidRPr="008F0C00">
              <w:rPr>
                <w:rFonts w:eastAsia="Times New Roman"/>
                <w:color w:val="000000"/>
              </w:rPr>
              <w:t>0</w:t>
            </w:r>
            <w:r w:rsidRPr="008F0C00">
              <w:rPr>
                <w:rFonts w:eastAsia="Times New Roman"/>
                <w:color w:val="000000"/>
              </w:rPr>
              <w:t>70%</w:t>
            </w:r>
          </w:p>
        </w:tc>
        <w:tc>
          <w:tcPr>
            <w:tcW w:w="0" w:type="dxa"/>
            <w:noWrap/>
            <w:hideMark/>
          </w:tcPr>
          <w:p w14:paraId="1633800B" w14:textId="77777777" w:rsidR="00C26B8C" w:rsidRPr="008F0C00" w:rsidRDefault="00C26B8C" w:rsidP="00C26B8C">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8F0C00">
              <w:rPr>
                <w:rFonts w:eastAsia="Times New Roman"/>
                <w:color w:val="000000"/>
              </w:rPr>
              <w:t>170,250.00</w:t>
            </w:r>
          </w:p>
        </w:tc>
      </w:tr>
      <w:tr w:rsidR="00C26B8C" w:rsidRPr="00C26B8C" w14:paraId="55158842" w14:textId="77777777" w:rsidTr="00617B1A">
        <w:trPr>
          <w:trHeight w:val="274"/>
        </w:trPr>
        <w:tc>
          <w:tcPr>
            <w:cnfStyle w:val="001000000000" w:firstRow="0" w:lastRow="0" w:firstColumn="1" w:lastColumn="0" w:oddVBand="0" w:evenVBand="0" w:oddHBand="0" w:evenHBand="0" w:firstRowFirstColumn="0" w:firstRowLastColumn="0" w:lastRowFirstColumn="0" w:lastRowLastColumn="0"/>
            <w:tcW w:w="0" w:type="dxa"/>
            <w:noWrap/>
            <w:hideMark/>
          </w:tcPr>
          <w:p w14:paraId="48F2E969" w14:textId="77777777" w:rsidR="00251846" w:rsidRDefault="00251846" w:rsidP="00C26B8C">
            <w:pPr>
              <w:jc w:val="right"/>
              <w:rPr>
                <w:rFonts w:eastAsia="Times New Roman"/>
                <w:b w:val="0"/>
                <w:bCs w:val="0"/>
                <w:color w:val="000000"/>
              </w:rPr>
            </w:pPr>
          </w:p>
          <w:p w14:paraId="0754E7C9" w14:textId="4B95B2A3" w:rsidR="00C26B8C" w:rsidRPr="008F0C00" w:rsidRDefault="00251846" w:rsidP="008F0C00">
            <w:pPr>
              <w:rPr>
                <w:rFonts w:eastAsia="Times New Roman"/>
                <w:color w:val="000000"/>
              </w:rPr>
            </w:pPr>
            <w:r>
              <w:rPr>
                <w:rFonts w:eastAsia="Times New Roman"/>
                <w:color w:val="000000"/>
              </w:rPr>
              <w:t xml:space="preserve">TOTAL </w:t>
            </w:r>
          </w:p>
        </w:tc>
        <w:tc>
          <w:tcPr>
            <w:tcW w:w="0" w:type="dxa"/>
            <w:noWrap/>
            <w:hideMark/>
          </w:tcPr>
          <w:p w14:paraId="5F4CB21B" w14:textId="4AC4E3EE" w:rsidR="00C26B8C" w:rsidRPr="008F0C00" w:rsidRDefault="00C26B8C" w:rsidP="00C26B8C">
            <w:pPr>
              <w:jc w:val="right"/>
              <w:cnfStyle w:val="000000000000" w:firstRow="0" w:lastRow="0" w:firstColumn="0" w:lastColumn="0" w:oddVBand="0" w:evenVBand="0" w:oddHBand="0" w:evenHBand="0" w:firstRowFirstColumn="0" w:firstRowLastColumn="0" w:lastRowFirstColumn="0" w:lastRowLastColumn="0"/>
              <w:rPr>
                <w:rFonts w:eastAsia="Times New Roman"/>
                <w:b/>
              </w:rPr>
            </w:pPr>
            <w:r w:rsidRPr="008F0C00">
              <w:rPr>
                <w:rFonts w:eastAsia="Times New Roman"/>
                <w:b/>
              </w:rPr>
              <w:t xml:space="preserve"> 10</w:t>
            </w:r>
            <w:r w:rsidR="00A82D7E" w:rsidRPr="008F0C00">
              <w:rPr>
                <w:rFonts w:eastAsia="Times New Roman"/>
                <w:b/>
              </w:rPr>
              <w:t>5</w:t>
            </w:r>
            <w:r w:rsidRPr="008F0C00">
              <w:rPr>
                <w:rFonts w:eastAsia="Times New Roman"/>
                <w:b/>
              </w:rPr>
              <w:t xml:space="preserve">,287,000 </w:t>
            </w:r>
          </w:p>
        </w:tc>
        <w:tc>
          <w:tcPr>
            <w:tcW w:w="0" w:type="dxa"/>
            <w:noWrap/>
            <w:hideMark/>
          </w:tcPr>
          <w:p w14:paraId="1C599678" w14:textId="77777777" w:rsidR="00C26B8C" w:rsidRPr="008F0C00" w:rsidRDefault="00C26B8C" w:rsidP="00C26B8C">
            <w:pPr>
              <w:jc w:val="right"/>
              <w:cnfStyle w:val="000000000000" w:firstRow="0" w:lastRow="0" w:firstColumn="0" w:lastColumn="0" w:oddVBand="0" w:evenVBand="0" w:oddHBand="0" w:evenHBand="0" w:firstRowFirstColumn="0" w:firstRowLastColumn="0" w:lastRowFirstColumn="0" w:lastRowLastColumn="0"/>
              <w:rPr>
                <w:rFonts w:eastAsia="Times New Roman"/>
                <w:b/>
              </w:rPr>
            </w:pPr>
          </w:p>
        </w:tc>
        <w:tc>
          <w:tcPr>
            <w:tcW w:w="0" w:type="dxa"/>
            <w:noWrap/>
            <w:hideMark/>
          </w:tcPr>
          <w:p w14:paraId="0B0224C9" w14:textId="77777777" w:rsidR="00251846" w:rsidRPr="008F0C00" w:rsidRDefault="00251846" w:rsidP="00C26B8C">
            <w:pPr>
              <w:jc w:val="right"/>
              <w:cnfStyle w:val="000000000000" w:firstRow="0" w:lastRow="0" w:firstColumn="0" w:lastColumn="0" w:oddVBand="0" w:evenVBand="0" w:oddHBand="0" w:evenHBand="0" w:firstRowFirstColumn="0" w:firstRowLastColumn="0" w:lastRowFirstColumn="0" w:lastRowLastColumn="0"/>
              <w:rPr>
                <w:rFonts w:eastAsia="Times New Roman"/>
                <w:b/>
              </w:rPr>
            </w:pPr>
          </w:p>
          <w:p w14:paraId="33EE3935" w14:textId="1ACB7988" w:rsidR="00C26B8C" w:rsidRPr="008F0C00" w:rsidRDefault="00C26B8C" w:rsidP="00C26B8C">
            <w:pPr>
              <w:jc w:val="right"/>
              <w:cnfStyle w:val="000000000000" w:firstRow="0" w:lastRow="0" w:firstColumn="0" w:lastColumn="0" w:oddVBand="0" w:evenVBand="0" w:oddHBand="0" w:evenHBand="0" w:firstRowFirstColumn="0" w:firstRowLastColumn="0" w:lastRowFirstColumn="0" w:lastRowLastColumn="0"/>
              <w:rPr>
                <w:rFonts w:eastAsia="Times New Roman"/>
                <w:b/>
              </w:rPr>
            </w:pPr>
            <w:r w:rsidRPr="008F0C00">
              <w:rPr>
                <w:rFonts w:eastAsia="Times New Roman"/>
                <w:b/>
              </w:rPr>
              <w:t>3,</w:t>
            </w:r>
            <w:r w:rsidR="00A82D7E" w:rsidRPr="008F0C00">
              <w:rPr>
                <w:rFonts w:eastAsia="Times New Roman"/>
                <w:b/>
              </w:rPr>
              <w:t>340</w:t>
            </w:r>
            <w:r w:rsidRPr="008F0C00">
              <w:rPr>
                <w:rFonts w:eastAsia="Times New Roman"/>
                <w:b/>
              </w:rPr>
              <w:t>,</w:t>
            </w:r>
            <w:r w:rsidR="00A82D7E" w:rsidRPr="008F0C00">
              <w:rPr>
                <w:rFonts w:eastAsia="Times New Roman"/>
                <w:b/>
              </w:rPr>
              <w:t>12</w:t>
            </w:r>
            <w:r w:rsidRPr="008F0C00">
              <w:rPr>
                <w:rFonts w:eastAsia="Times New Roman"/>
                <w:b/>
              </w:rPr>
              <w:t>1.50</w:t>
            </w:r>
          </w:p>
        </w:tc>
      </w:tr>
    </w:tbl>
    <w:p w14:paraId="379D30C7" w14:textId="77777777" w:rsidR="006E5B44" w:rsidRPr="00D05A86" w:rsidRDefault="006E5B44" w:rsidP="00617B1A"/>
    <w:sectPr w:rsidR="006E5B44" w:rsidRPr="00D05A86" w:rsidSect="009326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9E20A1" w14:textId="77777777" w:rsidR="00617B1A" w:rsidRDefault="00617B1A" w:rsidP="009E6265">
      <w:r>
        <w:separator/>
      </w:r>
    </w:p>
  </w:endnote>
  <w:endnote w:type="continuationSeparator" w:id="0">
    <w:p w14:paraId="54A093F1" w14:textId="77777777" w:rsidR="00617B1A" w:rsidRDefault="00617B1A" w:rsidP="009E6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88021A" w14:textId="77777777" w:rsidR="00617B1A" w:rsidRDefault="00617B1A" w:rsidP="009E6265">
      <w:r>
        <w:separator/>
      </w:r>
    </w:p>
  </w:footnote>
  <w:footnote w:type="continuationSeparator" w:id="0">
    <w:p w14:paraId="4810DB98" w14:textId="77777777" w:rsidR="00617B1A" w:rsidRDefault="00617B1A" w:rsidP="009E62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A7D37"/>
    <w:multiLevelType w:val="multilevel"/>
    <w:tmpl w:val="4D46FC38"/>
    <w:lvl w:ilvl="0">
      <w:start w:val="1"/>
      <w:numFmt w:val="lowerLetter"/>
      <w:lvlText w:val="%1)"/>
      <w:lvlJc w:val="left"/>
      <w:pPr>
        <w:tabs>
          <w:tab w:val="num" w:pos="720"/>
        </w:tabs>
        <w:ind w:left="720" w:hanging="360"/>
      </w:pPr>
    </w:lvl>
    <w:lvl w:ilvl="1">
      <w:start w:val="1"/>
      <w:numFmt w:val="upperRoman"/>
      <w:lvlText w:val="%2."/>
      <w:lvlJc w:val="right"/>
      <w:pPr>
        <w:tabs>
          <w:tab w:val="num" w:pos="1260"/>
        </w:tabs>
        <w:ind w:left="1260" w:hanging="180"/>
      </w:pPr>
    </w:lvl>
    <w:lvl w:ilvl="2">
      <w:start w:val="1"/>
      <w:numFmt w:val="upperRoman"/>
      <w:lvlText w:val="%3."/>
      <w:lvlJc w:val="right"/>
      <w:pPr>
        <w:tabs>
          <w:tab w:val="num" w:pos="1980"/>
        </w:tabs>
        <w:ind w:left="1980" w:hanging="180"/>
      </w:p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1F7E14"/>
    <w:multiLevelType w:val="multilevel"/>
    <w:tmpl w:val="425C3000"/>
    <w:lvl w:ilvl="0">
      <w:start w:val="1"/>
      <w:numFmt w:val="bullet"/>
      <w:lvlText w:val=""/>
      <w:lvlJc w:val="left"/>
      <w:pPr>
        <w:ind w:left="360" w:hanging="360"/>
      </w:pPr>
      <w:rPr>
        <w:rFonts w:ascii="Symbol" w:hAnsi="Symbol"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bullet"/>
      <w:lvlText w:val=""/>
      <w:lvlJc w:val="left"/>
      <w:pPr>
        <w:ind w:left="720" w:hanging="720"/>
      </w:pPr>
      <w:rPr>
        <w:rFonts w:ascii="Symbol" w:hAnsi="Symbol"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37603A7"/>
    <w:multiLevelType w:val="multilevel"/>
    <w:tmpl w:val="425C3000"/>
    <w:lvl w:ilvl="0">
      <w:start w:val="1"/>
      <w:numFmt w:val="bullet"/>
      <w:lvlText w:val=""/>
      <w:lvlJc w:val="left"/>
      <w:pPr>
        <w:ind w:left="360" w:hanging="360"/>
      </w:pPr>
      <w:rPr>
        <w:rFonts w:ascii="Symbol" w:hAnsi="Symbol"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bullet"/>
      <w:lvlText w:val=""/>
      <w:lvlJc w:val="left"/>
      <w:pPr>
        <w:ind w:left="720" w:hanging="720"/>
      </w:pPr>
      <w:rPr>
        <w:rFonts w:ascii="Symbol" w:hAnsi="Symbol"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CE96DAF"/>
    <w:multiLevelType w:val="hybridMultilevel"/>
    <w:tmpl w:val="46D614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7F4289"/>
    <w:multiLevelType w:val="hybridMultilevel"/>
    <w:tmpl w:val="2F88F3D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5" w15:restartNumberingAfterBreak="0">
    <w:nsid w:val="12AE57CA"/>
    <w:multiLevelType w:val="multilevel"/>
    <w:tmpl w:val="DB76E798"/>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5480FC7"/>
    <w:multiLevelType w:val="multilevel"/>
    <w:tmpl w:val="EC6A5A16"/>
    <w:lvl w:ilvl="0">
      <w:start w:val="1"/>
      <w:numFmt w:val="decimal"/>
      <w:lvlText w:val="%1."/>
      <w:lvlJc w:val="left"/>
      <w:pPr>
        <w:tabs>
          <w:tab w:val="num" w:pos="720"/>
        </w:tabs>
        <w:ind w:left="720" w:hanging="720"/>
      </w:pPr>
      <w:rPr>
        <w:b/>
        <w:bCs/>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1E100DE1"/>
    <w:multiLevelType w:val="multilevel"/>
    <w:tmpl w:val="6B284C6A"/>
    <w:lvl w:ilvl="0">
      <w:start w:val="1"/>
      <w:numFmt w:val="bullet"/>
      <w:lvlText w:val=""/>
      <w:lvlJc w:val="left"/>
      <w:pPr>
        <w:tabs>
          <w:tab w:val="num" w:pos="720"/>
        </w:tabs>
        <w:ind w:left="720" w:hanging="720"/>
      </w:pPr>
      <w:rPr>
        <w:rFonts w:ascii="Symbol" w:hAnsi="Symbol" w:hint="default"/>
        <w:b/>
        <w:bCs/>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265E0E33"/>
    <w:multiLevelType w:val="multilevel"/>
    <w:tmpl w:val="ED78AE5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A5D603B"/>
    <w:multiLevelType w:val="hybridMultilevel"/>
    <w:tmpl w:val="E3D87190"/>
    <w:lvl w:ilvl="0" w:tplc="25A21548">
      <w:start w:val="2"/>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31205B62"/>
    <w:multiLevelType w:val="hybridMultilevel"/>
    <w:tmpl w:val="0682F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E90150"/>
    <w:multiLevelType w:val="hybridMultilevel"/>
    <w:tmpl w:val="98847D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DF68F6"/>
    <w:multiLevelType w:val="hybridMultilevel"/>
    <w:tmpl w:val="E570A94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45A04196"/>
    <w:multiLevelType w:val="multilevel"/>
    <w:tmpl w:val="A358FE96"/>
    <w:lvl w:ilvl="0">
      <w:start w:val="1"/>
      <w:numFmt w:val="decimal"/>
      <w:pStyle w:val="ChapterHeading"/>
      <w:lvlText w:val="%1"/>
      <w:lvlJc w:val="left"/>
      <w:pPr>
        <w:ind w:left="360" w:hanging="360"/>
      </w:pPr>
      <w:rPr>
        <w:rFonts w:cs="Times New Roman" w:hint="default"/>
        <w:b/>
        <w:color w:val="auto"/>
      </w:rPr>
    </w:lvl>
    <w:lvl w:ilvl="1">
      <w:start w:val="1"/>
      <w:numFmt w:val="decimal"/>
      <w:pStyle w:val="Subheading"/>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4" w15:restartNumberingAfterBreak="0">
    <w:nsid w:val="46904E02"/>
    <w:multiLevelType w:val="hybridMultilevel"/>
    <w:tmpl w:val="B0E61168"/>
    <w:lvl w:ilvl="0" w:tplc="2F703D78">
      <w:start w:val="1"/>
      <w:numFmt w:val="decimal"/>
      <w:lvlText w:val="%1"/>
      <w:lvlJc w:val="left"/>
      <w:pPr>
        <w:tabs>
          <w:tab w:val="num" w:pos="1800"/>
        </w:tabs>
        <w:ind w:left="1800" w:hanging="36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15:restartNumberingAfterBreak="0">
    <w:nsid w:val="4C464D65"/>
    <w:multiLevelType w:val="multilevel"/>
    <w:tmpl w:val="A9B88CAA"/>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D6E3D5D"/>
    <w:multiLevelType w:val="hybridMultilevel"/>
    <w:tmpl w:val="905E0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DB27B7A"/>
    <w:multiLevelType w:val="multilevel"/>
    <w:tmpl w:val="7DE43598"/>
    <w:lvl w:ilvl="0">
      <w:start w:val="2"/>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8" w15:restartNumberingAfterBreak="0">
    <w:nsid w:val="4F0B22DE"/>
    <w:multiLevelType w:val="multilevel"/>
    <w:tmpl w:val="27728850"/>
    <w:lvl w:ilvl="0">
      <w:start w:val="5"/>
      <w:numFmt w:val="decimal"/>
      <w:lvlText w:val="%1"/>
      <w:lvlJc w:val="left"/>
      <w:pPr>
        <w:tabs>
          <w:tab w:val="num" w:pos="720"/>
        </w:tabs>
        <w:ind w:left="720" w:hanging="720"/>
      </w:pPr>
      <w:rPr>
        <w:rFonts w:hint="default"/>
        <w:i w:val="0"/>
      </w:rPr>
    </w:lvl>
    <w:lvl w:ilvl="1">
      <w:start w:val="2"/>
      <w:numFmt w:val="decimal"/>
      <w:lvlText w:val="%1.%2"/>
      <w:lvlJc w:val="left"/>
      <w:pPr>
        <w:tabs>
          <w:tab w:val="num" w:pos="720"/>
        </w:tabs>
        <w:ind w:left="720" w:hanging="720"/>
      </w:pPr>
      <w:rPr>
        <w:rFonts w:hint="default"/>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1080"/>
        </w:tabs>
        <w:ind w:left="1080" w:hanging="108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440"/>
        </w:tabs>
        <w:ind w:left="1440" w:hanging="144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800"/>
        </w:tabs>
        <w:ind w:left="1800" w:hanging="180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19" w15:restartNumberingAfterBreak="0">
    <w:nsid w:val="4F0D6D36"/>
    <w:multiLevelType w:val="multilevel"/>
    <w:tmpl w:val="25324B8A"/>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0243C1A"/>
    <w:multiLevelType w:val="multilevel"/>
    <w:tmpl w:val="F77E42B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5E90A0D"/>
    <w:multiLevelType w:val="hybridMultilevel"/>
    <w:tmpl w:val="89260874"/>
    <w:lvl w:ilvl="0" w:tplc="5EC2B5C6">
      <w:start w:val="1"/>
      <w:numFmt w:val="bullet"/>
      <w:lvlText w:val=""/>
      <w:lvlJc w:val="left"/>
      <w:pPr>
        <w:tabs>
          <w:tab w:val="num" w:pos="720"/>
        </w:tabs>
        <w:ind w:left="720" w:hanging="360"/>
      </w:pPr>
      <w:rPr>
        <w:rFonts w:ascii="Symbol" w:hAnsi="Symbol" w:hint="default"/>
        <w:color w:val="00000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60B2C80"/>
    <w:multiLevelType w:val="multilevel"/>
    <w:tmpl w:val="DD4EA8CE"/>
    <w:lvl w:ilvl="0">
      <w:start w:val="4"/>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bullet"/>
      <w:lvlText w:val=""/>
      <w:lvlJc w:val="left"/>
      <w:pPr>
        <w:ind w:left="720" w:hanging="720"/>
      </w:pPr>
      <w:rPr>
        <w:rFonts w:ascii="Symbol" w:hAnsi="Symbol"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76466FA"/>
    <w:multiLevelType w:val="multilevel"/>
    <w:tmpl w:val="9156357E"/>
    <w:lvl w:ilvl="0">
      <w:start w:val="1"/>
      <w:numFmt w:val="bullet"/>
      <w:lvlText w:val=""/>
      <w:lvlJc w:val="left"/>
      <w:pPr>
        <w:tabs>
          <w:tab w:val="num" w:pos="720"/>
        </w:tabs>
        <w:ind w:left="720" w:hanging="360"/>
      </w:pPr>
      <w:rPr>
        <w:rFonts w:ascii="Symbol" w:hAnsi="Symbol" w:hint="default"/>
      </w:rPr>
    </w:lvl>
    <w:lvl w:ilvl="1">
      <w:start w:val="125"/>
      <w:numFmt w:val="bullet"/>
      <w:lvlText w:val="-"/>
      <w:lvlJc w:val="left"/>
      <w:pPr>
        <w:ind w:left="1440" w:hanging="360"/>
      </w:pPr>
      <w:rPr>
        <w:rFonts w:ascii="Arial" w:eastAsia="Calibri" w:hAnsi="Arial" w:cs="Aria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9B1193A"/>
    <w:multiLevelType w:val="multilevel"/>
    <w:tmpl w:val="15F487D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DA53F30"/>
    <w:multiLevelType w:val="hybridMultilevel"/>
    <w:tmpl w:val="E58E1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7C2B64"/>
    <w:multiLevelType w:val="multilevel"/>
    <w:tmpl w:val="6062E9D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66691151"/>
    <w:multiLevelType w:val="multilevel"/>
    <w:tmpl w:val="DD4EA8CE"/>
    <w:lvl w:ilvl="0">
      <w:start w:val="4"/>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bullet"/>
      <w:lvlText w:val=""/>
      <w:lvlJc w:val="left"/>
      <w:pPr>
        <w:ind w:left="720" w:hanging="720"/>
      </w:pPr>
      <w:rPr>
        <w:rFonts w:ascii="Symbol" w:hAnsi="Symbol"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9680D92"/>
    <w:multiLevelType w:val="multilevel"/>
    <w:tmpl w:val="9E70A4DA"/>
    <w:lvl w:ilvl="0">
      <w:start w:val="4"/>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C605D0D"/>
    <w:multiLevelType w:val="multilevel"/>
    <w:tmpl w:val="6B284C6A"/>
    <w:lvl w:ilvl="0">
      <w:start w:val="1"/>
      <w:numFmt w:val="bullet"/>
      <w:lvlText w:val=""/>
      <w:lvlJc w:val="left"/>
      <w:pPr>
        <w:tabs>
          <w:tab w:val="num" w:pos="720"/>
        </w:tabs>
        <w:ind w:left="720" w:hanging="720"/>
      </w:pPr>
      <w:rPr>
        <w:rFonts w:ascii="Symbol" w:hAnsi="Symbol" w:hint="default"/>
        <w:b/>
        <w:bCs/>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6FD22A57"/>
    <w:multiLevelType w:val="hybridMultilevel"/>
    <w:tmpl w:val="3C063A48"/>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31" w15:restartNumberingAfterBreak="0">
    <w:nsid w:val="73E15E73"/>
    <w:multiLevelType w:val="multilevel"/>
    <w:tmpl w:val="6B284C6A"/>
    <w:lvl w:ilvl="0">
      <w:start w:val="1"/>
      <w:numFmt w:val="bullet"/>
      <w:lvlText w:val=""/>
      <w:lvlJc w:val="left"/>
      <w:pPr>
        <w:tabs>
          <w:tab w:val="num" w:pos="720"/>
        </w:tabs>
        <w:ind w:left="720" w:hanging="720"/>
      </w:pPr>
      <w:rPr>
        <w:rFonts w:ascii="Symbol" w:hAnsi="Symbol" w:hint="default"/>
        <w:b/>
        <w:bCs/>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15:restartNumberingAfterBreak="0">
    <w:nsid w:val="76BE2531"/>
    <w:multiLevelType w:val="multilevel"/>
    <w:tmpl w:val="27EAB15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C3C6A91"/>
    <w:multiLevelType w:val="hybridMultilevel"/>
    <w:tmpl w:val="13F6108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4" w15:restartNumberingAfterBreak="0">
    <w:nsid w:val="7D550761"/>
    <w:multiLevelType w:val="multilevel"/>
    <w:tmpl w:val="71A07584"/>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7FFA6B02"/>
    <w:multiLevelType w:val="multilevel"/>
    <w:tmpl w:val="13004D90"/>
    <w:lvl w:ilvl="0">
      <w:start w:val="4"/>
      <w:numFmt w:val="decimal"/>
      <w:lvlText w:val="%1"/>
      <w:lvlJc w:val="left"/>
      <w:pPr>
        <w:ind w:left="360" w:hanging="360"/>
      </w:pPr>
      <w:rPr>
        <w:rFonts w:hint="default"/>
      </w:rPr>
    </w:lvl>
    <w:lvl w:ilvl="1">
      <w:start w:val="5"/>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20"/>
  </w:num>
  <w:num w:numId="3">
    <w:abstractNumId w:val="24"/>
  </w:num>
  <w:num w:numId="4">
    <w:abstractNumId w:val="30"/>
  </w:num>
  <w:num w:numId="5">
    <w:abstractNumId w:val="14"/>
  </w:num>
  <w:num w:numId="6">
    <w:abstractNumId w:val="21"/>
  </w:num>
  <w:num w:numId="7">
    <w:abstractNumId w:val="17"/>
  </w:num>
  <w:num w:numId="8">
    <w:abstractNumId w:val="23"/>
  </w:num>
  <w:num w:numId="9">
    <w:abstractNumId w:val="26"/>
  </w:num>
  <w:num w:numId="10">
    <w:abstractNumId w:val="18"/>
  </w:num>
  <w:num w:numId="11">
    <w:abstractNumId w:val="0"/>
  </w:num>
  <w:num w:numId="12">
    <w:abstractNumId w:val="34"/>
  </w:num>
  <w:num w:numId="13">
    <w:abstractNumId w:val="9"/>
  </w:num>
  <w:num w:numId="14">
    <w:abstractNumId w:val="4"/>
  </w:num>
  <w:num w:numId="15">
    <w:abstractNumId w:val="12"/>
  </w:num>
  <w:num w:numId="16">
    <w:abstractNumId w:val="32"/>
  </w:num>
  <w:num w:numId="17">
    <w:abstractNumId w:val="33"/>
  </w:num>
  <w:num w:numId="18">
    <w:abstractNumId w:val="13"/>
  </w:num>
  <w:num w:numId="19">
    <w:abstractNumId w:val="3"/>
  </w:num>
  <w:num w:numId="20">
    <w:abstractNumId w:val="35"/>
  </w:num>
  <w:num w:numId="21">
    <w:abstractNumId w:val="25"/>
  </w:num>
  <w:num w:numId="22">
    <w:abstractNumId w:val="16"/>
  </w:num>
  <w:num w:numId="23">
    <w:abstractNumId w:val="10"/>
  </w:num>
  <w:num w:numId="24">
    <w:abstractNumId w:val="5"/>
  </w:num>
  <w:num w:numId="25">
    <w:abstractNumId w:val="6"/>
  </w:num>
  <w:num w:numId="26">
    <w:abstractNumId w:val="29"/>
  </w:num>
  <w:num w:numId="27">
    <w:abstractNumId w:val="7"/>
  </w:num>
  <w:num w:numId="28">
    <w:abstractNumId w:val="31"/>
  </w:num>
  <w:num w:numId="29">
    <w:abstractNumId w:val="28"/>
  </w:num>
  <w:num w:numId="30">
    <w:abstractNumId w:val="22"/>
  </w:num>
  <w:num w:numId="31">
    <w:abstractNumId w:val="27"/>
  </w:num>
  <w:num w:numId="32">
    <w:abstractNumId w:val="1"/>
  </w:num>
  <w:num w:numId="33">
    <w:abstractNumId w:val="2"/>
  </w:num>
  <w:num w:numId="34">
    <w:abstractNumId w:val="11"/>
  </w:num>
  <w:num w:numId="35">
    <w:abstractNumId w:val="19"/>
  </w:num>
  <w:num w:numId="36">
    <w:abstractNumId w:val="1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16A"/>
    <w:rsid w:val="0000617D"/>
    <w:rsid w:val="0000642E"/>
    <w:rsid w:val="00011903"/>
    <w:rsid w:val="000143C5"/>
    <w:rsid w:val="00023FBD"/>
    <w:rsid w:val="00026930"/>
    <w:rsid w:val="000269FA"/>
    <w:rsid w:val="0002750E"/>
    <w:rsid w:val="00040293"/>
    <w:rsid w:val="00042324"/>
    <w:rsid w:val="00043F4D"/>
    <w:rsid w:val="00043FDE"/>
    <w:rsid w:val="00046EC8"/>
    <w:rsid w:val="000471AD"/>
    <w:rsid w:val="000569C2"/>
    <w:rsid w:val="00061D4D"/>
    <w:rsid w:val="00063914"/>
    <w:rsid w:val="00065BB0"/>
    <w:rsid w:val="000663D9"/>
    <w:rsid w:val="000703D5"/>
    <w:rsid w:val="00077606"/>
    <w:rsid w:val="00077F36"/>
    <w:rsid w:val="00082034"/>
    <w:rsid w:val="00091F29"/>
    <w:rsid w:val="00092976"/>
    <w:rsid w:val="000972DD"/>
    <w:rsid w:val="000A1A5B"/>
    <w:rsid w:val="000A1C5E"/>
    <w:rsid w:val="000A1D0C"/>
    <w:rsid w:val="000A54C2"/>
    <w:rsid w:val="000A5633"/>
    <w:rsid w:val="000B4172"/>
    <w:rsid w:val="000B4D99"/>
    <w:rsid w:val="000B52EB"/>
    <w:rsid w:val="000B6F05"/>
    <w:rsid w:val="000B7A10"/>
    <w:rsid w:val="000C1C4F"/>
    <w:rsid w:val="000C48B9"/>
    <w:rsid w:val="000C51CF"/>
    <w:rsid w:val="000D263F"/>
    <w:rsid w:val="000D5415"/>
    <w:rsid w:val="000D599D"/>
    <w:rsid w:val="000E2081"/>
    <w:rsid w:val="000E6364"/>
    <w:rsid w:val="000F0B9C"/>
    <w:rsid w:val="000F485A"/>
    <w:rsid w:val="00107E66"/>
    <w:rsid w:val="001121F2"/>
    <w:rsid w:val="0011633A"/>
    <w:rsid w:val="001167C9"/>
    <w:rsid w:val="0012064B"/>
    <w:rsid w:val="00122A42"/>
    <w:rsid w:val="001275D2"/>
    <w:rsid w:val="00127791"/>
    <w:rsid w:val="0013003E"/>
    <w:rsid w:val="00132DF9"/>
    <w:rsid w:val="00134EF6"/>
    <w:rsid w:val="001548CF"/>
    <w:rsid w:val="00160087"/>
    <w:rsid w:val="0016120C"/>
    <w:rsid w:val="001616A3"/>
    <w:rsid w:val="00174246"/>
    <w:rsid w:val="0017716A"/>
    <w:rsid w:val="001800F3"/>
    <w:rsid w:val="00192808"/>
    <w:rsid w:val="00194B10"/>
    <w:rsid w:val="00196AD8"/>
    <w:rsid w:val="001A6115"/>
    <w:rsid w:val="001B7C20"/>
    <w:rsid w:val="001C35A7"/>
    <w:rsid w:val="001C6C05"/>
    <w:rsid w:val="001D3578"/>
    <w:rsid w:val="001D5DB8"/>
    <w:rsid w:val="001E20D4"/>
    <w:rsid w:val="001E2DFF"/>
    <w:rsid w:val="001F5CAF"/>
    <w:rsid w:val="001F69FA"/>
    <w:rsid w:val="0020545F"/>
    <w:rsid w:val="00213E75"/>
    <w:rsid w:val="00214CFE"/>
    <w:rsid w:val="002162BA"/>
    <w:rsid w:val="00220C62"/>
    <w:rsid w:val="002332C5"/>
    <w:rsid w:val="00234DE4"/>
    <w:rsid w:val="002351B2"/>
    <w:rsid w:val="00237AAE"/>
    <w:rsid w:val="00237C6D"/>
    <w:rsid w:val="00240ED5"/>
    <w:rsid w:val="002441D4"/>
    <w:rsid w:val="00246220"/>
    <w:rsid w:val="0024660C"/>
    <w:rsid w:val="00247306"/>
    <w:rsid w:val="00251846"/>
    <w:rsid w:val="00251C84"/>
    <w:rsid w:val="00251C8A"/>
    <w:rsid w:val="00253052"/>
    <w:rsid w:val="00253EA6"/>
    <w:rsid w:val="00255E3C"/>
    <w:rsid w:val="0025766D"/>
    <w:rsid w:val="00260C10"/>
    <w:rsid w:val="00261B45"/>
    <w:rsid w:val="00263CBE"/>
    <w:rsid w:val="00264268"/>
    <w:rsid w:val="00272B89"/>
    <w:rsid w:val="00273F55"/>
    <w:rsid w:val="00275F21"/>
    <w:rsid w:val="00276E9A"/>
    <w:rsid w:val="002807F8"/>
    <w:rsid w:val="00281EB2"/>
    <w:rsid w:val="002851B9"/>
    <w:rsid w:val="0028555D"/>
    <w:rsid w:val="002952DD"/>
    <w:rsid w:val="002973EE"/>
    <w:rsid w:val="00297510"/>
    <w:rsid w:val="002A4ADD"/>
    <w:rsid w:val="002A528A"/>
    <w:rsid w:val="002A5313"/>
    <w:rsid w:val="002B0FB2"/>
    <w:rsid w:val="002C048B"/>
    <w:rsid w:val="002C0B0D"/>
    <w:rsid w:val="002C6419"/>
    <w:rsid w:val="002C6B05"/>
    <w:rsid w:val="002D2707"/>
    <w:rsid w:val="002D3DC2"/>
    <w:rsid w:val="002D51F9"/>
    <w:rsid w:val="002D5C10"/>
    <w:rsid w:val="002D6618"/>
    <w:rsid w:val="002E12AD"/>
    <w:rsid w:val="002E2030"/>
    <w:rsid w:val="002E7346"/>
    <w:rsid w:val="002F075A"/>
    <w:rsid w:val="002F6E73"/>
    <w:rsid w:val="003008A7"/>
    <w:rsid w:val="00303F4F"/>
    <w:rsid w:val="0030682C"/>
    <w:rsid w:val="00312B82"/>
    <w:rsid w:val="00320C1A"/>
    <w:rsid w:val="00320E74"/>
    <w:rsid w:val="0032220F"/>
    <w:rsid w:val="0032221F"/>
    <w:rsid w:val="0032793E"/>
    <w:rsid w:val="0033352D"/>
    <w:rsid w:val="00334557"/>
    <w:rsid w:val="00337E7C"/>
    <w:rsid w:val="00355A49"/>
    <w:rsid w:val="003639FD"/>
    <w:rsid w:val="0037098E"/>
    <w:rsid w:val="00374266"/>
    <w:rsid w:val="0038274C"/>
    <w:rsid w:val="003845EA"/>
    <w:rsid w:val="00385DAF"/>
    <w:rsid w:val="00386BF9"/>
    <w:rsid w:val="00387FE5"/>
    <w:rsid w:val="00391857"/>
    <w:rsid w:val="00396C75"/>
    <w:rsid w:val="003A5282"/>
    <w:rsid w:val="003A7DA9"/>
    <w:rsid w:val="003B50F1"/>
    <w:rsid w:val="003C1406"/>
    <w:rsid w:val="003C2756"/>
    <w:rsid w:val="003C5EE7"/>
    <w:rsid w:val="003C763C"/>
    <w:rsid w:val="003D4ADA"/>
    <w:rsid w:val="003E0967"/>
    <w:rsid w:val="003E09FB"/>
    <w:rsid w:val="003E18D3"/>
    <w:rsid w:val="003E2A2F"/>
    <w:rsid w:val="003E30A9"/>
    <w:rsid w:val="003E3D76"/>
    <w:rsid w:val="003E7D02"/>
    <w:rsid w:val="00404608"/>
    <w:rsid w:val="00411BE3"/>
    <w:rsid w:val="00411CD0"/>
    <w:rsid w:val="00412F34"/>
    <w:rsid w:val="0041503F"/>
    <w:rsid w:val="00415BE4"/>
    <w:rsid w:val="00430EB5"/>
    <w:rsid w:val="004330F8"/>
    <w:rsid w:val="00434BD2"/>
    <w:rsid w:val="00435061"/>
    <w:rsid w:val="004351EC"/>
    <w:rsid w:val="00435814"/>
    <w:rsid w:val="00440206"/>
    <w:rsid w:val="0044651B"/>
    <w:rsid w:val="0045072B"/>
    <w:rsid w:val="00462CDE"/>
    <w:rsid w:val="004638C7"/>
    <w:rsid w:val="0047682E"/>
    <w:rsid w:val="004852C5"/>
    <w:rsid w:val="00487368"/>
    <w:rsid w:val="00491FA0"/>
    <w:rsid w:val="00494BC8"/>
    <w:rsid w:val="004C21F7"/>
    <w:rsid w:val="004C283A"/>
    <w:rsid w:val="004C31E3"/>
    <w:rsid w:val="004C48D0"/>
    <w:rsid w:val="004C62EC"/>
    <w:rsid w:val="004C73E6"/>
    <w:rsid w:val="004D3D10"/>
    <w:rsid w:val="004D4281"/>
    <w:rsid w:val="004E01C2"/>
    <w:rsid w:val="004E22B7"/>
    <w:rsid w:val="004E5898"/>
    <w:rsid w:val="004F024C"/>
    <w:rsid w:val="004F03E2"/>
    <w:rsid w:val="004F0852"/>
    <w:rsid w:val="004F5B52"/>
    <w:rsid w:val="004F6964"/>
    <w:rsid w:val="00500C10"/>
    <w:rsid w:val="0050158B"/>
    <w:rsid w:val="00503BFA"/>
    <w:rsid w:val="00506096"/>
    <w:rsid w:val="005201D3"/>
    <w:rsid w:val="005226F4"/>
    <w:rsid w:val="00526528"/>
    <w:rsid w:val="00526C7C"/>
    <w:rsid w:val="00526F89"/>
    <w:rsid w:val="00530FA2"/>
    <w:rsid w:val="00531771"/>
    <w:rsid w:val="00532DCE"/>
    <w:rsid w:val="005332F4"/>
    <w:rsid w:val="005362B2"/>
    <w:rsid w:val="005365A1"/>
    <w:rsid w:val="0053673A"/>
    <w:rsid w:val="00537023"/>
    <w:rsid w:val="00540F51"/>
    <w:rsid w:val="00541EF9"/>
    <w:rsid w:val="005426A5"/>
    <w:rsid w:val="005433F4"/>
    <w:rsid w:val="005437B0"/>
    <w:rsid w:val="00544436"/>
    <w:rsid w:val="00545A5C"/>
    <w:rsid w:val="00546F5F"/>
    <w:rsid w:val="00547410"/>
    <w:rsid w:val="0055300B"/>
    <w:rsid w:val="00561106"/>
    <w:rsid w:val="005627AB"/>
    <w:rsid w:val="00572792"/>
    <w:rsid w:val="00574D6B"/>
    <w:rsid w:val="00575B1B"/>
    <w:rsid w:val="005817D7"/>
    <w:rsid w:val="00585927"/>
    <w:rsid w:val="0058650B"/>
    <w:rsid w:val="00587077"/>
    <w:rsid w:val="00594D60"/>
    <w:rsid w:val="0059627E"/>
    <w:rsid w:val="005964E9"/>
    <w:rsid w:val="00596707"/>
    <w:rsid w:val="005A122B"/>
    <w:rsid w:val="005B0BFE"/>
    <w:rsid w:val="005B11C2"/>
    <w:rsid w:val="005B52FE"/>
    <w:rsid w:val="005B5737"/>
    <w:rsid w:val="005B7FD5"/>
    <w:rsid w:val="005C4654"/>
    <w:rsid w:val="005C5E99"/>
    <w:rsid w:val="005C7DEB"/>
    <w:rsid w:val="005D1F37"/>
    <w:rsid w:val="005F4165"/>
    <w:rsid w:val="005F4EC1"/>
    <w:rsid w:val="005F74FF"/>
    <w:rsid w:val="00606554"/>
    <w:rsid w:val="00606D46"/>
    <w:rsid w:val="00610226"/>
    <w:rsid w:val="0061145F"/>
    <w:rsid w:val="00611F97"/>
    <w:rsid w:val="00613F7B"/>
    <w:rsid w:val="006140DC"/>
    <w:rsid w:val="00617B1A"/>
    <w:rsid w:val="00620695"/>
    <w:rsid w:val="006240FA"/>
    <w:rsid w:val="0062712F"/>
    <w:rsid w:val="00630657"/>
    <w:rsid w:val="0063196F"/>
    <w:rsid w:val="00634A38"/>
    <w:rsid w:val="00635A07"/>
    <w:rsid w:val="00640300"/>
    <w:rsid w:val="006409A6"/>
    <w:rsid w:val="00643F51"/>
    <w:rsid w:val="006466F2"/>
    <w:rsid w:val="00653889"/>
    <w:rsid w:val="00653B82"/>
    <w:rsid w:val="00655F18"/>
    <w:rsid w:val="00656946"/>
    <w:rsid w:val="00656BBB"/>
    <w:rsid w:val="00656DF5"/>
    <w:rsid w:val="00662FF6"/>
    <w:rsid w:val="00666757"/>
    <w:rsid w:val="00674DB4"/>
    <w:rsid w:val="00676E66"/>
    <w:rsid w:val="006815EC"/>
    <w:rsid w:val="00685643"/>
    <w:rsid w:val="0068676D"/>
    <w:rsid w:val="006879EC"/>
    <w:rsid w:val="0069496C"/>
    <w:rsid w:val="006960F4"/>
    <w:rsid w:val="0069669A"/>
    <w:rsid w:val="006A11FB"/>
    <w:rsid w:val="006A7D53"/>
    <w:rsid w:val="006B4D8D"/>
    <w:rsid w:val="006C5567"/>
    <w:rsid w:val="006C6F98"/>
    <w:rsid w:val="006D4953"/>
    <w:rsid w:val="006E172F"/>
    <w:rsid w:val="006E57F1"/>
    <w:rsid w:val="006E5B44"/>
    <w:rsid w:val="006E5E2F"/>
    <w:rsid w:val="006E7568"/>
    <w:rsid w:val="006E7C8D"/>
    <w:rsid w:val="006F20F4"/>
    <w:rsid w:val="006F2BF2"/>
    <w:rsid w:val="006F58DD"/>
    <w:rsid w:val="00701751"/>
    <w:rsid w:val="00712D01"/>
    <w:rsid w:val="007159D8"/>
    <w:rsid w:val="0072060E"/>
    <w:rsid w:val="00721205"/>
    <w:rsid w:val="00721395"/>
    <w:rsid w:val="00721D95"/>
    <w:rsid w:val="00722A2D"/>
    <w:rsid w:val="00731995"/>
    <w:rsid w:val="00732C95"/>
    <w:rsid w:val="00734400"/>
    <w:rsid w:val="0074012F"/>
    <w:rsid w:val="00753F06"/>
    <w:rsid w:val="00754652"/>
    <w:rsid w:val="00755E15"/>
    <w:rsid w:val="00765963"/>
    <w:rsid w:val="007659F6"/>
    <w:rsid w:val="00765F0A"/>
    <w:rsid w:val="007700A5"/>
    <w:rsid w:val="007707AD"/>
    <w:rsid w:val="0078069F"/>
    <w:rsid w:val="00782271"/>
    <w:rsid w:val="007825A6"/>
    <w:rsid w:val="007870B1"/>
    <w:rsid w:val="00791585"/>
    <w:rsid w:val="00795235"/>
    <w:rsid w:val="007B0528"/>
    <w:rsid w:val="007B36E7"/>
    <w:rsid w:val="007B6095"/>
    <w:rsid w:val="007B6CC9"/>
    <w:rsid w:val="007B75E3"/>
    <w:rsid w:val="007C62FE"/>
    <w:rsid w:val="007C77A0"/>
    <w:rsid w:val="007D3609"/>
    <w:rsid w:val="007E0CD3"/>
    <w:rsid w:val="007E49AC"/>
    <w:rsid w:val="007E5A7D"/>
    <w:rsid w:val="007E5A87"/>
    <w:rsid w:val="007E5F7D"/>
    <w:rsid w:val="007E6CEA"/>
    <w:rsid w:val="007F1DA4"/>
    <w:rsid w:val="007F2600"/>
    <w:rsid w:val="007F3264"/>
    <w:rsid w:val="007F4061"/>
    <w:rsid w:val="00801741"/>
    <w:rsid w:val="008019F8"/>
    <w:rsid w:val="008056B5"/>
    <w:rsid w:val="00813BB5"/>
    <w:rsid w:val="00816CC6"/>
    <w:rsid w:val="0082222B"/>
    <w:rsid w:val="00832F21"/>
    <w:rsid w:val="00833C2B"/>
    <w:rsid w:val="008360A2"/>
    <w:rsid w:val="00840F58"/>
    <w:rsid w:val="00847371"/>
    <w:rsid w:val="00847697"/>
    <w:rsid w:val="00850DE8"/>
    <w:rsid w:val="00851323"/>
    <w:rsid w:val="00853E2A"/>
    <w:rsid w:val="00857018"/>
    <w:rsid w:val="008643C4"/>
    <w:rsid w:val="0086479F"/>
    <w:rsid w:val="00864E58"/>
    <w:rsid w:val="00867DC6"/>
    <w:rsid w:val="00870116"/>
    <w:rsid w:val="00871286"/>
    <w:rsid w:val="00871F4F"/>
    <w:rsid w:val="00872CAE"/>
    <w:rsid w:val="00876379"/>
    <w:rsid w:val="0088248D"/>
    <w:rsid w:val="0088767C"/>
    <w:rsid w:val="008876A2"/>
    <w:rsid w:val="00893B1D"/>
    <w:rsid w:val="0089556D"/>
    <w:rsid w:val="00896A8A"/>
    <w:rsid w:val="008A2F52"/>
    <w:rsid w:val="008A694A"/>
    <w:rsid w:val="008A7C5B"/>
    <w:rsid w:val="008B4412"/>
    <w:rsid w:val="008B67C2"/>
    <w:rsid w:val="008B7045"/>
    <w:rsid w:val="008B7244"/>
    <w:rsid w:val="008C37C0"/>
    <w:rsid w:val="008C5EA5"/>
    <w:rsid w:val="008C7E15"/>
    <w:rsid w:val="008D405A"/>
    <w:rsid w:val="008E3D69"/>
    <w:rsid w:val="008E7410"/>
    <w:rsid w:val="008F0C00"/>
    <w:rsid w:val="008F2F61"/>
    <w:rsid w:val="00905396"/>
    <w:rsid w:val="00905904"/>
    <w:rsid w:val="00911983"/>
    <w:rsid w:val="0091290E"/>
    <w:rsid w:val="00926C47"/>
    <w:rsid w:val="00930436"/>
    <w:rsid w:val="009314A8"/>
    <w:rsid w:val="009323DB"/>
    <w:rsid w:val="00932616"/>
    <w:rsid w:val="0093309D"/>
    <w:rsid w:val="00940B37"/>
    <w:rsid w:val="0094503C"/>
    <w:rsid w:val="0094539C"/>
    <w:rsid w:val="00946FDC"/>
    <w:rsid w:val="0094727B"/>
    <w:rsid w:val="0095393C"/>
    <w:rsid w:val="009662D3"/>
    <w:rsid w:val="009871E9"/>
    <w:rsid w:val="00987B96"/>
    <w:rsid w:val="009A20B8"/>
    <w:rsid w:val="009B1AFD"/>
    <w:rsid w:val="009B1E64"/>
    <w:rsid w:val="009B1EA4"/>
    <w:rsid w:val="009B270D"/>
    <w:rsid w:val="009B32C8"/>
    <w:rsid w:val="009B4563"/>
    <w:rsid w:val="009B57FC"/>
    <w:rsid w:val="009C52C4"/>
    <w:rsid w:val="009D56DD"/>
    <w:rsid w:val="009E012D"/>
    <w:rsid w:val="009E1BCB"/>
    <w:rsid w:val="009E6265"/>
    <w:rsid w:val="009E7F6D"/>
    <w:rsid w:val="00A001E1"/>
    <w:rsid w:val="00A0717C"/>
    <w:rsid w:val="00A1252D"/>
    <w:rsid w:val="00A13167"/>
    <w:rsid w:val="00A13863"/>
    <w:rsid w:val="00A2435F"/>
    <w:rsid w:val="00A267CA"/>
    <w:rsid w:val="00A2683F"/>
    <w:rsid w:val="00A30191"/>
    <w:rsid w:val="00A31508"/>
    <w:rsid w:val="00A34796"/>
    <w:rsid w:val="00A354B0"/>
    <w:rsid w:val="00A41CA6"/>
    <w:rsid w:val="00A42023"/>
    <w:rsid w:val="00A42FAF"/>
    <w:rsid w:val="00A56FBF"/>
    <w:rsid w:val="00A64D64"/>
    <w:rsid w:val="00A678DE"/>
    <w:rsid w:val="00A70928"/>
    <w:rsid w:val="00A70CB8"/>
    <w:rsid w:val="00A82092"/>
    <w:rsid w:val="00A82D7E"/>
    <w:rsid w:val="00A833B3"/>
    <w:rsid w:val="00A83E68"/>
    <w:rsid w:val="00A855F6"/>
    <w:rsid w:val="00A93A2E"/>
    <w:rsid w:val="00A93DC8"/>
    <w:rsid w:val="00AA4E6B"/>
    <w:rsid w:val="00AA7CA1"/>
    <w:rsid w:val="00AB25EE"/>
    <w:rsid w:val="00AB4F5E"/>
    <w:rsid w:val="00AC0CDF"/>
    <w:rsid w:val="00AC3F59"/>
    <w:rsid w:val="00AC74FF"/>
    <w:rsid w:val="00AC7800"/>
    <w:rsid w:val="00AD0C55"/>
    <w:rsid w:val="00AD2800"/>
    <w:rsid w:val="00AD3838"/>
    <w:rsid w:val="00AD508F"/>
    <w:rsid w:val="00AD7AC3"/>
    <w:rsid w:val="00AE4A07"/>
    <w:rsid w:val="00AE4A22"/>
    <w:rsid w:val="00AE4E0A"/>
    <w:rsid w:val="00AE7E57"/>
    <w:rsid w:val="00AF13CF"/>
    <w:rsid w:val="00AF2358"/>
    <w:rsid w:val="00AF77E8"/>
    <w:rsid w:val="00AF7A93"/>
    <w:rsid w:val="00B01B2C"/>
    <w:rsid w:val="00B05371"/>
    <w:rsid w:val="00B05550"/>
    <w:rsid w:val="00B1557B"/>
    <w:rsid w:val="00B16190"/>
    <w:rsid w:val="00B21C24"/>
    <w:rsid w:val="00B267C8"/>
    <w:rsid w:val="00B2699A"/>
    <w:rsid w:val="00B3138D"/>
    <w:rsid w:val="00B37B8F"/>
    <w:rsid w:val="00B42AED"/>
    <w:rsid w:val="00B43C55"/>
    <w:rsid w:val="00B50729"/>
    <w:rsid w:val="00B51208"/>
    <w:rsid w:val="00B5731B"/>
    <w:rsid w:val="00B60A59"/>
    <w:rsid w:val="00B610DC"/>
    <w:rsid w:val="00B61F1E"/>
    <w:rsid w:val="00B639F7"/>
    <w:rsid w:val="00B64F63"/>
    <w:rsid w:val="00B67174"/>
    <w:rsid w:val="00B67E15"/>
    <w:rsid w:val="00B705E2"/>
    <w:rsid w:val="00B75DCE"/>
    <w:rsid w:val="00B861F3"/>
    <w:rsid w:val="00B86444"/>
    <w:rsid w:val="00B865E0"/>
    <w:rsid w:val="00B9125B"/>
    <w:rsid w:val="00BA13EA"/>
    <w:rsid w:val="00BA6209"/>
    <w:rsid w:val="00BB0A20"/>
    <w:rsid w:val="00BB27D6"/>
    <w:rsid w:val="00BB2ED1"/>
    <w:rsid w:val="00BC0A23"/>
    <w:rsid w:val="00BD1911"/>
    <w:rsid w:val="00BD1D46"/>
    <w:rsid w:val="00BD32A8"/>
    <w:rsid w:val="00BD5CA1"/>
    <w:rsid w:val="00BE23A9"/>
    <w:rsid w:val="00BF31D2"/>
    <w:rsid w:val="00BF347B"/>
    <w:rsid w:val="00C01F31"/>
    <w:rsid w:val="00C2020D"/>
    <w:rsid w:val="00C20644"/>
    <w:rsid w:val="00C2080F"/>
    <w:rsid w:val="00C22B55"/>
    <w:rsid w:val="00C23A98"/>
    <w:rsid w:val="00C26B8C"/>
    <w:rsid w:val="00C26E70"/>
    <w:rsid w:val="00C32093"/>
    <w:rsid w:val="00C32DAC"/>
    <w:rsid w:val="00C348F7"/>
    <w:rsid w:val="00C43F9E"/>
    <w:rsid w:val="00C44F01"/>
    <w:rsid w:val="00C4794A"/>
    <w:rsid w:val="00C51316"/>
    <w:rsid w:val="00C55CA8"/>
    <w:rsid w:val="00C60E9D"/>
    <w:rsid w:val="00C7016A"/>
    <w:rsid w:val="00C70B8B"/>
    <w:rsid w:val="00C74B8E"/>
    <w:rsid w:val="00C75A51"/>
    <w:rsid w:val="00C814DD"/>
    <w:rsid w:val="00C82E51"/>
    <w:rsid w:val="00C84BF5"/>
    <w:rsid w:val="00C8573E"/>
    <w:rsid w:val="00C93348"/>
    <w:rsid w:val="00C95948"/>
    <w:rsid w:val="00C96ED7"/>
    <w:rsid w:val="00CA08A9"/>
    <w:rsid w:val="00CA1BDB"/>
    <w:rsid w:val="00CA3DB7"/>
    <w:rsid w:val="00CA5827"/>
    <w:rsid w:val="00CA5E31"/>
    <w:rsid w:val="00CB44B1"/>
    <w:rsid w:val="00CC33A5"/>
    <w:rsid w:val="00CC42F3"/>
    <w:rsid w:val="00CD2231"/>
    <w:rsid w:val="00CD2B99"/>
    <w:rsid w:val="00CE490C"/>
    <w:rsid w:val="00CE7F53"/>
    <w:rsid w:val="00CF0330"/>
    <w:rsid w:val="00CF462D"/>
    <w:rsid w:val="00D00204"/>
    <w:rsid w:val="00D05A86"/>
    <w:rsid w:val="00D06F02"/>
    <w:rsid w:val="00D10846"/>
    <w:rsid w:val="00D13363"/>
    <w:rsid w:val="00D162C6"/>
    <w:rsid w:val="00D1740E"/>
    <w:rsid w:val="00D21310"/>
    <w:rsid w:val="00D23B8F"/>
    <w:rsid w:val="00D246FB"/>
    <w:rsid w:val="00D26922"/>
    <w:rsid w:val="00D278BA"/>
    <w:rsid w:val="00D30260"/>
    <w:rsid w:val="00D3129D"/>
    <w:rsid w:val="00D319CE"/>
    <w:rsid w:val="00D33AC9"/>
    <w:rsid w:val="00D34625"/>
    <w:rsid w:val="00D42D49"/>
    <w:rsid w:val="00D4451C"/>
    <w:rsid w:val="00D47784"/>
    <w:rsid w:val="00D5034A"/>
    <w:rsid w:val="00D57E4A"/>
    <w:rsid w:val="00D60AE3"/>
    <w:rsid w:val="00D60C71"/>
    <w:rsid w:val="00D61D2C"/>
    <w:rsid w:val="00D63277"/>
    <w:rsid w:val="00D75F25"/>
    <w:rsid w:val="00D8012F"/>
    <w:rsid w:val="00D825BE"/>
    <w:rsid w:val="00D83BD0"/>
    <w:rsid w:val="00D9087F"/>
    <w:rsid w:val="00D920FF"/>
    <w:rsid w:val="00DA26B4"/>
    <w:rsid w:val="00DA3068"/>
    <w:rsid w:val="00DA339D"/>
    <w:rsid w:val="00DA5E50"/>
    <w:rsid w:val="00DA7FC4"/>
    <w:rsid w:val="00DB22A4"/>
    <w:rsid w:val="00DB43B9"/>
    <w:rsid w:val="00DC049D"/>
    <w:rsid w:val="00DC2666"/>
    <w:rsid w:val="00DC3340"/>
    <w:rsid w:val="00DC595E"/>
    <w:rsid w:val="00DD6BA3"/>
    <w:rsid w:val="00DE5795"/>
    <w:rsid w:val="00DE6F64"/>
    <w:rsid w:val="00DF0603"/>
    <w:rsid w:val="00DF133E"/>
    <w:rsid w:val="00E012CE"/>
    <w:rsid w:val="00E06896"/>
    <w:rsid w:val="00E0718C"/>
    <w:rsid w:val="00E12519"/>
    <w:rsid w:val="00E13749"/>
    <w:rsid w:val="00E17573"/>
    <w:rsid w:val="00E21164"/>
    <w:rsid w:val="00E21FD4"/>
    <w:rsid w:val="00E243CB"/>
    <w:rsid w:val="00E25755"/>
    <w:rsid w:val="00E36B3A"/>
    <w:rsid w:val="00E378D8"/>
    <w:rsid w:val="00E37F71"/>
    <w:rsid w:val="00E37FA6"/>
    <w:rsid w:val="00E40094"/>
    <w:rsid w:val="00E402D8"/>
    <w:rsid w:val="00E432EA"/>
    <w:rsid w:val="00E521F2"/>
    <w:rsid w:val="00E55C01"/>
    <w:rsid w:val="00E57005"/>
    <w:rsid w:val="00E618D4"/>
    <w:rsid w:val="00E62EE8"/>
    <w:rsid w:val="00E651A4"/>
    <w:rsid w:val="00E71137"/>
    <w:rsid w:val="00E826F2"/>
    <w:rsid w:val="00E82E1E"/>
    <w:rsid w:val="00E83074"/>
    <w:rsid w:val="00E90259"/>
    <w:rsid w:val="00E91A4E"/>
    <w:rsid w:val="00EA66CF"/>
    <w:rsid w:val="00EB1702"/>
    <w:rsid w:val="00EB206A"/>
    <w:rsid w:val="00EB3921"/>
    <w:rsid w:val="00EB4A0B"/>
    <w:rsid w:val="00EB5DE8"/>
    <w:rsid w:val="00EC107F"/>
    <w:rsid w:val="00EC4835"/>
    <w:rsid w:val="00EC6284"/>
    <w:rsid w:val="00ED039D"/>
    <w:rsid w:val="00ED494B"/>
    <w:rsid w:val="00ED49B1"/>
    <w:rsid w:val="00ED59ED"/>
    <w:rsid w:val="00EF054F"/>
    <w:rsid w:val="00EF2C8F"/>
    <w:rsid w:val="00F04970"/>
    <w:rsid w:val="00F05906"/>
    <w:rsid w:val="00F10674"/>
    <w:rsid w:val="00F1093E"/>
    <w:rsid w:val="00F10D49"/>
    <w:rsid w:val="00F110B9"/>
    <w:rsid w:val="00F13679"/>
    <w:rsid w:val="00F1698B"/>
    <w:rsid w:val="00F22686"/>
    <w:rsid w:val="00F23A82"/>
    <w:rsid w:val="00F26DB4"/>
    <w:rsid w:val="00F2708C"/>
    <w:rsid w:val="00F35E10"/>
    <w:rsid w:val="00F40B77"/>
    <w:rsid w:val="00F4104F"/>
    <w:rsid w:val="00F41F9F"/>
    <w:rsid w:val="00F47D4B"/>
    <w:rsid w:val="00F51533"/>
    <w:rsid w:val="00F543B8"/>
    <w:rsid w:val="00F619A4"/>
    <w:rsid w:val="00F71E7B"/>
    <w:rsid w:val="00F72D98"/>
    <w:rsid w:val="00F87681"/>
    <w:rsid w:val="00F90F81"/>
    <w:rsid w:val="00F9104F"/>
    <w:rsid w:val="00F95A25"/>
    <w:rsid w:val="00FA6716"/>
    <w:rsid w:val="00FA6F80"/>
    <w:rsid w:val="00FA79D8"/>
    <w:rsid w:val="00FA7E0C"/>
    <w:rsid w:val="00FB0038"/>
    <w:rsid w:val="00FB2DC3"/>
    <w:rsid w:val="00FB512D"/>
    <w:rsid w:val="00FC02A7"/>
    <w:rsid w:val="00FC092D"/>
    <w:rsid w:val="00FC17EE"/>
    <w:rsid w:val="00FD2B73"/>
    <w:rsid w:val="00FD39C9"/>
    <w:rsid w:val="00FD5BA3"/>
    <w:rsid w:val="00FD68CD"/>
    <w:rsid w:val="00FD7E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2233E91"/>
  <w15:docId w15:val="{57D1CB49-C41D-4627-BD92-62D0BF5E5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7FE5"/>
    <w:rPr>
      <w:sz w:val="22"/>
      <w:szCs w:val="22"/>
    </w:rPr>
  </w:style>
  <w:style w:type="paragraph" w:styleId="Heading1">
    <w:name w:val="heading 1"/>
    <w:basedOn w:val="Normal"/>
    <w:next w:val="Normal"/>
    <w:link w:val="Heading1Char"/>
    <w:qFormat/>
    <w:rsid w:val="00FA79D8"/>
    <w:pPr>
      <w:keepNext/>
      <w:spacing w:before="240" w:after="60" w:line="276" w:lineRule="auto"/>
      <w:outlineLvl w:val="0"/>
    </w:pPr>
    <w:rPr>
      <w:rFonts w:ascii="Cambria" w:eastAsia="Times New Roman" w:hAnsi="Cambria" w:cs="Times New Roman"/>
      <w:b/>
      <w:bCs/>
      <w:kern w:val="32"/>
      <w:sz w:val="32"/>
      <w:szCs w:val="32"/>
      <w:lang w:eastAsia="en-US"/>
    </w:rPr>
  </w:style>
  <w:style w:type="paragraph" w:styleId="Heading2">
    <w:name w:val="heading 2"/>
    <w:basedOn w:val="Normal"/>
    <w:next w:val="Normal"/>
    <w:link w:val="Heading2Char"/>
    <w:uiPriority w:val="9"/>
    <w:semiHidden/>
    <w:unhideWhenUsed/>
    <w:qFormat/>
    <w:rsid w:val="00A13863"/>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qFormat/>
    <w:rsid w:val="00E012CE"/>
    <w:pPr>
      <w:keepNext/>
      <w:jc w:val="center"/>
      <w:outlineLvl w:val="2"/>
    </w:pPr>
    <w:rPr>
      <w:rFonts w:ascii="Times New Roman" w:eastAsia="Times New Roman" w:hAnsi="Times New Roman" w:cs="Times New Roman"/>
      <w:sz w:val="32"/>
      <w:szCs w:val="20"/>
      <w:lang w:val="en-US" w:eastAsia="en-US"/>
    </w:rPr>
  </w:style>
  <w:style w:type="paragraph" w:styleId="Heading8">
    <w:name w:val="heading 8"/>
    <w:basedOn w:val="Normal"/>
    <w:next w:val="Normal"/>
    <w:link w:val="Heading8Char"/>
    <w:uiPriority w:val="9"/>
    <w:semiHidden/>
    <w:unhideWhenUsed/>
    <w:qFormat/>
    <w:rsid w:val="00A13863"/>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5A86"/>
    <w:rPr>
      <w:rFonts w:ascii="Tahoma" w:hAnsi="Tahoma" w:cs="Times New Roman"/>
      <w:sz w:val="16"/>
      <w:szCs w:val="16"/>
    </w:rPr>
  </w:style>
  <w:style w:type="character" w:customStyle="1" w:styleId="BalloonTextChar">
    <w:name w:val="Balloon Text Char"/>
    <w:link w:val="BalloonText"/>
    <w:uiPriority w:val="99"/>
    <w:semiHidden/>
    <w:rsid w:val="00D05A86"/>
    <w:rPr>
      <w:rFonts w:ascii="Tahoma" w:hAnsi="Tahoma" w:cs="Tahoma"/>
      <w:sz w:val="16"/>
      <w:szCs w:val="16"/>
    </w:rPr>
  </w:style>
  <w:style w:type="paragraph" w:styleId="ListParagraph">
    <w:name w:val="List Paragraph"/>
    <w:basedOn w:val="Normal"/>
    <w:uiPriority w:val="34"/>
    <w:qFormat/>
    <w:rsid w:val="007F2600"/>
    <w:pPr>
      <w:ind w:left="720"/>
    </w:pPr>
  </w:style>
  <w:style w:type="character" w:customStyle="1" w:styleId="Heading3Char">
    <w:name w:val="Heading 3 Char"/>
    <w:basedOn w:val="DefaultParagraphFont"/>
    <w:link w:val="Heading3"/>
    <w:rsid w:val="00E012CE"/>
    <w:rPr>
      <w:rFonts w:ascii="Times New Roman" w:eastAsia="Times New Roman" w:hAnsi="Times New Roman" w:cs="Times New Roman"/>
      <w:sz w:val="32"/>
      <w:effect w:val="none"/>
      <w:lang w:val="en-US" w:eastAsia="en-US"/>
    </w:rPr>
  </w:style>
  <w:style w:type="character" w:customStyle="1" w:styleId="Heading2Char">
    <w:name w:val="Heading 2 Char"/>
    <w:basedOn w:val="DefaultParagraphFont"/>
    <w:link w:val="Heading2"/>
    <w:uiPriority w:val="9"/>
    <w:semiHidden/>
    <w:rsid w:val="00A13863"/>
    <w:rPr>
      <w:rFonts w:asciiTheme="majorHAnsi" w:eastAsiaTheme="majorEastAsia" w:hAnsiTheme="majorHAnsi" w:cstheme="majorBidi"/>
      <w:b/>
      <w:bCs/>
      <w:color w:val="4472C4" w:themeColor="accent1"/>
      <w:sz w:val="26"/>
      <w:szCs w:val="26"/>
    </w:rPr>
  </w:style>
  <w:style w:type="character" w:customStyle="1" w:styleId="Heading8Char">
    <w:name w:val="Heading 8 Char"/>
    <w:basedOn w:val="DefaultParagraphFont"/>
    <w:link w:val="Heading8"/>
    <w:uiPriority w:val="9"/>
    <w:semiHidden/>
    <w:rsid w:val="00A13863"/>
    <w:rPr>
      <w:rFonts w:asciiTheme="majorHAnsi" w:eastAsiaTheme="majorEastAsia" w:hAnsiTheme="majorHAnsi" w:cstheme="majorBidi"/>
      <w:color w:val="404040" w:themeColor="text1" w:themeTint="BF"/>
    </w:rPr>
  </w:style>
  <w:style w:type="paragraph" w:styleId="BodyTextIndent3">
    <w:name w:val="Body Text Indent 3"/>
    <w:basedOn w:val="Normal"/>
    <w:link w:val="BodyTextIndent3Char"/>
    <w:rsid w:val="002A528A"/>
    <w:pPr>
      <w:ind w:left="720" w:hanging="720"/>
    </w:pPr>
    <w:rPr>
      <w:rFonts w:ascii="Times New Roman" w:eastAsia="Times New Roman" w:hAnsi="Times New Roman" w:cs="Times New Roman"/>
      <w:szCs w:val="20"/>
      <w:lang w:val="en-US" w:eastAsia="en-US"/>
    </w:rPr>
  </w:style>
  <w:style w:type="character" w:customStyle="1" w:styleId="BodyTextIndent3Char">
    <w:name w:val="Body Text Indent 3 Char"/>
    <w:basedOn w:val="DefaultParagraphFont"/>
    <w:link w:val="BodyTextIndent3"/>
    <w:rsid w:val="002A528A"/>
    <w:rPr>
      <w:rFonts w:ascii="Times New Roman" w:eastAsia="Times New Roman" w:hAnsi="Times New Roman" w:cs="Times New Roman"/>
      <w:sz w:val="22"/>
      <w:lang w:val="en-US" w:eastAsia="en-US"/>
    </w:rPr>
  </w:style>
  <w:style w:type="paragraph" w:styleId="BodyText">
    <w:name w:val="Body Text"/>
    <w:basedOn w:val="Normal"/>
    <w:link w:val="BodyTextChar"/>
    <w:unhideWhenUsed/>
    <w:rsid w:val="002A528A"/>
    <w:pPr>
      <w:spacing w:after="120" w:line="276" w:lineRule="auto"/>
    </w:pPr>
    <w:rPr>
      <w:rFonts w:ascii="Calibri" w:hAnsi="Calibri" w:cs="Times New Roman"/>
      <w:lang w:eastAsia="en-US"/>
    </w:rPr>
  </w:style>
  <w:style w:type="character" w:customStyle="1" w:styleId="BodyTextChar">
    <w:name w:val="Body Text Char"/>
    <w:basedOn w:val="DefaultParagraphFont"/>
    <w:link w:val="BodyText"/>
    <w:uiPriority w:val="99"/>
    <w:rsid w:val="002A528A"/>
    <w:rPr>
      <w:rFonts w:ascii="Calibri" w:hAnsi="Calibri" w:cs="Times New Roman"/>
      <w:sz w:val="22"/>
      <w:szCs w:val="22"/>
      <w:lang w:eastAsia="en-US"/>
    </w:rPr>
  </w:style>
  <w:style w:type="character" w:customStyle="1" w:styleId="Heading1Char">
    <w:name w:val="Heading 1 Char"/>
    <w:basedOn w:val="DefaultParagraphFont"/>
    <w:link w:val="Heading1"/>
    <w:rsid w:val="00FA79D8"/>
    <w:rPr>
      <w:rFonts w:ascii="Cambria" w:eastAsia="Times New Roman" w:hAnsi="Cambria" w:cs="Times New Roman"/>
      <w:b/>
      <w:bCs/>
      <w:kern w:val="32"/>
      <w:sz w:val="32"/>
      <w:szCs w:val="32"/>
      <w:lang w:eastAsia="en-US"/>
    </w:rPr>
  </w:style>
  <w:style w:type="paragraph" w:styleId="BodyTextIndent">
    <w:name w:val="Body Text Indent"/>
    <w:basedOn w:val="Normal"/>
    <w:link w:val="BodyTextIndentChar"/>
    <w:unhideWhenUsed/>
    <w:rsid w:val="00FA79D8"/>
    <w:pPr>
      <w:spacing w:after="120" w:line="276" w:lineRule="auto"/>
      <w:ind w:left="283"/>
    </w:pPr>
    <w:rPr>
      <w:rFonts w:ascii="Calibri" w:hAnsi="Calibri" w:cs="Times New Roman"/>
      <w:lang w:eastAsia="en-US"/>
    </w:rPr>
  </w:style>
  <w:style w:type="character" w:customStyle="1" w:styleId="BodyTextIndentChar">
    <w:name w:val="Body Text Indent Char"/>
    <w:basedOn w:val="DefaultParagraphFont"/>
    <w:link w:val="BodyTextIndent"/>
    <w:rsid w:val="00FA79D8"/>
    <w:rPr>
      <w:rFonts w:ascii="Calibri" w:hAnsi="Calibri" w:cs="Times New Roman"/>
      <w:sz w:val="22"/>
      <w:szCs w:val="22"/>
      <w:lang w:eastAsia="en-US"/>
    </w:rPr>
  </w:style>
  <w:style w:type="paragraph" w:customStyle="1" w:styleId="xl40">
    <w:name w:val="xl40"/>
    <w:basedOn w:val="Normal"/>
    <w:rsid w:val="00FA79D8"/>
    <w:pPr>
      <w:pBdr>
        <w:left w:val="single" w:sz="8" w:space="0" w:color="auto"/>
        <w:bottom w:val="single" w:sz="8" w:space="0" w:color="auto"/>
      </w:pBdr>
      <w:spacing w:before="100" w:after="100"/>
      <w:jc w:val="right"/>
    </w:pPr>
    <w:rPr>
      <w:rFonts w:ascii="Arial Unicode MS" w:eastAsia="Arial Unicode MS" w:hAnsi="Arial Unicode MS" w:cs="Times New Roman"/>
      <w:b/>
      <w:sz w:val="24"/>
      <w:szCs w:val="20"/>
      <w:lang w:eastAsia="en-US"/>
    </w:rPr>
  </w:style>
  <w:style w:type="paragraph" w:styleId="Header">
    <w:name w:val="header"/>
    <w:basedOn w:val="Normal"/>
    <w:link w:val="HeaderChar"/>
    <w:rsid w:val="00FA79D8"/>
    <w:pPr>
      <w:tabs>
        <w:tab w:val="center" w:pos="4320"/>
        <w:tab w:val="right" w:pos="8640"/>
      </w:tabs>
    </w:pPr>
    <w:rPr>
      <w:rFonts w:ascii="Times New Roman" w:eastAsia="Times New Roman" w:hAnsi="Times New Roman" w:cs="Times New Roman"/>
      <w:sz w:val="20"/>
      <w:szCs w:val="20"/>
      <w:lang w:val="en-US" w:eastAsia="en-US"/>
    </w:rPr>
  </w:style>
  <w:style w:type="character" w:customStyle="1" w:styleId="HeaderChar">
    <w:name w:val="Header Char"/>
    <w:basedOn w:val="DefaultParagraphFont"/>
    <w:link w:val="Header"/>
    <w:rsid w:val="00FA79D8"/>
    <w:rPr>
      <w:rFonts w:ascii="Times New Roman" w:eastAsia="Times New Roman" w:hAnsi="Times New Roman" w:cs="Times New Roman"/>
      <w:lang w:val="en-US" w:eastAsia="en-US"/>
    </w:rPr>
  </w:style>
  <w:style w:type="character" w:styleId="CommentReference">
    <w:name w:val="annotation reference"/>
    <w:basedOn w:val="DefaultParagraphFont"/>
    <w:uiPriority w:val="99"/>
    <w:semiHidden/>
    <w:unhideWhenUsed/>
    <w:rsid w:val="00E82E1E"/>
    <w:rPr>
      <w:sz w:val="16"/>
      <w:szCs w:val="16"/>
    </w:rPr>
  </w:style>
  <w:style w:type="paragraph" w:styleId="CommentText">
    <w:name w:val="annotation text"/>
    <w:basedOn w:val="Normal"/>
    <w:link w:val="CommentTextChar"/>
    <w:uiPriority w:val="99"/>
    <w:semiHidden/>
    <w:unhideWhenUsed/>
    <w:rsid w:val="00E82E1E"/>
    <w:rPr>
      <w:sz w:val="20"/>
      <w:szCs w:val="20"/>
    </w:rPr>
  </w:style>
  <w:style w:type="character" w:customStyle="1" w:styleId="CommentTextChar">
    <w:name w:val="Comment Text Char"/>
    <w:basedOn w:val="DefaultParagraphFont"/>
    <w:link w:val="CommentText"/>
    <w:uiPriority w:val="99"/>
    <w:semiHidden/>
    <w:rsid w:val="00E82E1E"/>
  </w:style>
  <w:style w:type="paragraph" w:styleId="CommentSubject">
    <w:name w:val="annotation subject"/>
    <w:basedOn w:val="CommentText"/>
    <w:next w:val="CommentText"/>
    <w:link w:val="CommentSubjectChar"/>
    <w:uiPriority w:val="99"/>
    <w:semiHidden/>
    <w:unhideWhenUsed/>
    <w:rsid w:val="00E82E1E"/>
    <w:rPr>
      <w:b/>
      <w:bCs/>
    </w:rPr>
  </w:style>
  <w:style w:type="character" w:customStyle="1" w:styleId="CommentSubjectChar">
    <w:name w:val="Comment Subject Char"/>
    <w:basedOn w:val="CommentTextChar"/>
    <w:link w:val="CommentSubject"/>
    <w:uiPriority w:val="99"/>
    <w:semiHidden/>
    <w:rsid w:val="00E82E1E"/>
    <w:rPr>
      <w:b/>
      <w:bCs/>
    </w:rPr>
  </w:style>
  <w:style w:type="paragraph" w:customStyle="1" w:styleId="ChapterHeading">
    <w:name w:val="Chapter Heading"/>
    <w:basedOn w:val="Normal"/>
    <w:uiPriority w:val="99"/>
    <w:semiHidden/>
    <w:rsid w:val="00EB5DE8"/>
    <w:pPr>
      <w:pageBreakBefore/>
      <w:numPr>
        <w:numId w:val="18"/>
      </w:numPr>
      <w:spacing w:before="120" w:after="120"/>
      <w:jc w:val="both"/>
    </w:pPr>
    <w:rPr>
      <w:rFonts w:ascii="Calibri" w:eastAsia="Times New Roman" w:hAnsi="Calibri"/>
      <w:b/>
      <w:noProof/>
      <w:spacing w:val="-5"/>
      <w:sz w:val="36"/>
      <w:szCs w:val="36"/>
      <w:lang w:eastAsia="en-US"/>
    </w:rPr>
  </w:style>
  <w:style w:type="paragraph" w:customStyle="1" w:styleId="Subheading">
    <w:name w:val="Subheading"/>
    <w:basedOn w:val="BodyText"/>
    <w:uiPriority w:val="99"/>
    <w:semiHidden/>
    <w:rsid w:val="00EB5DE8"/>
    <w:pPr>
      <w:numPr>
        <w:ilvl w:val="1"/>
        <w:numId w:val="18"/>
      </w:numPr>
      <w:spacing w:before="270" w:after="180" w:line="240" w:lineRule="auto"/>
      <w:jc w:val="both"/>
    </w:pPr>
    <w:rPr>
      <w:rFonts w:ascii="Arial" w:eastAsia="Times New Roman" w:hAnsi="Arial" w:cs="Arial"/>
      <w:b/>
      <w:noProof/>
    </w:rPr>
  </w:style>
  <w:style w:type="paragraph" w:customStyle="1" w:styleId="subhead">
    <w:name w:val="subhead"/>
    <w:basedOn w:val="Subheading"/>
    <w:link w:val="subheadChar"/>
    <w:uiPriority w:val="99"/>
    <w:rsid w:val="00EB5DE8"/>
  </w:style>
  <w:style w:type="character" w:customStyle="1" w:styleId="subheadChar">
    <w:name w:val="subhead Char"/>
    <w:basedOn w:val="DefaultParagraphFont"/>
    <w:link w:val="subhead"/>
    <w:uiPriority w:val="99"/>
    <w:locked/>
    <w:rsid w:val="00EB5DE8"/>
    <w:rPr>
      <w:rFonts w:eastAsia="Times New Roman"/>
      <w:b/>
      <w:noProof/>
      <w:sz w:val="22"/>
      <w:szCs w:val="22"/>
      <w:lang w:eastAsia="en-US"/>
    </w:rPr>
  </w:style>
  <w:style w:type="paragraph" w:styleId="NoSpacing">
    <w:name w:val="No Spacing"/>
    <w:uiPriority w:val="1"/>
    <w:qFormat/>
    <w:rsid w:val="00AD2800"/>
    <w:rPr>
      <w:sz w:val="22"/>
      <w:szCs w:val="22"/>
    </w:rPr>
  </w:style>
  <w:style w:type="paragraph" w:styleId="Revision">
    <w:name w:val="Revision"/>
    <w:hidden/>
    <w:uiPriority w:val="99"/>
    <w:semiHidden/>
    <w:rsid w:val="003E18D3"/>
    <w:rPr>
      <w:sz w:val="22"/>
      <w:szCs w:val="22"/>
    </w:rPr>
  </w:style>
  <w:style w:type="table" w:styleId="GridTable4-Accent1">
    <w:name w:val="Grid Table 4 Accent 1"/>
    <w:basedOn w:val="TableNormal"/>
    <w:uiPriority w:val="49"/>
    <w:rsid w:val="00FA6716"/>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2-Accent1">
    <w:name w:val="Grid Table 2 Accent 1"/>
    <w:basedOn w:val="TableNormal"/>
    <w:uiPriority w:val="47"/>
    <w:rsid w:val="00B67174"/>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5Dark-Accent1">
    <w:name w:val="List Table 5 Dark Accent 1"/>
    <w:basedOn w:val="TableNormal"/>
    <w:uiPriority w:val="50"/>
    <w:rsid w:val="00B67174"/>
    <w:rPr>
      <w:color w:val="FFFFFF" w:themeColor="background1"/>
    </w:rPr>
    <w:tblPr>
      <w:tblStyleRowBandSize w:val="1"/>
      <w:tblStyleColBandSize w:val="1"/>
      <w:tblBorders>
        <w:top w:val="single" w:sz="24" w:space="0" w:color="4472C4" w:themeColor="accent1"/>
        <w:left w:val="single" w:sz="24" w:space="0" w:color="4472C4" w:themeColor="accent1"/>
        <w:bottom w:val="single" w:sz="24" w:space="0" w:color="4472C4" w:themeColor="accent1"/>
        <w:right w:val="single" w:sz="24" w:space="0" w:color="4472C4" w:themeColor="accent1"/>
      </w:tblBorders>
    </w:tblPr>
    <w:tcPr>
      <w:shd w:val="clear" w:color="auto" w:fill="4472C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B67174"/>
    <w:rPr>
      <w:color w:val="FFFFFF" w:themeColor="background1"/>
    </w:rPr>
    <w:tblPr>
      <w:tblStyleRowBandSize w:val="1"/>
      <w:tblStyleColBandSize w:val="1"/>
      <w:tblBorders>
        <w:top w:val="single" w:sz="24" w:space="0" w:color="5B9BD5" w:themeColor="accent5"/>
        <w:left w:val="single" w:sz="24" w:space="0" w:color="5B9BD5" w:themeColor="accent5"/>
        <w:bottom w:val="single" w:sz="24" w:space="0" w:color="5B9BD5" w:themeColor="accent5"/>
        <w:right w:val="single" w:sz="24" w:space="0" w:color="5B9BD5" w:themeColor="accent5"/>
      </w:tblBorders>
    </w:tblPr>
    <w:tcPr>
      <w:shd w:val="clear" w:color="auto" w:fill="5B9BD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GridTable5Dark-Accent1">
    <w:name w:val="Grid Table 5 Dark Accent 1"/>
    <w:basedOn w:val="TableNormal"/>
    <w:uiPriority w:val="50"/>
    <w:rsid w:val="0017424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ListTable4-Accent1">
    <w:name w:val="List Table 4 Accent 1"/>
    <w:basedOn w:val="TableNormal"/>
    <w:uiPriority w:val="49"/>
    <w:rsid w:val="00174246"/>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2-Accent1">
    <w:name w:val="List Table 2 Accent 1"/>
    <w:basedOn w:val="TableNormal"/>
    <w:uiPriority w:val="47"/>
    <w:rsid w:val="00174246"/>
    <w:tblPr>
      <w:tblStyleRowBandSize w:val="1"/>
      <w:tblStyleColBandSize w:val="1"/>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1Light-Accent5">
    <w:name w:val="Grid Table 1 Light Accent 5"/>
    <w:basedOn w:val="TableNormal"/>
    <w:uiPriority w:val="46"/>
    <w:rsid w:val="00264268"/>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654389">
      <w:bodyDiv w:val="1"/>
      <w:marLeft w:val="0"/>
      <w:marRight w:val="0"/>
      <w:marTop w:val="0"/>
      <w:marBottom w:val="0"/>
      <w:divBdr>
        <w:top w:val="none" w:sz="0" w:space="0" w:color="auto"/>
        <w:left w:val="none" w:sz="0" w:space="0" w:color="auto"/>
        <w:bottom w:val="none" w:sz="0" w:space="0" w:color="auto"/>
        <w:right w:val="none" w:sz="0" w:space="0" w:color="auto"/>
      </w:divBdr>
    </w:div>
    <w:div w:id="191386178">
      <w:bodyDiv w:val="1"/>
      <w:marLeft w:val="0"/>
      <w:marRight w:val="0"/>
      <w:marTop w:val="0"/>
      <w:marBottom w:val="0"/>
      <w:divBdr>
        <w:top w:val="none" w:sz="0" w:space="0" w:color="auto"/>
        <w:left w:val="none" w:sz="0" w:space="0" w:color="auto"/>
        <w:bottom w:val="none" w:sz="0" w:space="0" w:color="auto"/>
        <w:right w:val="none" w:sz="0" w:space="0" w:color="auto"/>
      </w:divBdr>
    </w:div>
    <w:div w:id="196044203">
      <w:bodyDiv w:val="1"/>
      <w:marLeft w:val="0"/>
      <w:marRight w:val="0"/>
      <w:marTop w:val="0"/>
      <w:marBottom w:val="0"/>
      <w:divBdr>
        <w:top w:val="none" w:sz="0" w:space="0" w:color="auto"/>
        <w:left w:val="none" w:sz="0" w:space="0" w:color="auto"/>
        <w:bottom w:val="none" w:sz="0" w:space="0" w:color="auto"/>
        <w:right w:val="none" w:sz="0" w:space="0" w:color="auto"/>
      </w:divBdr>
    </w:div>
    <w:div w:id="211426175">
      <w:bodyDiv w:val="1"/>
      <w:marLeft w:val="0"/>
      <w:marRight w:val="0"/>
      <w:marTop w:val="0"/>
      <w:marBottom w:val="0"/>
      <w:divBdr>
        <w:top w:val="none" w:sz="0" w:space="0" w:color="auto"/>
        <w:left w:val="none" w:sz="0" w:space="0" w:color="auto"/>
        <w:bottom w:val="none" w:sz="0" w:space="0" w:color="auto"/>
        <w:right w:val="none" w:sz="0" w:space="0" w:color="auto"/>
      </w:divBdr>
    </w:div>
    <w:div w:id="232588698">
      <w:bodyDiv w:val="1"/>
      <w:marLeft w:val="0"/>
      <w:marRight w:val="0"/>
      <w:marTop w:val="0"/>
      <w:marBottom w:val="0"/>
      <w:divBdr>
        <w:top w:val="none" w:sz="0" w:space="0" w:color="auto"/>
        <w:left w:val="none" w:sz="0" w:space="0" w:color="auto"/>
        <w:bottom w:val="none" w:sz="0" w:space="0" w:color="auto"/>
        <w:right w:val="none" w:sz="0" w:space="0" w:color="auto"/>
      </w:divBdr>
    </w:div>
    <w:div w:id="286280381">
      <w:bodyDiv w:val="1"/>
      <w:marLeft w:val="0"/>
      <w:marRight w:val="0"/>
      <w:marTop w:val="0"/>
      <w:marBottom w:val="0"/>
      <w:divBdr>
        <w:top w:val="none" w:sz="0" w:space="0" w:color="auto"/>
        <w:left w:val="none" w:sz="0" w:space="0" w:color="auto"/>
        <w:bottom w:val="none" w:sz="0" w:space="0" w:color="auto"/>
        <w:right w:val="none" w:sz="0" w:space="0" w:color="auto"/>
      </w:divBdr>
    </w:div>
    <w:div w:id="298457507">
      <w:bodyDiv w:val="1"/>
      <w:marLeft w:val="0"/>
      <w:marRight w:val="0"/>
      <w:marTop w:val="0"/>
      <w:marBottom w:val="0"/>
      <w:divBdr>
        <w:top w:val="none" w:sz="0" w:space="0" w:color="auto"/>
        <w:left w:val="none" w:sz="0" w:space="0" w:color="auto"/>
        <w:bottom w:val="none" w:sz="0" w:space="0" w:color="auto"/>
        <w:right w:val="none" w:sz="0" w:space="0" w:color="auto"/>
      </w:divBdr>
    </w:div>
    <w:div w:id="304748148">
      <w:bodyDiv w:val="1"/>
      <w:marLeft w:val="0"/>
      <w:marRight w:val="0"/>
      <w:marTop w:val="0"/>
      <w:marBottom w:val="0"/>
      <w:divBdr>
        <w:top w:val="none" w:sz="0" w:space="0" w:color="auto"/>
        <w:left w:val="none" w:sz="0" w:space="0" w:color="auto"/>
        <w:bottom w:val="none" w:sz="0" w:space="0" w:color="auto"/>
        <w:right w:val="none" w:sz="0" w:space="0" w:color="auto"/>
      </w:divBdr>
    </w:div>
    <w:div w:id="306664118">
      <w:bodyDiv w:val="1"/>
      <w:marLeft w:val="0"/>
      <w:marRight w:val="0"/>
      <w:marTop w:val="0"/>
      <w:marBottom w:val="0"/>
      <w:divBdr>
        <w:top w:val="none" w:sz="0" w:space="0" w:color="auto"/>
        <w:left w:val="none" w:sz="0" w:space="0" w:color="auto"/>
        <w:bottom w:val="none" w:sz="0" w:space="0" w:color="auto"/>
        <w:right w:val="none" w:sz="0" w:space="0" w:color="auto"/>
      </w:divBdr>
    </w:div>
    <w:div w:id="314771047">
      <w:bodyDiv w:val="1"/>
      <w:marLeft w:val="0"/>
      <w:marRight w:val="0"/>
      <w:marTop w:val="0"/>
      <w:marBottom w:val="0"/>
      <w:divBdr>
        <w:top w:val="none" w:sz="0" w:space="0" w:color="auto"/>
        <w:left w:val="none" w:sz="0" w:space="0" w:color="auto"/>
        <w:bottom w:val="none" w:sz="0" w:space="0" w:color="auto"/>
        <w:right w:val="none" w:sz="0" w:space="0" w:color="auto"/>
      </w:divBdr>
    </w:div>
    <w:div w:id="317881802">
      <w:bodyDiv w:val="1"/>
      <w:marLeft w:val="0"/>
      <w:marRight w:val="0"/>
      <w:marTop w:val="0"/>
      <w:marBottom w:val="0"/>
      <w:divBdr>
        <w:top w:val="none" w:sz="0" w:space="0" w:color="auto"/>
        <w:left w:val="none" w:sz="0" w:space="0" w:color="auto"/>
        <w:bottom w:val="none" w:sz="0" w:space="0" w:color="auto"/>
        <w:right w:val="none" w:sz="0" w:space="0" w:color="auto"/>
      </w:divBdr>
    </w:div>
    <w:div w:id="381103822">
      <w:bodyDiv w:val="1"/>
      <w:marLeft w:val="0"/>
      <w:marRight w:val="0"/>
      <w:marTop w:val="0"/>
      <w:marBottom w:val="0"/>
      <w:divBdr>
        <w:top w:val="none" w:sz="0" w:space="0" w:color="auto"/>
        <w:left w:val="none" w:sz="0" w:space="0" w:color="auto"/>
        <w:bottom w:val="none" w:sz="0" w:space="0" w:color="auto"/>
        <w:right w:val="none" w:sz="0" w:space="0" w:color="auto"/>
      </w:divBdr>
    </w:div>
    <w:div w:id="774208208">
      <w:bodyDiv w:val="1"/>
      <w:marLeft w:val="0"/>
      <w:marRight w:val="0"/>
      <w:marTop w:val="0"/>
      <w:marBottom w:val="0"/>
      <w:divBdr>
        <w:top w:val="none" w:sz="0" w:space="0" w:color="auto"/>
        <w:left w:val="none" w:sz="0" w:space="0" w:color="auto"/>
        <w:bottom w:val="none" w:sz="0" w:space="0" w:color="auto"/>
        <w:right w:val="none" w:sz="0" w:space="0" w:color="auto"/>
      </w:divBdr>
    </w:div>
    <w:div w:id="933438399">
      <w:bodyDiv w:val="1"/>
      <w:marLeft w:val="0"/>
      <w:marRight w:val="0"/>
      <w:marTop w:val="0"/>
      <w:marBottom w:val="0"/>
      <w:divBdr>
        <w:top w:val="none" w:sz="0" w:space="0" w:color="auto"/>
        <w:left w:val="none" w:sz="0" w:space="0" w:color="auto"/>
        <w:bottom w:val="none" w:sz="0" w:space="0" w:color="auto"/>
        <w:right w:val="none" w:sz="0" w:space="0" w:color="auto"/>
      </w:divBdr>
    </w:div>
    <w:div w:id="944340791">
      <w:bodyDiv w:val="1"/>
      <w:marLeft w:val="0"/>
      <w:marRight w:val="0"/>
      <w:marTop w:val="0"/>
      <w:marBottom w:val="0"/>
      <w:divBdr>
        <w:top w:val="none" w:sz="0" w:space="0" w:color="auto"/>
        <w:left w:val="none" w:sz="0" w:space="0" w:color="auto"/>
        <w:bottom w:val="none" w:sz="0" w:space="0" w:color="auto"/>
        <w:right w:val="none" w:sz="0" w:space="0" w:color="auto"/>
      </w:divBdr>
    </w:div>
    <w:div w:id="966661515">
      <w:bodyDiv w:val="1"/>
      <w:marLeft w:val="0"/>
      <w:marRight w:val="0"/>
      <w:marTop w:val="0"/>
      <w:marBottom w:val="0"/>
      <w:divBdr>
        <w:top w:val="none" w:sz="0" w:space="0" w:color="auto"/>
        <w:left w:val="none" w:sz="0" w:space="0" w:color="auto"/>
        <w:bottom w:val="none" w:sz="0" w:space="0" w:color="auto"/>
        <w:right w:val="none" w:sz="0" w:space="0" w:color="auto"/>
      </w:divBdr>
    </w:div>
    <w:div w:id="1001666084">
      <w:bodyDiv w:val="1"/>
      <w:marLeft w:val="0"/>
      <w:marRight w:val="0"/>
      <w:marTop w:val="0"/>
      <w:marBottom w:val="0"/>
      <w:divBdr>
        <w:top w:val="none" w:sz="0" w:space="0" w:color="auto"/>
        <w:left w:val="none" w:sz="0" w:space="0" w:color="auto"/>
        <w:bottom w:val="none" w:sz="0" w:space="0" w:color="auto"/>
        <w:right w:val="none" w:sz="0" w:space="0" w:color="auto"/>
      </w:divBdr>
    </w:div>
    <w:div w:id="1005353776">
      <w:bodyDiv w:val="1"/>
      <w:marLeft w:val="0"/>
      <w:marRight w:val="0"/>
      <w:marTop w:val="0"/>
      <w:marBottom w:val="0"/>
      <w:divBdr>
        <w:top w:val="none" w:sz="0" w:space="0" w:color="auto"/>
        <w:left w:val="none" w:sz="0" w:space="0" w:color="auto"/>
        <w:bottom w:val="none" w:sz="0" w:space="0" w:color="auto"/>
        <w:right w:val="none" w:sz="0" w:space="0" w:color="auto"/>
      </w:divBdr>
    </w:div>
    <w:div w:id="1007291907">
      <w:bodyDiv w:val="1"/>
      <w:marLeft w:val="0"/>
      <w:marRight w:val="0"/>
      <w:marTop w:val="0"/>
      <w:marBottom w:val="0"/>
      <w:divBdr>
        <w:top w:val="none" w:sz="0" w:space="0" w:color="auto"/>
        <w:left w:val="none" w:sz="0" w:space="0" w:color="auto"/>
        <w:bottom w:val="none" w:sz="0" w:space="0" w:color="auto"/>
        <w:right w:val="none" w:sz="0" w:space="0" w:color="auto"/>
      </w:divBdr>
    </w:div>
    <w:div w:id="1102409980">
      <w:bodyDiv w:val="1"/>
      <w:marLeft w:val="0"/>
      <w:marRight w:val="0"/>
      <w:marTop w:val="0"/>
      <w:marBottom w:val="0"/>
      <w:divBdr>
        <w:top w:val="none" w:sz="0" w:space="0" w:color="auto"/>
        <w:left w:val="none" w:sz="0" w:space="0" w:color="auto"/>
        <w:bottom w:val="none" w:sz="0" w:space="0" w:color="auto"/>
        <w:right w:val="none" w:sz="0" w:space="0" w:color="auto"/>
      </w:divBdr>
    </w:div>
    <w:div w:id="1262034780">
      <w:bodyDiv w:val="1"/>
      <w:marLeft w:val="0"/>
      <w:marRight w:val="0"/>
      <w:marTop w:val="0"/>
      <w:marBottom w:val="0"/>
      <w:divBdr>
        <w:top w:val="none" w:sz="0" w:space="0" w:color="auto"/>
        <w:left w:val="none" w:sz="0" w:space="0" w:color="auto"/>
        <w:bottom w:val="none" w:sz="0" w:space="0" w:color="auto"/>
        <w:right w:val="none" w:sz="0" w:space="0" w:color="auto"/>
      </w:divBdr>
    </w:div>
    <w:div w:id="1307318355">
      <w:bodyDiv w:val="1"/>
      <w:marLeft w:val="0"/>
      <w:marRight w:val="0"/>
      <w:marTop w:val="0"/>
      <w:marBottom w:val="0"/>
      <w:divBdr>
        <w:top w:val="none" w:sz="0" w:space="0" w:color="auto"/>
        <w:left w:val="none" w:sz="0" w:space="0" w:color="auto"/>
        <w:bottom w:val="none" w:sz="0" w:space="0" w:color="auto"/>
        <w:right w:val="none" w:sz="0" w:space="0" w:color="auto"/>
      </w:divBdr>
    </w:div>
    <w:div w:id="1344818791">
      <w:bodyDiv w:val="1"/>
      <w:marLeft w:val="0"/>
      <w:marRight w:val="0"/>
      <w:marTop w:val="0"/>
      <w:marBottom w:val="0"/>
      <w:divBdr>
        <w:top w:val="none" w:sz="0" w:space="0" w:color="auto"/>
        <w:left w:val="none" w:sz="0" w:space="0" w:color="auto"/>
        <w:bottom w:val="none" w:sz="0" w:space="0" w:color="auto"/>
        <w:right w:val="none" w:sz="0" w:space="0" w:color="auto"/>
      </w:divBdr>
    </w:div>
    <w:div w:id="1375495874">
      <w:bodyDiv w:val="1"/>
      <w:marLeft w:val="0"/>
      <w:marRight w:val="0"/>
      <w:marTop w:val="0"/>
      <w:marBottom w:val="0"/>
      <w:divBdr>
        <w:top w:val="none" w:sz="0" w:space="0" w:color="auto"/>
        <w:left w:val="none" w:sz="0" w:space="0" w:color="auto"/>
        <w:bottom w:val="none" w:sz="0" w:space="0" w:color="auto"/>
        <w:right w:val="none" w:sz="0" w:space="0" w:color="auto"/>
      </w:divBdr>
    </w:div>
    <w:div w:id="1735082457">
      <w:bodyDiv w:val="1"/>
      <w:marLeft w:val="0"/>
      <w:marRight w:val="0"/>
      <w:marTop w:val="0"/>
      <w:marBottom w:val="0"/>
      <w:divBdr>
        <w:top w:val="none" w:sz="0" w:space="0" w:color="auto"/>
        <w:left w:val="none" w:sz="0" w:space="0" w:color="auto"/>
        <w:bottom w:val="none" w:sz="0" w:space="0" w:color="auto"/>
        <w:right w:val="none" w:sz="0" w:space="0" w:color="auto"/>
      </w:divBdr>
    </w:div>
    <w:div w:id="1743016073">
      <w:bodyDiv w:val="1"/>
      <w:marLeft w:val="0"/>
      <w:marRight w:val="0"/>
      <w:marTop w:val="0"/>
      <w:marBottom w:val="0"/>
      <w:divBdr>
        <w:top w:val="none" w:sz="0" w:space="0" w:color="auto"/>
        <w:left w:val="none" w:sz="0" w:space="0" w:color="auto"/>
        <w:bottom w:val="none" w:sz="0" w:space="0" w:color="auto"/>
        <w:right w:val="none" w:sz="0" w:space="0" w:color="auto"/>
      </w:divBdr>
    </w:div>
    <w:div w:id="1786584119">
      <w:bodyDiv w:val="1"/>
      <w:marLeft w:val="0"/>
      <w:marRight w:val="0"/>
      <w:marTop w:val="0"/>
      <w:marBottom w:val="0"/>
      <w:divBdr>
        <w:top w:val="none" w:sz="0" w:space="0" w:color="auto"/>
        <w:left w:val="none" w:sz="0" w:space="0" w:color="auto"/>
        <w:bottom w:val="none" w:sz="0" w:space="0" w:color="auto"/>
        <w:right w:val="none" w:sz="0" w:space="0" w:color="auto"/>
      </w:divBdr>
    </w:div>
    <w:div w:id="1789659817">
      <w:bodyDiv w:val="1"/>
      <w:marLeft w:val="0"/>
      <w:marRight w:val="0"/>
      <w:marTop w:val="0"/>
      <w:marBottom w:val="0"/>
      <w:divBdr>
        <w:top w:val="none" w:sz="0" w:space="0" w:color="auto"/>
        <w:left w:val="none" w:sz="0" w:space="0" w:color="auto"/>
        <w:bottom w:val="none" w:sz="0" w:space="0" w:color="auto"/>
        <w:right w:val="none" w:sz="0" w:space="0" w:color="auto"/>
      </w:divBdr>
    </w:div>
    <w:div w:id="1818448422">
      <w:bodyDiv w:val="1"/>
      <w:marLeft w:val="0"/>
      <w:marRight w:val="0"/>
      <w:marTop w:val="0"/>
      <w:marBottom w:val="0"/>
      <w:divBdr>
        <w:top w:val="none" w:sz="0" w:space="0" w:color="auto"/>
        <w:left w:val="none" w:sz="0" w:space="0" w:color="auto"/>
        <w:bottom w:val="none" w:sz="0" w:space="0" w:color="auto"/>
        <w:right w:val="none" w:sz="0" w:space="0" w:color="auto"/>
      </w:divBdr>
    </w:div>
    <w:div w:id="1827086285">
      <w:bodyDiv w:val="1"/>
      <w:marLeft w:val="0"/>
      <w:marRight w:val="0"/>
      <w:marTop w:val="0"/>
      <w:marBottom w:val="0"/>
      <w:divBdr>
        <w:top w:val="none" w:sz="0" w:space="0" w:color="auto"/>
        <w:left w:val="none" w:sz="0" w:space="0" w:color="auto"/>
        <w:bottom w:val="none" w:sz="0" w:space="0" w:color="auto"/>
        <w:right w:val="none" w:sz="0" w:space="0" w:color="auto"/>
      </w:divBdr>
    </w:div>
    <w:div w:id="2051761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ILES_57340\My%20Documents\JAC%20Report%20Template.dotx"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wmpad\lh\Share_Finance\Share_Accounts\Accountancy\Treasury%20Management\Reports\23-24\Liability%20Benchmark%2023-24.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Capital Financing Requirement</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Sheet1!$A$3</c:f>
              <c:strCache>
                <c:ptCount val="1"/>
                <c:pt idx="0">
                  <c:v>CFR</c:v>
                </c:pt>
              </c:strCache>
            </c:strRef>
          </c:tx>
          <c:spPr>
            <a:solidFill>
              <a:schemeClr val="accent1"/>
            </a:solidFill>
            <a:ln>
              <a:noFill/>
            </a:ln>
            <a:effectLst/>
          </c:spPr>
          <c:invertIfNegative val="0"/>
          <c:cat>
            <c:strRef>
              <c:f>Sheet1!$B$2:$F$2</c:f>
              <c:strCache>
                <c:ptCount val="5"/>
                <c:pt idx="0">
                  <c:v>21/22</c:v>
                </c:pt>
                <c:pt idx="1">
                  <c:v>22/23</c:v>
                </c:pt>
                <c:pt idx="2">
                  <c:v>23/24</c:v>
                </c:pt>
                <c:pt idx="3">
                  <c:v>24/25</c:v>
                </c:pt>
                <c:pt idx="4">
                  <c:v>25/26</c:v>
                </c:pt>
              </c:strCache>
            </c:strRef>
          </c:cat>
          <c:val>
            <c:numRef>
              <c:f>Sheet1!$B$3:$F$3</c:f>
              <c:numCache>
                <c:formatCode>General</c:formatCode>
                <c:ptCount val="5"/>
                <c:pt idx="0">
                  <c:v>76.2</c:v>
                </c:pt>
                <c:pt idx="1">
                  <c:v>74.2</c:v>
                </c:pt>
                <c:pt idx="2">
                  <c:v>109.2</c:v>
                </c:pt>
                <c:pt idx="3">
                  <c:v>135.1</c:v>
                </c:pt>
                <c:pt idx="4">
                  <c:v>145.19999999999999</c:v>
                </c:pt>
              </c:numCache>
            </c:numRef>
          </c:val>
          <c:extLst>
            <c:ext xmlns:c16="http://schemas.microsoft.com/office/drawing/2014/chart" uri="{C3380CC4-5D6E-409C-BE32-E72D297353CC}">
              <c16:uniqueId val="{00000000-14D9-4CE4-A517-34248A4BB8EC}"/>
            </c:ext>
          </c:extLst>
        </c:ser>
        <c:ser>
          <c:idx val="1"/>
          <c:order val="1"/>
          <c:tx>
            <c:strRef>
              <c:f>Sheet1!$A$4</c:f>
              <c:strCache>
                <c:ptCount val="1"/>
                <c:pt idx="0">
                  <c:v>External Borrowing</c:v>
                </c:pt>
              </c:strCache>
            </c:strRef>
          </c:tx>
          <c:spPr>
            <a:solidFill>
              <a:schemeClr val="accent2"/>
            </a:solidFill>
            <a:ln>
              <a:noFill/>
            </a:ln>
            <a:effectLst/>
          </c:spPr>
          <c:invertIfNegative val="0"/>
          <c:cat>
            <c:strRef>
              <c:f>Sheet1!$B$2:$F$2</c:f>
              <c:strCache>
                <c:ptCount val="5"/>
                <c:pt idx="0">
                  <c:v>21/22</c:v>
                </c:pt>
                <c:pt idx="1">
                  <c:v>22/23</c:v>
                </c:pt>
                <c:pt idx="2">
                  <c:v>23/24</c:v>
                </c:pt>
                <c:pt idx="3">
                  <c:v>24/25</c:v>
                </c:pt>
                <c:pt idx="4">
                  <c:v>25/26</c:v>
                </c:pt>
              </c:strCache>
            </c:strRef>
          </c:cat>
          <c:val>
            <c:numRef>
              <c:f>Sheet1!$B$4:$F$4</c:f>
              <c:numCache>
                <c:formatCode>General</c:formatCode>
                <c:ptCount val="5"/>
                <c:pt idx="0">
                  <c:v>101.3</c:v>
                </c:pt>
                <c:pt idx="1">
                  <c:v>105.3</c:v>
                </c:pt>
                <c:pt idx="2">
                  <c:v>127</c:v>
                </c:pt>
                <c:pt idx="3">
                  <c:v>154.80000000000001</c:v>
                </c:pt>
                <c:pt idx="4">
                  <c:v>167.8</c:v>
                </c:pt>
              </c:numCache>
            </c:numRef>
          </c:val>
          <c:extLst>
            <c:ext xmlns:c16="http://schemas.microsoft.com/office/drawing/2014/chart" uri="{C3380CC4-5D6E-409C-BE32-E72D297353CC}">
              <c16:uniqueId val="{00000001-14D9-4CE4-A517-34248A4BB8EC}"/>
            </c:ext>
          </c:extLst>
        </c:ser>
        <c:dLbls>
          <c:showLegendKey val="0"/>
          <c:showVal val="0"/>
          <c:showCatName val="0"/>
          <c:showSerName val="0"/>
          <c:showPercent val="0"/>
          <c:showBubbleSize val="0"/>
        </c:dLbls>
        <c:gapWidth val="219"/>
        <c:overlap val="-27"/>
        <c:axId val="2067875455"/>
        <c:axId val="2059916383"/>
      </c:barChart>
      <c:lineChart>
        <c:grouping val="standard"/>
        <c:varyColors val="0"/>
        <c:ser>
          <c:idx val="2"/>
          <c:order val="2"/>
          <c:tx>
            <c:strRef>
              <c:f>Sheet1!$A$5</c:f>
              <c:strCache>
                <c:ptCount val="1"/>
                <c:pt idx="0">
                  <c:v>Authorised Limit</c:v>
                </c:pt>
              </c:strCache>
            </c:strRef>
          </c:tx>
          <c:spPr>
            <a:ln w="28575" cap="rnd">
              <a:solidFill>
                <a:schemeClr val="accent3"/>
              </a:solidFill>
              <a:round/>
            </a:ln>
            <a:effectLst/>
          </c:spPr>
          <c:marker>
            <c:symbol val="none"/>
          </c:marker>
          <c:cat>
            <c:strRef>
              <c:f>Sheet1!$B$2:$F$2</c:f>
              <c:strCache>
                <c:ptCount val="5"/>
                <c:pt idx="0">
                  <c:v>21/22</c:v>
                </c:pt>
                <c:pt idx="1">
                  <c:v>22/23</c:v>
                </c:pt>
                <c:pt idx="2">
                  <c:v>23/24</c:v>
                </c:pt>
                <c:pt idx="3">
                  <c:v>24/25</c:v>
                </c:pt>
                <c:pt idx="4">
                  <c:v>25/26</c:v>
                </c:pt>
              </c:strCache>
            </c:strRef>
          </c:cat>
          <c:val>
            <c:numRef>
              <c:f>Sheet1!$B$5:$F$5</c:f>
              <c:numCache>
                <c:formatCode>General</c:formatCode>
                <c:ptCount val="5"/>
                <c:pt idx="0">
                  <c:v>125</c:v>
                </c:pt>
                <c:pt idx="1">
                  <c:v>125</c:v>
                </c:pt>
                <c:pt idx="2">
                  <c:v>140</c:v>
                </c:pt>
                <c:pt idx="3">
                  <c:v>170</c:v>
                </c:pt>
                <c:pt idx="4">
                  <c:v>185</c:v>
                </c:pt>
              </c:numCache>
            </c:numRef>
          </c:val>
          <c:smooth val="0"/>
          <c:extLst>
            <c:ext xmlns:c16="http://schemas.microsoft.com/office/drawing/2014/chart" uri="{C3380CC4-5D6E-409C-BE32-E72D297353CC}">
              <c16:uniqueId val="{00000002-14D9-4CE4-A517-34248A4BB8EC}"/>
            </c:ext>
          </c:extLst>
        </c:ser>
        <c:ser>
          <c:idx val="3"/>
          <c:order val="3"/>
          <c:tx>
            <c:strRef>
              <c:f>Sheet1!$A$6</c:f>
              <c:strCache>
                <c:ptCount val="1"/>
                <c:pt idx="0">
                  <c:v>Operational Boundary</c:v>
                </c:pt>
              </c:strCache>
            </c:strRef>
          </c:tx>
          <c:spPr>
            <a:ln w="28575" cap="rnd">
              <a:solidFill>
                <a:schemeClr val="accent4"/>
              </a:solidFill>
              <a:round/>
            </a:ln>
            <a:effectLst/>
          </c:spPr>
          <c:marker>
            <c:symbol val="none"/>
          </c:marker>
          <c:cat>
            <c:strRef>
              <c:f>Sheet1!$B$2:$F$2</c:f>
              <c:strCache>
                <c:ptCount val="5"/>
                <c:pt idx="0">
                  <c:v>21/22</c:v>
                </c:pt>
                <c:pt idx="1">
                  <c:v>22/23</c:v>
                </c:pt>
                <c:pt idx="2">
                  <c:v>23/24</c:v>
                </c:pt>
                <c:pt idx="3">
                  <c:v>24/25</c:v>
                </c:pt>
                <c:pt idx="4">
                  <c:v>25/26</c:v>
                </c:pt>
              </c:strCache>
            </c:strRef>
          </c:cat>
          <c:val>
            <c:numRef>
              <c:f>Sheet1!$B$6:$F$6</c:f>
              <c:numCache>
                <c:formatCode>General</c:formatCode>
                <c:ptCount val="5"/>
                <c:pt idx="0">
                  <c:v>120</c:v>
                </c:pt>
                <c:pt idx="1">
                  <c:v>120</c:v>
                </c:pt>
                <c:pt idx="2">
                  <c:v>135</c:v>
                </c:pt>
                <c:pt idx="3">
                  <c:v>165</c:v>
                </c:pt>
                <c:pt idx="4">
                  <c:v>180</c:v>
                </c:pt>
              </c:numCache>
            </c:numRef>
          </c:val>
          <c:smooth val="0"/>
          <c:extLst>
            <c:ext xmlns:c16="http://schemas.microsoft.com/office/drawing/2014/chart" uri="{C3380CC4-5D6E-409C-BE32-E72D297353CC}">
              <c16:uniqueId val="{00000003-14D9-4CE4-A517-34248A4BB8EC}"/>
            </c:ext>
          </c:extLst>
        </c:ser>
        <c:dLbls>
          <c:showLegendKey val="0"/>
          <c:showVal val="0"/>
          <c:showCatName val="0"/>
          <c:showSerName val="0"/>
          <c:showPercent val="0"/>
          <c:showBubbleSize val="0"/>
        </c:dLbls>
        <c:marker val="1"/>
        <c:smooth val="0"/>
        <c:axId val="2067875455"/>
        <c:axId val="2059916383"/>
      </c:lineChart>
      <c:catAx>
        <c:axId val="2067875455"/>
        <c:scaling>
          <c:orientation val="minMax"/>
        </c:scaling>
        <c:delete val="0"/>
        <c:axPos val="b"/>
        <c:title>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59916383"/>
        <c:crosses val="autoZero"/>
        <c:auto val="1"/>
        <c:lblAlgn val="ctr"/>
        <c:lblOffset val="100"/>
        <c:noMultiLvlLbl val="0"/>
      </c:catAx>
      <c:valAx>
        <c:axId val="2059916383"/>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£m</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67875455"/>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ysClr val="windowText" lastClr="000000"/>
                </a:solidFill>
                <a:latin typeface="Arial" panose="020B0604020202020204" pitchFamily="34" charset="0"/>
                <a:ea typeface="+mn-ea"/>
                <a:cs typeface="Arial" panose="020B0604020202020204" pitchFamily="34" charset="0"/>
              </a:defRPr>
            </a:pPr>
            <a:r>
              <a:rPr lang="en-GB" sz="1400" b="1">
                <a:solidFill>
                  <a:sysClr val="windowText" lastClr="000000"/>
                </a:solidFill>
                <a:latin typeface="Arial" panose="020B0604020202020204" pitchFamily="34" charset="0"/>
                <a:cs typeface="Arial" panose="020B0604020202020204" pitchFamily="34" charset="0"/>
              </a:rPr>
              <a:t>Liability Benchmark</a:t>
            </a:r>
          </a:p>
        </c:rich>
      </c:tx>
      <c:layout>
        <c:manualLayout>
          <c:xMode val="edge"/>
          <c:yMode val="edge"/>
          <c:x val="0.41572737834000256"/>
          <c:y val="2.9277940675825571E-2"/>
        </c:manualLayout>
      </c:layout>
      <c:overlay val="0"/>
      <c:spPr>
        <a:noFill/>
        <a:ln>
          <a:noFill/>
        </a:ln>
        <a:effectLst/>
      </c:spPr>
      <c:txPr>
        <a:bodyPr rot="0" spcFirstLastPara="1" vertOverflow="ellipsis" vert="horz" wrap="square" anchor="ctr" anchorCtr="1"/>
        <a:lstStyle/>
        <a:p>
          <a:pPr>
            <a:defRPr sz="1400" b="1" i="0" u="none" strike="noStrike" kern="1200" spc="0" baseline="0">
              <a:solidFill>
                <a:sysClr val="windowText" lastClr="000000"/>
              </a:solidFill>
              <a:latin typeface="Arial" panose="020B0604020202020204" pitchFamily="34" charset="0"/>
              <a:ea typeface="+mn-ea"/>
              <a:cs typeface="Arial" panose="020B0604020202020204" pitchFamily="34" charset="0"/>
            </a:defRPr>
          </a:pPr>
          <a:endParaRPr lang="en-US"/>
        </a:p>
      </c:txPr>
    </c:title>
    <c:autoTitleDeleted val="0"/>
    <c:plotArea>
      <c:layout>
        <c:manualLayout>
          <c:layoutTarget val="inner"/>
          <c:xMode val="edge"/>
          <c:yMode val="edge"/>
          <c:x val="0.17348624468299079"/>
          <c:y val="1.5029278809866129E-2"/>
          <c:w val="0.79056141131641544"/>
          <c:h val="0.67572908556410427"/>
        </c:manualLayout>
      </c:layout>
      <c:barChart>
        <c:barDir val="col"/>
        <c:grouping val="stacked"/>
        <c:varyColors val="0"/>
        <c:ser>
          <c:idx val="0"/>
          <c:order val="0"/>
          <c:tx>
            <c:strRef>
              <c:f>Calculations!$A$5</c:f>
              <c:strCache>
                <c:ptCount val="1"/>
                <c:pt idx="0">
                  <c:v>PWLB Loans</c:v>
                </c:pt>
              </c:strCache>
            </c:strRef>
          </c:tx>
          <c:spPr>
            <a:solidFill>
              <a:srgbClr val="313F7D"/>
            </a:solidFill>
            <a:ln>
              <a:solidFill>
                <a:schemeClr val="bg1"/>
              </a:solidFill>
            </a:ln>
            <a:effectLst/>
          </c:spPr>
          <c:invertIfNegative val="0"/>
          <c:cat>
            <c:numRef>
              <c:f>Calculations!$B$3:$BT$3</c:f>
              <c:numCache>
                <c:formatCode>General</c:formatCode>
                <c:ptCount val="71"/>
                <c:pt idx="0">
                  <c:v>2021</c:v>
                </c:pt>
                <c:pt idx="1">
                  <c:v>2022</c:v>
                </c:pt>
                <c:pt idx="2">
                  <c:v>2023</c:v>
                </c:pt>
                <c:pt idx="3">
                  <c:v>2024</c:v>
                </c:pt>
                <c:pt idx="4">
                  <c:v>2025</c:v>
                </c:pt>
                <c:pt idx="5">
                  <c:v>2026</c:v>
                </c:pt>
                <c:pt idx="6">
                  <c:v>2027</c:v>
                </c:pt>
                <c:pt idx="7">
                  <c:v>2028</c:v>
                </c:pt>
                <c:pt idx="8">
                  <c:v>2029</c:v>
                </c:pt>
                <c:pt idx="9">
                  <c:v>2030</c:v>
                </c:pt>
                <c:pt idx="10">
                  <c:v>2031</c:v>
                </c:pt>
                <c:pt idx="11">
                  <c:v>2032</c:v>
                </c:pt>
                <c:pt idx="12">
                  <c:v>2033</c:v>
                </c:pt>
                <c:pt idx="13">
                  <c:v>2034</c:v>
                </c:pt>
                <c:pt idx="14">
                  <c:v>2035</c:v>
                </c:pt>
                <c:pt idx="15">
                  <c:v>2036</c:v>
                </c:pt>
                <c:pt idx="16">
                  <c:v>2037</c:v>
                </c:pt>
                <c:pt idx="17">
                  <c:v>2038</c:v>
                </c:pt>
                <c:pt idx="18">
                  <c:v>2039</c:v>
                </c:pt>
                <c:pt idx="19">
                  <c:v>2040</c:v>
                </c:pt>
                <c:pt idx="20">
                  <c:v>2041</c:v>
                </c:pt>
                <c:pt idx="21">
                  <c:v>2042</c:v>
                </c:pt>
                <c:pt idx="22">
                  <c:v>2043</c:v>
                </c:pt>
                <c:pt idx="23">
                  <c:v>2044</c:v>
                </c:pt>
                <c:pt idx="24">
                  <c:v>2045</c:v>
                </c:pt>
                <c:pt idx="25">
                  <c:v>2046</c:v>
                </c:pt>
                <c:pt idx="26">
                  <c:v>2047</c:v>
                </c:pt>
                <c:pt idx="27">
                  <c:v>2048</c:v>
                </c:pt>
                <c:pt idx="28">
                  <c:v>2049</c:v>
                </c:pt>
                <c:pt idx="29">
                  <c:v>2050</c:v>
                </c:pt>
                <c:pt idx="30">
                  <c:v>2051</c:v>
                </c:pt>
                <c:pt idx="31">
                  <c:v>2052</c:v>
                </c:pt>
                <c:pt idx="32">
                  <c:v>2053</c:v>
                </c:pt>
                <c:pt idx="33">
                  <c:v>2054</c:v>
                </c:pt>
                <c:pt idx="34">
                  <c:v>2055</c:v>
                </c:pt>
                <c:pt idx="35">
                  <c:v>2056</c:v>
                </c:pt>
                <c:pt idx="36">
                  <c:v>2057</c:v>
                </c:pt>
                <c:pt idx="37">
                  <c:v>2058</c:v>
                </c:pt>
                <c:pt idx="38">
                  <c:v>2059</c:v>
                </c:pt>
                <c:pt idx="39">
                  <c:v>2060</c:v>
                </c:pt>
                <c:pt idx="40">
                  <c:v>2061</c:v>
                </c:pt>
                <c:pt idx="41">
                  <c:v>2062</c:v>
                </c:pt>
                <c:pt idx="42">
                  <c:v>2063</c:v>
                </c:pt>
                <c:pt idx="43">
                  <c:v>2064</c:v>
                </c:pt>
                <c:pt idx="44">
                  <c:v>2065</c:v>
                </c:pt>
                <c:pt idx="45">
                  <c:v>2066</c:v>
                </c:pt>
                <c:pt idx="46">
                  <c:v>2067</c:v>
                </c:pt>
                <c:pt idx="47">
                  <c:v>2068</c:v>
                </c:pt>
                <c:pt idx="48">
                  <c:v>2069</c:v>
                </c:pt>
                <c:pt idx="49">
                  <c:v>2070</c:v>
                </c:pt>
                <c:pt idx="50">
                  <c:v>2071</c:v>
                </c:pt>
                <c:pt idx="51">
                  <c:v>2072</c:v>
                </c:pt>
                <c:pt idx="52">
                  <c:v>2073</c:v>
                </c:pt>
                <c:pt idx="53">
                  <c:v>2074</c:v>
                </c:pt>
                <c:pt idx="54">
                  <c:v>2075</c:v>
                </c:pt>
                <c:pt idx="55">
                  <c:v>2076</c:v>
                </c:pt>
                <c:pt idx="56">
                  <c:v>2077</c:v>
                </c:pt>
                <c:pt idx="57">
                  <c:v>2078</c:v>
                </c:pt>
                <c:pt idx="58">
                  <c:v>2079</c:v>
                </c:pt>
                <c:pt idx="59">
                  <c:v>2080</c:v>
                </c:pt>
                <c:pt idx="60">
                  <c:v>2081</c:v>
                </c:pt>
                <c:pt idx="61">
                  <c:v>2082</c:v>
                </c:pt>
                <c:pt idx="62">
                  <c:v>2083</c:v>
                </c:pt>
                <c:pt idx="63">
                  <c:v>2084</c:v>
                </c:pt>
                <c:pt idx="64">
                  <c:v>2085</c:v>
                </c:pt>
                <c:pt idx="65">
                  <c:v>2086</c:v>
                </c:pt>
                <c:pt idx="66">
                  <c:v>2087</c:v>
                </c:pt>
                <c:pt idx="67">
                  <c:v>2088</c:v>
                </c:pt>
                <c:pt idx="68">
                  <c:v>2089</c:v>
                </c:pt>
                <c:pt idx="69">
                  <c:v>2090</c:v>
                </c:pt>
                <c:pt idx="70">
                  <c:v>2091</c:v>
                </c:pt>
              </c:numCache>
            </c:numRef>
          </c:cat>
          <c:val>
            <c:numRef>
              <c:f>Calculations!$B$5:$BT$5</c:f>
              <c:numCache>
                <c:formatCode>"£"#,##0</c:formatCode>
                <c:ptCount val="71"/>
                <c:pt idx="0">
                  <c:v>93787</c:v>
                </c:pt>
                <c:pt idx="1">
                  <c:v>101287</c:v>
                </c:pt>
                <c:pt idx="2">
                  <c:v>105287</c:v>
                </c:pt>
                <c:pt idx="3">
                  <c:v>104487</c:v>
                </c:pt>
                <c:pt idx="4">
                  <c:v>102287</c:v>
                </c:pt>
                <c:pt idx="5">
                  <c:v>100287</c:v>
                </c:pt>
                <c:pt idx="6">
                  <c:v>100287</c:v>
                </c:pt>
                <c:pt idx="7">
                  <c:v>93287</c:v>
                </c:pt>
                <c:pt idx="8">
                  <c:v>93287</c:v>
                </c:pt>
                <c:pt idx="9">
                  <c:v>93287</c:v>
                </c:pt>
                <c:pt idx="10">
                  <c:v>93287</c:v>
                </c:pt>
                <c:pt idx="11">
                  <c:v>93287</c:v>
                </c:pt>
                <c:pt idx="12">
                  <c:v>93287</c:v>
                </c:pt>
                <c:pt idx="13">
                  <c:v>93287</c:v>
                </c:pt>
                <c:pt idx="14">
                  <c:v>93287</c:v>
                </c:pt>
                <c:pt idx="15">
                  <c:v>93287</c:v>
                </c:pt>
                <c:pt idx="16">
                  <c:v>93287</c:v>
                </c:pt>
                <c:pt idx="17">
                  <c:v>93287</c:v>
                </c:pt>
                <c:pt idx="18">
                  <c:v>93287</c:v>
                </c:pt>
                <c:pt idx="19">
                  <c:v>93287</c:v>
                </c:pt>
                <c:pt idx="20">
                  <c:v>93287</c:v>
                </c:pt>
                <c:pt idx="21">
                  <c:v>93287</c:v>
                </c:pt>
                <c:pt idx="22">
                  <c:v>93287</c:v>
                </c:pt>
                <c:pt idx="23">
                  <c:v>93287</c:v>
                </c:pt>
                <c:pt idx="24">
                  <c:v>93287</c:v>
                </c:pt>
                <c:pt idx="25">
                  <c:v>93287</c:v>
                </c:pt>
                <c:pt idx="26">
                  <c:v>93287</c:v>
                </c:pt>
                <c:pt idx="27">
                  <c:v>93287</c:v>
                </c:pt>
                <c:pt idx="28">
                  <c:v>93287</c:v>
                </c:pt>
                <c:pt idx="29">
                  <c:v>93287</c:v>
                </c:pt>
                <c:pt idx="30">
                  <c:v>78287</c:v>
                </c:pt>
                <c:pt idx="31">
                  <c:v>78287</c:v>
                </c:pt>
                <c:pt idx="32">
                  <c:v>78287</c:v>
                </c:pt>
                <c:pt idx="33">
                  <c:v>78287</c:v>
                </c:pt>
                <c:pt idx="34">
                  <c:v>78287</c:v>
                </c:pt>
                <c:pt idx="35">
                  <c:v>78287</c:v>
                </c:pt>
                <c:pt idx="36">
                  <c:v>64500</c:v>
                </c:pt>
                <c:pt idx="37">
                  <c:v>64500</c:v>
                </c:pt>
                <c:pt idx="38">
                  <c:v>59500</c:v>
                </c:pt>
                <c:pt idx="39">
                  <c:v>59500</c:v>
                </c:pt>
                <c:pt idx="40">
                  <c:v>59500</c:v>
                </c:pt>
                <c:pt idx="41">
                  <c:v>57500</c:v>
                </c:pt>
                <c:pt idx="42">
                  <c:v>57500</c:v>
                </c:pt>
                <c:pt idx="43">
                  <c:v>57500</c:v>
                </c:pt>
                <c:pt idx="44">
                  <c:v>57500</c:v>
                </c:pt>
                <c:pt idx="45">
                  <c:v>57500</c:v>
                </c:pt>
                <c:pt idx="46">
                  <c:v>57500</c:v>
                </c:pt>
                <c:pt idx="47">
                  <c:v>57500</c:v>
                </c:pt>
                <c:pt idx="48">
                  <c:v>22500</c:v>
                </c:pt>
                <c:pt idx="49">
                  <c:v>7500</c:v>
                </c:pt>
                <c:pt idx="50">
                  <c:v>7500</c:v>
                </c:pt>
              </c:numCache>
            </c:numRef>
          </c:val>
          <c:extLst>
            <c:ext xmlns:c16="http://schemas.microsoft.com/office/drawing/2014/chart" uri="{C3380CC4-5D6E-409C-BE32-E72D297353CC}">
              <c16:uniqueId val="{00000000-2927-4E31-B9DB-B427B7BF92E0}"/>
            </c:ext>
          </c:extLst>
        </c:ser>
        <c:ser>
          <c:idx val="1"/>
          <c:order val="1"/>
          <c:tx>
            <c:strRef>
              <c:f>Calculations!$A$6</c:f>
              <c:strCache>
                <c:ptCount val="1"/>
                <c:pt idx="0">
                  <c:v>Market Loans (excl LOBO loans)</c:v>
                </c:pt>
              </c:strCache>
            </c:strRef>
          </c:tx>
          <c:spPr>
            <a:solidFill>
              <a:schemeClr val="accent2">
                <a:lumMod val="75000"/>
              </a:schemeClr>
            </a:solidFill>
            <a:ln>
              <a:solidFill>
                <a:schemeClr val="bg1"/>
              </a:solidFill>
            </a:ln>
            <a:effectLst/>
          </c:spPr>
          <c:invertIfNegative val="0"/>
          <c:cat>
            <c:numRef>
              <c:f>Calculations!$B$3:$BT$3</c:f>
              <c:numCache>
                <c:formatCode>General</c:formatCode>
                <c:ptCount val="71"/>
                <c:pt idx="0">
                  <c:v>2021</c:v>
                </c:pt>
                <c:pt idx="1">
                  <c:v>2022</c:v>
                </c:pt>
                <c:pt idx="2">
                  <c:v>2023</c:v>
                </c:pt>
                <c:pt idx="3">
                  <c:v>2024</c:v>
                </c:pt>
                <c:pt idx="4">
                  <c:v>2025</c:v>
                </c:pt>
                <c:pt idx="5">
                  <c:v>2026</c:v>
                </c:pt>
                <c:pt idx="6">
                  <c:v>2027</c:v>
                </c:pt>
                <c:pt idx="7">
                  <c:v>2028</c:v>
                </c:pt>
                <c:pt idx="8">
                  <c:v>2029</c:v>
                </c:pt>
                <c:pt idx="9">
                  <c:v>2030</c:v>
                </c:pt>
                <c:pt idx="10">
                  <c:v>2031</c:v>
                </c:pt>
                <c:pt idx="11">
                  <c:v>2032</c:v>
                </c:pt>
                <c:pt idx="12">
                  <c:v>2033</c:v>
                </c:pt>
                <c:pt idx="13">
                  <c:v>2034</c:v>
                </c:pt>
                <c:pt idx="14">
                  <c:v>2035</c:v>
                </c:pt>
                <c:pt idx="15">
                  <c:v>2036</c:v>
                </c:pt>
                <c:pt idx="16">
                  <c:v>2037</c:v>
                </c:pt>
                <c:pt idx="17">
                  <c:v>2038</c:v>
                </c:pt>
                <c:pt idx="18">
                  <c:v>2039</c:v>
                </c:pt>
                <c:pt idx="19">
                  <c:v>2040</c:v>
                </c:pt>
                <c:pt idx="20">
                  <c:v>2041</c:v>
                </c:pt>
                <c:pt idx="21">
                  <c:v>2042</c:v>
                </c:pt>
                <c:pt idx="22">
                  <c:v>2043</c:v>
                </c:pt>
                <c:pt idx="23">
                  <c:v>2044</c:v>
                </c:pt>
                <c:pt idx="24">
                  <c:v>2045</c:v>
                </c:pt>
                <c:pt idx="25">
                  <c:v>2046</c:v>
                </c:pt>
                <c:pt idx="26">
                  <c:v>2047</c:v>
                </c:pt>
                <c:pt idx="27">
                  <c:v>2048</c:v>
                </c:pt>
                <c:pt idx="28">
                  <c:v>2049</c:v>
                </c:pt>
                <c:pt idx="29">
                  <c:v>2050</c:v>
                </c:pt>
                <c:pt idx="30">
                  <c:v>2051</c:v>
                </c:pt>
                <c:pt idx="31">
                  <c:v>2052</c:v>
                </c:pt>
                <c:pt idx="32">
                  <c:v>2053</c:v>
                </c:pt>
                <c:pt idx="33">
                  <c:v>2054</c:v>
                </c:pt>
                <c:pt idx="34">
                  <c:v>2055</c:v>
                </c:pt>
                <c:pt idx="35">
                  <c:v>2056</c:v>
                </c:pt>
                <c:pt idx="36">
                  <c:v>2057</c:v>
                </c:pt>
                <c:pt idx="37">
                  <c:v>2058</c:v>
                </c:pt>
                <c:pt idx="38">
                  <c:v>2059</c:v>
                </c:pt>
                <c:pt idx="39">
                  <c:v>2060</c:v>
                </c:pt>
                <c:pt idx="40">
                  <c:v>2061</c:v>
                </c:pt>
                <c:pt idx="41">
                  <c:v>2062</c:v>
                </c:pt>
                <c:pt idx="42">
                  <c:v>2063</c:v>
                </c:pt>
                <c:pt idx="43">
                  <c:v>2064</c:v>
                </c:pt>
                <c:pt idx="44">
                  <c:v>2065</c:v>
                </c:pt>
                <c:pt idx="45">
                  <c:v>2066</c:v>
                </c:pt>
                <c:pt idx="46">
                  <c:v>2067</c:v>
                </c:pt>
                <c:pt idx="47">
                  <c:v>2068</c:v>
                </c:pt>
                <c:pt idx="48">
                  <c:v>2069</c:v>
                </c:pt>
                <c:pt idx="49">
                  <c:v>2070</c:v>
                </c:pt>
                <c:pt idx="50">
                  <c:v>2071</c:v>
                </c:pt>
                <c:pt idx="51">
                  <c:v>2072</c:v>
                </c:pt>
                <c:pt idx="52">
                  <c:v>2073</c:v>
                </c:pt>
                <c:pt idx="53">
                  <c:v>2074</c:v>
                </c:pt>
                <c:pt idx="54">
                  <c:v>2075</c:v>
                </c:pt>
                <c:pt idx="55">
                  <c:v>2076</c:v>
                </c:pt>
                <c:pt idx="56">
                  <c:v>2077</c:v>
                </c:pt>
                <c:pt idx="57">
                  <c:v>2078</c:v>
                </c:pt>
                <c:pt idx="58">
                  <c:v>2079</c:v>
                </c:pt>
                <c:pt idx="59">
                  <c:v>2080</c:v>
                </c:pt>
                <c:pt idx="60">
                  <c:v>2081</c:v>
                </c:pt>
                <c:pt idx="61">
                  <c:v>2082</c:v>
                </c:pt>
                <c:pt idx="62">
                  <c:v>2083</c:v>
                </c:pt>
                <c:pt idx="63">
                  <c:v>2084</c:v>
                </c:pt>
                <c:pt idx="64">
                  <c:v>2085</c:v>
                </c:pt>
                <c:pt idx="65">
                  <c:v>2086</c:v>
                </c:pt>
                <c:pt idx="66">
                  <c:v>2087</c:v>
                </c:pt>
                <c:pt idx="67">
                  <c:v>2088</c:v>
                </c:pt>
                <c:pt idx="68">
                  <c:v>2089</c:v>
                </c:pt>
                <c:pt idx="69">
                  <c:v>2090</c:v>
                </c:pt>
                <c:pt idx="70">
                  <c:v>2091</c:v>
                </c:pt>
              </c:numCache>
            </c:numRef>
          </c:cat>
          <c:val>
            <c:numRef>
              <c:f>Calculations!$B$6:$BT$6</c:f>
              <c:numCache>
                <c:formatCode>General</c:formatCode>
                <c:ptCount val="71"/>
              </c:numCache>
            </c:numRef>
          </c:val>
          <c:extLst>
            <c:ext xmlns:c16="http://schemas.microsoft.com/office/drawing/2014/chart" uri="{C3380CC4-5D6E-409C-BE32-E72D297353CC}">
              <c16:uniqueId val="{00000001-2927-4E31-B9DB-B427B7BF92E0}"/>
            </c:ext>
          </c:extLst>
        </c:ser>
        <c:ser>
          <c:idx val="7"/>
          <c:order val="2"/>
          <c:tx>
            <c:strRef>
              <c:f>Calculations!$A$7</c:f>
              <c:strCache>
                <c:ptCount val="1"/>
                <c:pt idx="0">
                  <c:v>LOBO Loans</c:v>
                </c:pt>
              </c:strCache>
            </c:strRef>
          </c:tx>
          <c:spPr>
            <a:solidFill>
              <a:srgbClr val="4E4E50"/>
            </a:solidFill>
            <a:ln>
              <a:solidFill>
                <a:schemeClr val="bg1"/>
              </a:solidFill>
            </a:ln>
            <a:effectLst/>
          </c:spPr>
          <c:invertIfNegative val="0"/>
          <c:cat>
            <c:numRef>
              <c:f>Calculations!$B$3:$BT$3</c:f>
              <c:numCache>
                <c:formatCode>General</c:formatCode>
                <c:ptCount val="71"/>
                <c:pt idx="0">
                  <c:v>2021</c:v>
                </c:pt>
                <c:pt idx="1">
                  <c:v>2022</c:v>
                </c:pt>
                <c:pt idx="2">
                  <c:v>2023</c:v>
                </c:pt>
                <c:pt idx="3">
                  <c:v>2024</c:v>
                </c:pt>
                <c:pt idx="4">
                  <c:v>2025</c:v>
                </c:pt>
                <c:pt idx="5">
                  <c:v>2026</c:v>
                </c:pt>
                <c:pt idx="6">
                  <c:v>2027</c:v>
                </c:pt>
                <c:pt idx="7">
                  <c:v>2028</c:v>
                </c:pt>
                <c:pt idx="8">
                  <c:v>2029</c:v>
                </c:pt>
                <c:pt idx="9">
                  <c:v>2030</c:v>
                </c:pt>
                <c:pt idx="10">
                  <c:v>2031</c:v>
                </c:pt>
                <c:pt idx="11">
                  <c:v>2032</c:v>
                </c:pt>
                <c:pt idx="12">
                  <c:v>2033</c:v>
                </c:pt>
                <c:pt idx="13">
                  <c:v>2034</c:v>
                </c:pt>
                <c:pt idx="14">
                  <c:v>2035</c:v>
                </c:pt>
                <c:pt idx="15">
                  <c:v>2036</c:v>
                </c:pt>
                <c:pt idx="16">
                  <c:v>2037</c:v>
                </c:pt>
                <c:pt idx="17">
                  <c:v>2038</c:v>
                </c:pt>
                <c:pt idx="18">
                  <c:v>2039</c:v>
                </c:pt>
                <c:pt idx="19">
                  <c:v>2040</c:v>
                </c:pt>
                <c:pt idx="20">
                  <c:v>2041</c:v>
                </c:pt>
                <c:pt idx="21">
                  <c:v>2042</c:v>
                </c:pt>
                <c:pt idx="22">
                  <c:v>2043</c:v>
                </c:pt>
                <c:pt idx="23">
                  <c:v>2044</c:v>
                </c:pt>
                <c:pt idx="24">
                  <c:v>2045</c:v>
                </c:pt>
                <c:pt idx="25">
                  <c:v>2046</c:v>
                </c:pt>
                <c:pt idx="26">
                  <c:v>2047</c:v>
                </c:pt>
                <c:pt idx="27">
                  <c:v>2048</c:v>
                </c:pt>
                <c:pt idx="28">
                  <c:v>2049</c:v>
                </c:pt>
                <c:pt idx="29">
                  <c:v>2050</c:v>
                </c:pt>
                <c:pt idx="30">
                  <c:v>2051</c:v>
                </c:pt>
                <c:pt idx="31">
                  <c:v>2052</c:v>
                </c:pt>
                <c:pt idx="32">
                  <c:v>2053</c:v>
                </c:pt>
                <c:pt idx="33">
                  <c:v>2054</c:v>
                </c:pt>
                <c:pt idx="34">
                  <c:v>2055</c:v>
                </c:pt>
                <c:pt idx="35">
                  <c:v>2056</c:v>
                </c:pt>
                <c:pt idx="36">
                  <c:v>2057</c:v>
                </c:pt>
                <c:pt idx="37">
                  <c:v>2058</c:v>
                </c:pt>
                <c:pt idx="38">
                  <c:v>2059</c:v>
                </c:pt>
                <c:pt idx="39">
                  <c:v>2060</c:v>
                </c:pt>
                <c:pt idx="40">
                  <c:v>2061</c:v>
                </c:pt>
                <c:pt idx="41">
                  <c:v>2062</c:v>
                </c:pt>
                <c:pt idx="42">
                  <c:v>2063</c:v>
                </c:pt>
                <c:pt idx="43">
                  <c:v>2064</c:v>
                </c:pt>
                <c:pt idx="44">
                  <c:v>2065</c:v>
                </c:pt>
                <c:pt idx="45">
                  <c:v>2066</c:v>
                </c:pt>
                <c:pt idx="46">
                  <c:v>2067</c:v>
                </c:pt>
                <c:pt idx="47">
                  <c:v>2068</c:v>
                </c:pt>
                <c:pt idx="48">
                  <c:v>2069</c:v>
                </c:pt>
                <c:pt idx="49">
                  <c:v>2070</c:v>
                </c:pt>
                <c:pt idx="50">
                  <c:v>2071</c:v>
                </c:pt>
                <c:pt idx="51">
                  <c:v>2072</c:v>
                </c:pt>
                <c:pt idx="52">
                  <c:v>2073</c:v>
                </c:pt>
                <c:pt idx="53">
                  <c:v>2074</c:v>
                </c:pt>
                <c:pt idx="54">
                  <c:v>2075</c:v>
                </c:pt>
                <c:pt idx="55">
                  <c:v>2076</c:v>
                </c:pt>
                <c:pt idx="56">
                  <c:v>2077</c:v>
                </c:pt>
                <c:pt idx="57">
                  <c:v>2078</c:v>
                </c:pt>
                <c:pt idx="58">
                  <c:v>2079</c:v>
                </c:pt>
                <c:pt idx="59">
                  <c:v>2080</c:v>
                </c:pt>
                <c:pt idx="60">
                  <c:v>2081</c:v>
                </c:pt>
                <c:pt idx="61">
                  <c:v>2082</c:v>
                </c:pt>
                <c:pt idx="62">
                  <c:v>2083</c:v>
                </c:pt>
                <c:pt idx="63">
                  <c:v>2084</c:v>
                </c:pt>
                <c:pt idx="64">
                  <c:v>2085</c:v>
                </c:pt>
                <c:pt idx="65">
                  <c:v>2086</c:v>
                </c:pt>
                <c:pt idx="66">
                  <c:v>2087</c:v>
                </c:pt>
                <c:pt idx="67">
                  <c:v>2088</c:v>
                </c:pt>
                <c:pt idx="68">
                  <c:v>2089</c:v>
                </c:pt>
                <c:pt idx="69">
                  <c:v>2090</c:v>
                </c:pt>
                <c:pt idx="70">
                  <c:v>2091</c:v>
                </c:pt>
              </c:numCache>
            </c:numRef>
          </c:cat>
          <c:val>
            <c:numRef>
              <c:f>Calculations!$B$7:$BT$7</c:f>
              <c:numCache>
                <c:formatCode>General</c:formatCode>
                <c:ptCount val="71"/>
              </c:numCache>
            </c:numRef>
          </c:val>
          <c:extLst>
            <c:ext xmlns:c16="http://schemas.microsoft.com/office/drawing/2014/chart" uri="{C3380CC4-5D6E-409C-BE32-E72D297353CC}">
              <c16:uniqueId val="{00000002-2927-4E31-B9DB-B427B7BF92E0}"/>
            </c:ext>
          </c:extLst>
        </c:ser>
        <c:ser>
          <c:idx val="9"/>
          <c:order val="3"/>
          <c:tx>
            <c:strRef>
              <c:f>Calculations!$A$8</c:f>
              <c:strCache>
                <c:ptCount val="1"/>
                <c:pt idx="0">
                  <c:v>Short Term inc LA Temporary Borrowing (&lt;1 year)</c:v>
                </c:pt>
              </c:strCache>
            </c:strRef>
          </c:tx>
          <c:spPr>
            <a:solidFill>
              <a:schemeClr val="accent2">
                <a:lumMod val="60000"/>
                <a:lumOff val="40000"/>
              </a:schemeClr>
            </a:solidFill>
            <a:ln>
              <a:solidFill>
                <a:schemeClr val="bg1"/>
              </a:solidFill>
            </a:ln>
            <a:effectLst/>
          </c:spPr>
          <c:invertIfNegative val="0"/>
          <c:cat>
            <c:numRef>
              <c:f>Calculations!$B$3:$BT$3</c:f>
              <c:numCache>
                <c:formatCode>General</c:formatCode>
                <c:ptCount val="71"/>
                <c:pt idx="0">
                  <c:v>2021</c:v>
                </c:pt>
                <c:pt idx="1">
                  <c:v>2022</c:v>
                </c:pt>
                <c:pt idx="2">
                  <c:v>2023</c:v>
                </c:pt>
                <c:pt idx="3">
                  <c:v>2024</c:v>
                </c:pt>
                <c:pt idx="4">
                  <c:v>2025</c:v>
                </c:pt>
                <c:pt idx="5">
                  <c:v>2026</c:v>
                </c:pt>
                <c:pt idx="6">
                  <c:v>2027</c:v>
                </c:pt>
                <c:pt idx="7">
                  <c:v>2028</c:v>
                </c:pt>
                <c:pt idx="8">
                  <c:v>2029</c:v>
                </c:pt>
                <c:pt idx="9">
                  <c:v>2030</c:v>
                </c:pt>
                <c:pt idx="10">
                  <c:v>2031</c:v>
                </c:pt>
                <c:pt idx="11">
                  <c:v>2032</c:v>
                </c:pt>
                <c:pt idx="12">
                  <c:v>2033</c:v>
                </c:pt>
                <c:pt idx="13">
                  <c:v>2034</c:v>
                </c:pt>
                <c:pt idx="14">
                  <c:v>2035</c:v>
                </c:pt>
                <c:pt idx="15">
                  <c:v>2036</c:v>
                </c:pt>
                <c:pt idx="16">
                  <c:v>2037</c:v>
                </c:pt>
                <c:pt idx="17">
                  <c:v>2038</c:v>
                </c:pt>
                <c:pt idx="18">
                  <c:v>2039</c:v>
                </c:pt>
                <c:pt idx="19">
                  <c:v>2040</c:v>
                </c:pt>
                <c:pt idx="20">
                  <c:v>2041</c:v>
                </c:pt>
                <c:pt idx="21">
                  <c:v>2042</c:v>
                </c:pt>
                <c:pt idx="22">
                  <c:v>2043</c:v>
                </c:pt>
                <c:pt idx="23">
                  <c:v>2044</c:v>
                </c:pt>
                <c:pt idx="24">
                  <c:v>2045</c:v>
                </c:pt>
                <c:pt idx="25">
                  <c:v>2046</c:v>
                </c:pt>
                <c:pt idx="26">
                  <c:v>2047</c:v>
                </c:pt>
                <c:pt idx="27">
                  <c:v>2048</c:v>
                </c:pt>
                <c:pt idx="28">
                  <c:v>2049</c:v>
                </c:pt>
                <c:pt idx="29">
                  <c:v>2050</c:v>
                </c:pt>
                <c:pt idx="30">
                  <c:v>2051</c:v>
                </c:pt>
                <c:pt idx="31">
                  <c:v>2052</c:v>
                </c:pt>
                <c:pt idx="32">
                  <c:v>2053</c:v>
                </c:pt>
                <c:pt idx="33">
                  <c:v>2054</c:v>
                </c:pt>
                <c:pt idx="34">
                  <c:v>2055</c:v>
                </c:pt>
                <c:pt idx="35">
                  <c:v>2056</c:v>
                </c:pt>
                <c:pt idx="36">
                  <c:v>2057</c:v>
                </c:pt>
                <c:pt idx="37">
                  <c:v>2058</c:v>
                </c:pt>
                <c:pt idx="38">
                  <c:v>2059</c:v>
                </c:pt>
                <c:pt idx="39">
                  <c:v>2060</c:v>
                </c:pt>
                <c:pt idx="40">
                  <c:v>2061</c:v>
                </c:pt>
                <c:pt idx="41">
                  <c:v>2062</c:v>
                </c:pt>
                <c:pt idx="42">
                  <c:v>2063</c:v>
                </c:pt>
                <c:pt idx="43">
                  <c:v>2064</c:v>
                </c:pt>
                <c:pt idx="44">
                  <c:v>2065</c:v>
                </c:pt>
                <c:pt idx="45">
                  <c:v>2066</c:v>
                </c:pt>
                <c:pt idx="46">
                  <c:v>2067</c:v>
                </c:pt>
                <c:pt idx="47">
                  <c:v>2068</c:v>
                </c:pt>
                <c:pt idx="48">
                  <c:v>2069</c:v>
                </c:pt>
                <c:pt idx="49">
                  <c:v>2070</c:v>
                </c:pt>
                <c:pt idx="50">
                  <c:v>2071</c:v>
                </c:pt>
                <c:pt idx="51">
                  <c:v>2072</c:v>
                </c:pt>
                <c:pt idx="52">
                  <c:v>2073</c:v>
                </c:pt>
                <c:pt idx="53">
                  <c:v>2074</c:v>
                </c:pt>
                <c:pt idx="54">
                  <c:v>2075</c:v>
                </c:pt>
                <c:pt idx="55">
                  <c:v>2076</c:v>
                </c:pt>
                <c:pt idx="56">
                  <c:v>2077</c:v>
                </c:pt>
                <c:pt idx="57">
                  <c:v>2078</c:v>
                </c:pt>
                <c:pt idx="58">
                  <c:v>2079</c:v>
                </c:pt>
                <c:pt idx="59">
                  <c:v>2080</c:v>
                </c:pt>
                <c:pt idx="60">
                  <c:v>2081</c:v>
                </c:pt>
                <c:pt idx="61">
                  <c:v>2082</c:v>
                </c:pt>
                <c:pt idx="62">
                  <c:v>2083</c:v>
                </c:pt>
                <c:pt idx="63">
                  <c:v>2084</c:v>
                </c:pt>
                <c:pt idx="64">
                  <c:v>2085</c:v>
                </c:pt>
                <c:pt idx="65">
                  <c:v>2086</c:v>
                </c:pt>
                <c:pt idx="66">
                  <c:v>2087</c:v>
                </c:pt>
                <c:pt idx="67">
                  <c:v>2088</c:v>
                </c:pt>
                <c:pt idx="68">
                  <c:v>2089</c:v>
                </c:pt>
                <c:pt idx="69">
                  <c:v>2090</c:v>
                </c:pt>
                <c:pt idx="70">
                  <c:v>2091</c:v>
                </c:pt>
              </c:numCache>
            </c:numRef>
          </c:cat>
          <c:val>
            <c:numRef>
              <c:f>Calculations!$B$8:$BT$8</c:f>
              <c:numCache>
                <c:formatCode>General</c:formatCode>
                <c:ptCount val="71"/>
              </c:numCache>
            </c:numRef>
          </c:val>
          <c:extLst>
            <c:ext xmlns:c16="http://schemas.microsoft.com/office/drawing/2014/chart" uri="{C3380CC4-5D6E-409C-BE32-E72D297353CC}">
              <c16:uniqueId val="{00000003-2927-4E31-B9DB-B427B7BF92E0}"/>
            </c:ext>
          </c:extLst>
        </c:ser>
        <c:ser>
          <c:idx val="3"/>
          <c:order val="4"/>
          <c:tx>
            <c:strRef>
              <c:f>Calculations!$A$9</c:f>
              <c:strCache>
                <c:ptCount val="1"/>
                <c:pt idx="0">
                  <c:v>Variable rate loans</c:v>
                </c:pt>
              </c:strCache>
            </c:strRef>
          </c:tx>
          <c:spPr>
            <a:solidFill>
              <a:schemeClr val="accent1">
                <a:lumMod val="60000"/>
                <a:lumOff val="40000"/>
              </a:schemeClr>
            </a:solidFill>
            <a:ln>
              <a:solidFill>
                <a:schemeClr val="bg1"/>
              </a:solidFill>
            </a:ln>
            <a:effectLst/>
          </c:spPr>
          <c:invertIfNegative val="0"/>
          <c:cat>
            <c:numRef>
              <c:f>Calculations!$B$3:$BT$3</c:f>
              <c:numCache>
                <c:formatCode>General</c:formatCode>
                <c:ptCount val="71"/>
                <c:pt idx="0">
                  <c:v>2021</c:v>
                </c:pt>
                <c:pt idx="1">
                  <c:v>2022</c:v>
                </c:pt>
                <c:pt idx="2">
                  <c:v>2023</c:v>
                </c:pt>
                <c:pt idx="3">
                  <c:v>2024</c:v>
                </c:pt>
                <c:pt idx="4">
                  <c:v>2025</c:v>
                </c:pt>
                <c:pt idx="5">
                  <c:v>2026</c:v>
                </c:pt>
                <c:pt idx="6">
                  <c:v>2027</c:v>
                </c:pt>
                <c:pt idx="7">
                  <c:v>2028</c:v>
                </c:pt>
                <c:pt idx="8">
                  <c:v>2029</c:v>
                </c:pt>
                <c:pt idx="9">
                  <c:v>2030</c:v>
                </c:pt>
                <c:pt idx="10">
                  <c:v>2031</c:v>
                </c:pt>
                <c:pt idx="11">
                  <c:v>2032</c:v>
                </c:pt>
                <c:pt idx="12">
                  <c:v>2033</c:v>
                </c:pt>
                <c:pt idx="13">
                  <c:v>2034</c:v>
                </c:pt>
                <c:pt idx="14">
                  <c:v>2035</c:v>
                </c:pt>
                <c:pt idx="15">
                  <c:v>2036</c:v>
                </c:pt>
                <c:pt idx="16">
                  <c:v>2037</c:v>
                </c:pt>
                <c:pt idx="17">
                  <c:v>2038</c:v>
                </c:pt>
                <c:pt idx="18">
                  <c:v>2039</c:v>
                </c:pt>
                <c:pt idx="19">
                  <c:v>2040</c:v>
                </c:pt>
                <c:pt idx="20">
                  <c:v>2041</c:v>
                </c:pt>
                <c:pt idx="21">
                  <c:v>2042</c:v>
                </c:pt>
                <c:pt idx="22">
                  <c:v>2043</c:v>
                </c:pt>
                <c:pt idx="23">
                  <c:v>2044</c:v>
                </c:pt>
                <c:pt idx="24">
                  <c:v>2045</c:v>
                </c:pt>
                <c:pt idx="25">
                  <c:v>2046</c:v>
                </c:pt>
                <c:pt idx="26">
                  <c:v>2047</c:v>
                </c:pt>
                <c:pt idx="27">
                  <c:v>2048</c:v>
                </c:pt>
                <c:pt idx="28">
                  <c:v>2049</c:v>
                </c:pt>
                <c:pt idx="29">
                  <c:v>2050</c:v>
                </c:pt>
                <c:pt idx="30">
                  <c:v>2051</c:v>
                </c:pt>
                <c:pt idx="31">
                  <c:v>2052</c:v>
                </c:pt>
                <c:pt idx="32">
                  <c:v>2053</c:v>
                </c:pt>
                <c:pt idx="33">
                  <c:v>2054</c:v>
                </c:pt>
                <c:pt idx="34">
                  <c:v>2055</c:v>
                </c:pt>
                <c:pt idx="35">
                  <c:v>2056</c:v>
                </c:pt>
                <c:pt idx="36">
                  <c:v>2057</c:v>
                </c:pt>
                <c:pt idx="37">
                  <c:v>2058</c:v>
                </c:pt>
                <c:pt idx="38">
                  <c:v>2059</c:v>
                </c:pt>
                <c:pt idx="39">
                  <c:v>2060</c:v>
                </c:pt>
                <c:pt idx="40">
                  <c:v>2061</c:v>
                </c:pt>
                <c:pt idx="41">
                  <c:v>2062</c:v>
                </c:pt>
                <c:pt idx="42">
                  <c:v>2063</c:v>
                </c:pt>
                <c:pt idx="43">
                  <c:v>2064</c:v>
                </c:pt>
                <c:pt idx="44">
                  <c:v>2065</c:v>
                </c:pt>
                <c:pt idx="45">
                  <c:v>2066</c:v>
                </c:pt>
                <c:pt idx="46">
                  <c:v>2067</c:v>
                </c:pt>
                <c:pt idx="47">
                  <c:v>2068</c:v>
                </c:pt>
                <c:pt idx="48">
                  <c:v>2069</c:v>
                </c:pt>
                <c:pt idx="49">
                  <c:v>2070</c:v>
                </c:pt>
                <c:pt idx="50">
                  <c:v>2071</c:v>
                </c:pt>
                <c:pt idx="51">
                  <c:v>2072</c:v>
                </c:pt>
                <c:pt idx="52">
                  <c:v>2073</c:v>
                </c:pt>
                <c:pt idx="53">
                  <c:v>2074</c:v>
                </c:pt>
                <c:pt idx="54">
                  <c:v>2075</c:v>
                </c:pt>
                <c:pt idx="55">
                  <c:v>2076</c:v>
                </c:pt>
                <c:pt idx="56">
                  <c:v>2077</c:v>
                </c:pt>
                <c:pt idx="57">
                  <c:v>2078</c:v>
                </c:pt>
                <c:pt idx="58">
                  <c:v>2079</c:v>
                </c:pt>
                <c:pt idx="59">
                  <c:v>2080</c:v>
                </c:pt>
                <c:pt idx="60">
                  <c:v>2081</c:v>
                </c:pt>
                <c:pt idx="61">
                  <c:v>2082</c:v>
                </c:pt>
                <c:pt idx="62">
                  <c:v>2083</c:v>
                </c:pt>
                <c:pt idx="63">
                  <c:v>2084</c:v>
                </c:pt>
                <c:pt idx="64">
                  <c:v>2085</c:v>
                </c:pt>
                <c:pt idx="65">
                  <c:v>2086</c:v>
                </c:pt>
                <c:pt idx="66">
                  <c:v>2087</c:v>
                </c:pt>
                <c:pt idx="67">
                  <c:v>2088</c:v>
                </c:pt>
                <c:pt idx="68">
                  <c:v>2089</c:v>
                </c:pt>
                <c:pt idx="69">
                  <c:v>2090</c:v>
                </c:pt>
                <c:pt idx="70">
                  <c:v>2091</c:v>
                </c:pt>
              </c:numCache>
            </c:numRef>
          </c:cat>
          <c:val>
            <c:numRef>
              <c:f>Calculations!$B$9:$BT$9</c:f>
              <c:numCache>
                <c:formatCode>General</c:formatCode>
                <c:ptCount val="71"/>
              </c:numCache>
            </c:numRef>
          </c:val>
          <c:extLst>
            <c:ext xmlns:c16="http://schemas.microsoft.com/office/drawing/2014/chart" uri="{C3380CC4-5D6E-409C-BE32-E72D297353CC}">
              <c16:uniqueId val="{00000004-2927-4E31-B9DB-B427B7BF92E0}"/>
            </c:ext>
          </c:extLst>
        </c:ser>
        <c:dLbls>
          <c:showLegendKey val="0"/>
          <c:showVal val="0"/>
          <c:showCatName val="0"/>
          <c:showSerName val="0"/>
          <c:showPercent val="0"/>
          <c:showBubbleSize val="0"/>
        </c:dLbls>
        <c:gapWidth val="0"/>
        <c:overlap val="100"/>
        <c:axId val="1193711616"/>
        <c:axId val="1193709536"/>
      </c:barChart>
      <c:lineChart>
        <c:grouping val="standard"/>
        <c:varyColors val="0"/>
        <c:ser>
          <c:idx val="4"/>
          <c:order val="5"/>
          <c:tx>
            <c:strRef>
              <c:f>Calculations!$A$10</c:f>
              <c:strCache>
                <c:ptCount val="1"/>
                <c:pt idx="0">
                  <c:v>Existing Loan Debt Outstanding</c:v>
                </c:pt>
              </c:strCache>
            </c:strRef>
          </c:tx>
          <c:spPr>
            <a:ln w="47625" cap="rnd">
              <a:solidFill>
                <a:schemeClr val="tx1"/>
              </a:solidFill>
              <a:round/>
            </a:ln>
            <a:effectLst/>
          </c:spPr>
          <c:marker>
            <c:symbol val="none"/>
          </c:marker>
          <c:cat>
            <c:numRef>
              <c:f>Calculations!$B$3:$BT$3</c:f>
              <c:numCache>
                <c:formatCode>General</c:formatCode>
                <c:ptCount val="71"/>
                <c:pt idx="0">
                  <c:v>2021</c:v>
                </c:pt>
                <c:pt idx="1">
                  <c:v>2022</c:v>
                </c:pt>
                <c:pt idx="2">
                  <c:v>2023</c:v>
                </c:pt>
                <c:pt idx="3">
                  <c:v>2024</c:v>
                </c:pt>
                <c:pt idx="4">
                  <c:v>2025</c:v>
                </c:pt>
                <c:pt idx="5">
                  <c:v>2026</c:v>
                </c:pt>
                <c:pt idx="6">
                  <c:v>2027</c:v>
                </c:pt>
                <c:pt idx="7">
                  <c:v>2028</c:v>
                </c:pt>
                <c:pt idx="8">
                  <c:v>2029</c:v>
                </c:pt>
                <c:pt idx="9">
                  <c:v>2030</c:v>
                </c:pt>
                <c:pt idx="10">
                  <c:v>2031</c:v>
                </c:pt>
                <c:pt idx="11">
                  <c:v>2032</c:v>
                </c:pt>
                <c:pt idx="12">
                  <c:v>2033</c:v>
                </c:pt>
                <c:pt idx="13">
                  <c:v>2034</c:v>
                </c:pt>
                <c:pt idx="14">
                  <c:v>2035</c:v>
                </c:pt>
                <c:pt idx="15">
                  <c:v>2036</c:v>
                </c:pt>
                <c:pt idx="16">
                  <c:v>2037</c:v>
                </c:pt>
                <c:pt idx="17">
                  <c:v>2038</c:v>
                </c:pt>
                <c:pt idx="18">
                  <c:v>2039</c:v>
                </c:pt>
                <c:pt idx="19">
                  <c:v>2040</c:v>
                </c:pt>
                <c:pt idx="20">
                  <c:v>2041</c:v>
                </c:pt>
                <c:pt idx="21">
                  <c:v>2042</c:v>
                </c:pt>
                <c:pt idx="22">
                  <c:v>2043</c:v>
                </c:pt>
                <c:pt idx="23">
                  <c:v>2044</c:v>
                </c:pt>
                <c:pt idx="24">
                  <c:v>2045</c:v>
                </c:pt>
                <c:pt idx="25">
                  <c:v>2046</c:v>
                </c:pt>
                <c:pt idx="26">
                  <c:v>2047</c:v>
                </c:pt>
                <c:pt idx="27">
                  <c:v>2048</c:v>
                </c:pt>
                <c:pt idx="28">
                  <c:v>2049</c:v>
                </c:pt>
                <c:pt idx="29">
                  <c:v>2050</c:v>
                </c:pt>
                <c:pt idx="30">
                  <c:v>2051</c:v>
                </c:pt>
                <c:pt idx="31">
                  <c:v>2052</c:v>
                </c:pt>
                <c:pt idx="32">
                  <c:v>2053</c:v>
                </c:pt>
                <c:pt idx="33">
                  <c:v>2054</c:v>
                </c:pt>
                <c:pt idx="34">
                  <c:v>2055</c:v>
                </c:pt>
                <c:pt idx="35">
                  <c:v>2056</c:v>
                </c:pt>
                <c:pt idx="36">
                  <c:v>2057</c:v>
                </c:pt>
                <c:pt idx="37">
                  <c:v>2058</c:v>
                </c:pt>
                <c:pt idx="38">
                  <c:v>2059</c:v>
                </c:pt>
                <c:pt idx="39">
                  <c:v>2060</c:v>
                </c:pt>
                <c:pt idx="40">
                  <c:v>2061</c:v>
                </c:pt>
                <c:pt idx="41">
                  <c:v>2062</c:v>
                </c:pt>
                <c:pt idx="42">
                  <c:v>2063</c:v>
                </c:pt>
                <c:pt idx="43">
                  <c:v>2064</c:v>
                </c:pt>
                <c:pt idx="44">
                  <c:v>2065</c:v>
                </c:pt>
                <c:pt idx="45">
                  <c:v>2066</c:v>
                </c:pt>
                <c:pt idx="46">
                  <c:v>2067</c:v>
                </c:pt>
                <c:pt idx="47">
                  <c:v>2068</c:v>
                </c:pt>
                <c:pt idx="48">
                  <c:v>2069</c:v>
                </c:pt>
                <c:pt idx="49">
                  <c:v>2070</c:v>
                </c:pt>
                <c:pt idx="50">
                  <c:v>2071</c:v>
                </c:pt>
                <c:pt idx="51">
                  <c:v>2072</c:v>
                </c:pt>
                <c:pt idx="52">
                  <c:v>2073</c:v>
                </c:pt>
                <c:pt idx="53">
                  <c:v>2074</c:v>
                </c:pt>
                <c:pt idx="54">
                  <c:v>2075</c:v>
                </c:pt>
                <c:pt idx="55">
                  <c:v>2076</c:v>
                </c:pt>
                <c:pt idx="56">
                  <c:v>2077</c:v>
                </c:pt>
                <c:pt idx="57">
                  <c:v>2078</c:v>
                </c:pt>
                <c:pt idx="58">
                  <c:v>2079</c:v>
                </c:pt>
                <c:pt idx="59">
                  <c:v>2080</c:v>
                </c:pt>
                <c:pt idx="60">
                  <c:v>2081</c:v>
                </c:pt>
                <c:pt idx="61">
                  <c:v>2082</c:v>
                </c:pt>
                <c:pt idx="62">
                  <c:v>2083</c:v>
                </c:pt>
                <c:pt idx="63">
                  <c:v>2084</c:v>
                </c:pt>
                <c:pt idx="64">
                  <c:v>2085</c:v>
                </c:pt>
                <c:pt idx="65">
                  <c:v>2086</c:v>
                </c:pt>
                <c:pt idx="66">
                  <c:v>2087</c:v>
                </c:pt>
                <c:pt idx="67">
                  <c:v>2088</c:v>
                </c:pt>
                <c:pt idx="68">
                  <c:v>2089</c:v>
                </c:pt>
                <c:pt idx="69">
                  <c:v>2090</c:v>
                </c:pt>
                <c:pt idx="70">
                  <c:v>2091</c:v>
                </c:pt>
              </c:numCache>
            </c:numRef>
          </c:cat>
          <c:val>
            <c:numRef>
              <c:f>Calculations!$B$10:$BT$10</c:f>
              <c:numCache>
                <c:formatCode>"£"#,##0</c:formatCode>
                <c:ptCount val="71"/>
                <c:pt idx="0">
                  <c:v>93787</c:v>
                </c:pt>
                <c:pt idx="1">
                  <c:v>101287</c:v>
                </c:pt>
                <c:pt idx="2">
                  <c:v>105287</c:v>
                </c:pt>
                <c:pt idx="3">
                  <c:v>104487</c:v>
                </c:pt>
                <c:pt idx="4">
                  <c:v>102287</c:v>
                </c:pt>
                <c:pt idx="5">
                  <c:v>100287</c:v>
                </c:pt>
                <c:pt idx="6">
                  <c:v>100287</c:v>
                </c:pt>
                <c:pt idx="7">
                  <c:v>93287</c:v>
                </c:pt>
                <c:pt idx="8">
                  <c:v>93287</c:v>
                </c:pt>
                <c:pt idx="9">
                  <c:v>93287</c:v>
                </c:pt>
                <c:pt idx="10">
                  <c:v>93287</c:v>
                </c:pt>
                <c:pt idx="11">
                  <c:v>93287</c:v>
                </c:pt>
                <c:pt idx="12">
                  <c:v>93287</c:v>
                </c:pt>
                <c:pt idx="13">
                  <c:v>93287</c:v>
                </c:pt>
                <c:pt idx="14">
                  <c:v>93287</c:v>
                </c:pt>
                <c:pt idx="15">
                  <c:v>93287</c:v>
                </c:pt>
                <c:pt idx="16">
                  <c:v>93287</c:v>
                </c:pt>
                <c:pt idx="17">
                  <c:v>93287</c:v>
                </c:pt>
                <c:pt idx="18">
                  <c:v>93287</c:v>
                </c:pt>
                <c:pt idx="19">
                  <c:v>93287</c:v>
                </c:pt>
                <c:pt idx="20">
                  <c:v>93287</c:v>
                </c:pt>
                <c:pt idx="21">
                  <c:v>93287</c:v>
                </c:pt>
                <c:pt idx="22">
                  <c:v>93287</c:v>
                </c:pt>
                <c:pt idx="23">
                  <c:v>93287</c:v>
                </c:pt>
                <c:pt idx="24">
                  <c:v>93287</c:v>
                </c:pt>
                <c:pt idx="25">
                  <c:v>93287</c:v>
                </c:pt>
                <c:pt idx="26">
                  <c:v>93287</c:v>
                </c:pt>
                <c:pt idx="27">
                  <c:v>93287</c:v>
                </c:pt>
                <c:pt idx="28">
                  <c:v>93287</c:v>
                </c:pt>
                <c:pt idx="29">
                  <c:v>93287</c:v>
                </c:pt>
                <c:pt idx="30">
                  <c:v>78287</c:v>
                </c:pt>
                <c:pt idx="31">
                  <c:v>78287</c:v>
                </c:pt>
                <c:pt idx="32">
                  <c:v>78287</c:v>
                </c:pt>
                <c:pt idx="33">
                  <c:v>78287</c:v>
                </c:pt>
                <c:pt idx="34">
                  <c:v>78287</c:v>
                </c:pt>
                <c:pt idx="35">
                  <c:v>78287</c:v>
                </c:pt>
                <c:pt idx="36">
                  <c:v>64500</c:v>
                </c:pt>
                <c:pt idx="37">
                  <c:v>64500</c:v>
                </c:pt>
                <c:pt idx="38">
                  <c:v>59500</c:v>
                </c:pt>
                <c:pt idx="39">
                  <c:v>59500</c:v>
                </c:pt>
                <c:pt idx="40">
                  <c:v>59500</c:v>
                </c:pt>
                <c:pt idx="41">
                  <c:v>57500</c:v>
                </c:pt>
                <c:pt idx="42">
                  <c:v>57500</c:v>
                </c:pt>
                <c:pt idx="43">
                  <c:v>57500</c:v>
                </c:pt>
                <c:pt idx="44">
                  <c:v>57500</c:v>
                </c:pt>
                <c:pt idx="45">
                  <c:v>57500</c:v>
                </c:pt>
                <c:pt idx="46">
                  <c:v>57500</c:v>
                </c:pt>
                <c:pt idx="47">
                  <c:v>57500</c:v>
                </c:pt>
                <c:pt idx="48">
                  <c:v>22500</c:v>
                </c:pt>
                <c:pt idx="49">
                  <c:v>7500</c:v>
                </c:pt>
                <c:pt idx="50">
                  <c:v>7500</c:v>
                </c:pt>
                <c:pt idx="51">
                  <c:v>0</c:v>
                </c:pt>
                <c:pt idx="52">
                  <c:v>0</c:v>
                </c:pt>
                <c:pt idx="53">
                  <c:v>0</c:v>
                </c:pt>
                <c:pt idx="54">
                  <c:v>0</c:v>
                </c:pt>
                <c:pt idx="55">
                  <c:v>0</c:v>
                </c:pt>
                <c:pt idx="56">
                  <c:v>0</c:v>
                </c:pt>
                <c:pt idx="57">
                  <c:v>0</c:v>
                </c:pt>
                <c:pt idx="58">
                  <c:v>0</c:v>
                </c:pt>
                <c:pt idx="59">
                  <c:v>0</c:v>
                </c:pt>
                <c:pt idx="60">
                  <c:v>0</c:v>
                </c:pt>
                <c:pt idx="61">
                  <c:v>0</c:v>
                </c:pt>
                <c:pt idx="62">
                  <c:v>0</c:v>
                </c:pt>
                <c:pt idx="63">
                  <c:v>0</c:v>
                </c:pt>
                <c:pt idx="64">
                  <c:v>0</c:v>
                </c:pt>
                <c:pt idx="65">
                  <c:v>0</c:v>
                </c:pt>
                <c:pt idx="66">
                  <c:v>0</c:v>
                </c:pt>
                <c:pt idx="67">
                  <c:v>0</c:v>
                </c:pt>
                <c:pt idx="68">
                  <c:v>0</c:v>
                </c:pt>
                <c:pt idx="69">
                  <c:v>0</c:v>
                </c:pt>
                <c:pt idx="70">
                  <c:v>0</c:v>
                </c:pt>
              </c:numCache>
            </c:numRef>
          </c:val>
          <c:smooth val="0"/>
          <c:extLst>
            <c:ext xmlns:c16="http://schemas.microsoft.com/office/drawing/2014/chart" uri="{C3380CC4-5D6E-409C-BE32-E72D297353CC}">
              <c16:uniqueId val="{00000005-2927-4E31-B9DB-B427B7BF92E0}"/>
            </c:ext>
          </c:extLst>
        </c:ser>
        <c:ser>
          <c:idx val="2"/>
          <c:order val="6"/>
          <c:tx>
            <c:strRef>
              <c:f>Calculations!$A$17</c:f>
              <c:strCache>
                <c:ptCount val="1"/>
                <c:pt idx="0">
                  <c:v>Net Loans Requirement (forecast net loan debt)</c:v>
                </c:pt>
              </c:strCache>
            </c:strRef>
          </c:tx>
          <c:spPr>
            <a:ln w="44450" cap="rnd">
              <a:solidFill>
                <a:srgbClr val="F26729"/>
              </a:solidFill>
              <a:round/>
            </a:ln>
            <a:effectLst/>
          </c:spPr>
          <c:marker>
            <c:symbol val="none"/>
          </c:marker>
          <c:cat>
            <c:numRef>
              <c:f>Calculations!$B$3:$BT$3</c:f>
              <c:numCache>
                <c:formatCode>General</c:formatCode>
                <c:ptCount val="71"/>
                <c:pt idx="0">
                  <c:v>2021</c:v>
                </c:pt>
                <c:pt idx="1">
                  <c:v>2022</c:v>
                </c:pt>
                <c:pt idx="2">
                  <c:v>2023</c:v>
                </c:pt>
                <c:pt idx="3">
                  <c:v>2024</c:v>
                </c:pt>
                <c:pt idx="4">
                  <c:v>2025</c:v>
                </c:pt>
                <c:pt idx="5">
                  <c:v>2026</c:v>
                </c:pt>
                <c:pt idx="6">
                  <c:v>2027</c:v>
                </c:pt>
                <c:pt idx="7">
                  <c:v>2028</c:v>
                </c:pt>
                <c:pt idx="8">
                  <c:v>2029</c:v>
                </c:pt>
                <c:pt idx="9">
                  <c:v>2030</c:v>
                </c:pt>
                <c:pt idx="10">
                  <c:v>2031</c:v>
                </c:pt>
                <c:pt idx="11">
                  <c:v>2032</c:v>
                </c:pt>
                <c:pt idx="12">
                  <c:v>2033</c:v>
                </c:pt>
                <c:pt idx="13">
                  <c:v>2034</c:v>
                </c:pt>
                <c:pt idx="14">
                  <c:v>2035</c:v>
                </c:pt>
                <c:pt idx="15">
                  <c:v>2036</c:v>
                </c:pt>
                <c:pt idx="16">
                  <c:v>2037</c:v>
                </c:pt>
                <c:pt idx="17">
                  <c:v>2038</c:v>
                </c:pt>
                <c:pt idx="18">
                  <c:v>2039</c:v>
                </c:pt>
                <c:pt idx="19">
                  <c:v>2040</c:v>
                </c:pt>
                <c:pt idx="20">
                  <c:v>2041</c:v>
                </c:pt>
                <c:pt idx="21">
                  <c:v>2042</c:v>
                </c:pt>
                <c:pt idx="22">
                  <c:v>2043</c:v>
                </c:pt>
                <c:pt idx="23">
                  <c:v>2044</c:v>
                </c:pt>
                <c:pt idx="24">
                  <c:v>2045</c:v>
                </c:pt>
                <c:pt idx="25">
                  <c:v>2046</c:v>
                </c:pt>
                <c:pt idx="26">
                  <c:v>2047</c:v>
                </c:pt>
                <c:pt idx="27">
                  <c:v>2048</c:v>
                </c:pt>
                <c:pt idx="28">
                  <c:v>2049</c:v>
                </c:pt>
                <c:pt idx="29">
                  <c:v>2050</c:v>
                </c:pt>
                <c:pt idx="30">
                  <c:v>2051</c:v>
                </c:pt>
                <c:pt idx="31">
                  <c:v>2052</c:v>
                </c:pt>
                <c:pt idx="32">
                  <c:v>2053</c:v>
                </c:pt>
                <c:pt idx="33">
                  <c:v>2054</c:v>
                </c:pt>
                <c:pt idx="34">
                  <c:v>2055</c:v>
                </c:pt>
                <c:pt idx="35">
                  <c:v>2056</c:v>
                </c:pt>
                <c:pt idx="36">
                  <c:v>2057</c:v>
                </c:pt>
                <c:pt idx="37">
                  <c:v>2058</c:v>
                </c:pt>
                <c:pt idx="38">
                  <c:v>2059</c:v>
                </c:pt>
                <c:pt idx="39">
                  <c:v>2060</c:v>
                </c:pt>
                <c:pt idx="40">
                  <c:v>2061</c:v>
                </c:pt>
                <c:pt idx="41">
                  <c:v>2062</c:v>
                </c:pt>
                <c:pt idx="42">
                  <c:v>2063</c:v>
                </c:pt>
                <c:pt idx="43">
                  <c:v>2064</c:v>
                </c:pt>
                <c:pt idx="44">
                  <c:v>2065</c:v>
                </c:pt>
                <c:pt idx="45">
                  <c:v>2066</c:v>
                </c:pt>
                <c:pt idx="46">
                  <c:v>2067</c:v>
                </c:pt>
                <c:pt idx="47">
                  <c:v>2068</c:v>
                </c:pt>
                <c:pt idx="48">
                  <c:v>2069</c:v>
                </c:pt>
                <c:pt idx="49">
                  <c:v>2070</c:v>
                </c:pt>
                <c:pt idx="50">
                  <c:v>2071</c:v>
                </c:pt>
                <c:pt idx="51">
                  <c:v>2072</c:v>
                </c:pt>
                <c:pt idx="52">
                  <c:v>2073</c:v>
                </c:pt>
                <c:pt idx="53">
                  <c:v>2074</c:v>
                </c:pt>
                <c:pt idx="54">
                  <c:v>2075</c:v>
                </c:pt>
                <c:pt idx="55">
                  <c:v>2076</c:v>
                </c:pt>
                <c:pt idx="56">
                  <c:v>2077</c:v>
                </c:pt>
                <c:pt idx="57">
                  <c:v>2078</c:v>
                </c:pt>
                <c:pt idx="58">
                  <c:v>2079</c:v>
                </c:pt>
                <c:pt idx="59">
                  <c:v>2080</c:v>
                </c:pt>
                <c:pt idx="60">
                  <c:v>2081</c:v>
                </c:pt>
                <c:pt idx="61">
                  <c:v>2082</c:v>
                </c:pt>
                <c:pt idx="62">
                  <c:v>2083</c:v>
                </c:pt>
                <c:pt idx="63">
                  <c:v>2084</c:v>
                </c:pt>
                <c:pt idx="64">
                  <c:v>2085</c:v>
                </c:pt>
                <c:pt idx="65">
                  <c:v>2086</c:v>
                </c:pt>
                <c:pt idx="66">
                  <c:v>2087</c:v>
                </c:pt>
                <c:pt idx="67">
                  <c:v>2088</c:v>
                </c:pt>
                <c:pt idx="68">
                  <c:v>2089</c:v>
                </c:pt>
                <c:pt idx="69">
                  <c:v>2090</c:v>
                </c:pt>
                <c:pt idx="70">
                  <c:v>2091</c:v>
                </c:pt>
              </c:numCache>
            </c:numRef>
          </c:cat>
          <c:val>
            <c:numRef>
              <c:f>Calculations!$B$17:$BT$17</c:f>
              <c:numCache>
                <c:formatCode>"£"#,##0</c:formatCode>
                <c:ptCount val="71"/>
                <c:pt idx="0">
                  <c:v>14987</c:v>
                </c:pt>
                <c:pt idx="1">
                  <c:v>20073</c:v>
                </c:pt>
                <c:pt idx="2">
                  <c:v>25053</c:v>
                </c:pt>
                <c:pt idx="3">
                  <c:v>45547</c:v>
                </c:pt>
                <c:pt idx="4">
                  <c:v>71406</c:v>
                </c:pt>
                <c:pt idx="5">
                  <c:v>81529</c:v>
                </c:pt>
                <c:pt idx="6">
                  <c:v>88290</c:v>
                </c:pt>
                <c:pt idx="7">
                  <c:v>82765</c:v>
                </c:pt>
                <c:pt idx="8">
                  <c:v>77253</c:v>
                </c:pt>
                <c:pt idx="9">
                  <c:v>73154</c:v>
                </c:pt>
                <c:pt idx="10">
                  <c:v>69067</c:v>
                </c:pt>
                <c:pt idx="11">
                  <c:v>64992</c:v>
                </c:pt>
                <c:pt idx="12">
                  <c:v>60929</c:v>
                </c:pt>
                <c:pt idx="13">
                  <c:v>56877</c:v>
                </c:pt>
                <c:pt idx="14">
                  <c:v>52836</c:v>
                </c:pt>
                <c:pt idx="15">
                  <c:v>48806</c:v>
                </c:pt>
                <c:pt idx="16">
                  <c:v>44787</c:v>
                </c:pt>
                <c:pt idx="17">
                  <c:v>40778</c:v>
                </c:pt>
                <c:pt idx="18">
                  <c:v>36780</c:v>
                </c:pt>
                <c:pt idx="19">
                  <c:v>32791</c:v>
                </c:pt>
                <c:pt idx="20">
                  <c:v>28812</c:v>
                </c:pt>
                <c:pt idx="21">
                  <c:v>24842</c:v>
                </c:pt>
                <c:pt idx="22">
                  <c:v>20882</c:v>
                </c:pt>
                <c:pt idx="23">
                  <c:v>16930</c:v>
                </c:pt>
                <c:pt idx="24">
                  <c:v>12987</c:v>
                </c:pt>
                <c:pt idx="25">
                  <c:v>9053</c:v>
                </c:pt>
                <c:pt idx="26">
                  <c:v>5127</c:v>
                </c:pt>
                <c:pt idx="27">
                  <c:v>1209</c:v>
                </c:pt>
                <c:pt idx="28">
                  <c:v>-2701</c:v>
                </c:pt>
                <c:pt idx="29">
                  <c:v>-6524</c:v>
                </c:pt>
                <c:pt idx="30">
                  <c:v>-10339</c:v>
                </c:pt>
                <c:pt idx="31">
                  <c:v>-14048</c:v>
                </c:pt>
                <c:pt idx="32">
                  <c:v>-17750</c:v>
                </c:pt>
                <c:pt idx="33">
                  <c:v>-21445</c:v>
                </c:pt>
                <c:pt idx="34">
                  <c:v>-25133</c:v>
                </c:pt>
                <c:pt idx="35">
                  <c:v>-28815</c:v>
                </c:pt>
                <c:pt idx="36">
                  <c:v>-32490</c:v>
                </c:pt>
                <c:pt idx="37">
                  <c:v>-36159</c:v>
                </c:pt>
                <c:pt idx="38">
                  <c:v>-39822</c:v>
                </c:pt>
                <c:pt idx="39">
                  <c:v>-43218</c:v>
                </c:pt>
                <c:pt idx="40">
                  <c:v>-46048</c:v>
                </c:pt>
                <c:pt idx="41">
                  <c:v>-48443</c:v>
                </c:pt>
                <c:pt idx="42">
                  <c:v>-50833</c:v>
                </c:pt>
                <c:pt idx="43">
                  <c:v>-53217</c:v>
                </c:pt>
                <c:pt idx="44">
                  <c:v>-54846</c:v>
                </c:pt>
                <c:pt idx="45">
                  <c:v>-55720</c:v>
                </c:pt>
                <c:pt idx="46">
                  <c:v>-56025</c:v>
                </c:pt>
                <c:pt idx="47">
                  <c:v>-56214</c:v>
                </c:pt>
                <c:pt idx="48">
                  <c:v>-56399</c:v>
                </c:pt>
                <c:pt idx="49">
                  <c:v>-56579</c:v>
                </c:pt>
                <c:pt idx="50">
                  <c:v>-56754</c:v>
                </c:pt>
                <c:pt idx="51">
                  <c:v>-56754</c:v>
                </c:pt>
                <c:pt idx="52">
                  <c:v>-56754</c:v>
                </c:pt>
                <c:pt idx="53">
                  <c:v>-56754</c:v>
                </c:pt>
                <c:pt idx="54">
                  <c:v>-56754</c:v>
                </c:pt>
                <c:pt idx="55">
                  <c:v>-56754</c:v>
                </c:pt>
                <c:pt idx="56">
                  <c:v>-56754</c:v>
                </c:pt>
                <c:pt idx="57">
                  <c:v>-56754</c:v>
                </c:pt>
                <c:pt idx="58">
                  <c:v>-56754</c:v>
                </c:pt>
                <c:pt idx="59">
                  <c:v>-56754</c:v>
                </c:pt>
                <c:pt idx="60">
                  <c:v>-56754</c:v>
                </c:pt>
                <c:pt idx="61">
                  <c:v>-56754</c:v>
                </c:pt>
                <c:pt idx="62">
                  <c:v>-56754</c:v>
                </c:pt>
                <c:pt idx="63">
                  <c:v>-56754</c:v>
                </c:pt>
                <c:pt idx="64">
                  <c:v>-56754</c:v>
                </c:pt>
                <c:pt idx="65">
                  <c:v>-56754</c:v>
                </c:pt>
                <c:pt idx="66">
                  <c:v>-56754</c:v>
                </c:pt>
                <c:pt idx="67">
                  <c:v>-56754</c:v>
                </c:pt>
                <c:pt idx="68">
                  <c:v>-56754</c:v>
                </c:pt>
                <c:pt idx="69">
                  <c:v>-56754</c:v>
                </c:pt>
                <c:pt idx="70">
                  <c:v>-56754</c:v>
                </c:pt>
              </c:numCache>
            </c:numRef>
          </c:val>
          <c:smooth val="0"/>
          <c:extLst>
            <c:ext xmlns:c16="http://schemas.microsoft.com/office/drawing/2014/chart" uri="{C3380CC4-5D6E-409C-BE32-E72D297353CC}">
              <c16:uniqueId val="{00000006-2927-4E31-B9DB-B427B7BF92E0}"/>
            </c:ext>
          </c:extLst>
        </c:ser>
        <c:ser>
          <c:idx val="5"/>
          <c:order val="7"/>
          <c:tx>
            <c:strRef>
              <c:f>Calculations!$A$22</c:f>
              <c:strCache>
                <c:ptCount val="1"/>
                <c:pt idx="0">
                  <c:v>Loans CFR</c:v>
                </c:pt>
              </c:strCache>
            </c:strRef>
          </c:tx>
          <c:spPr>
            <a:ln w="44450" cap="rnd">
              <a:solidFill>
                <a:srgbClr val="252D59"/>
              </a:solidFill>
              <a:round/>
            </a:ln>
            <a:effectLst/>
          </c:spPr>
          <c:marker>
            <c:symbol val="none"/>
          </c:marker>
          <c:cat>
            <c:numRef>
              <c:f>Calculations!$B$3:$BT$3</c:f>
              <c:numCache>
                <c:formatCode>General</c:formatCode>
                <c:ptCount val="71"/>
                <c:pt idx="0">
                  <c:v>2021</c:v>
                </c:pt>
                <c:pt idx="1">
                  <c:v>2022</c:v>
                </c:pt>
                <c:pt idx="2">
                  <c:v>2023</c:v>
                </c:pt>
                <c:pt idx="3">
                  <c:v>2024</c:v>
                </c:pt>
                <c:pt idx="4">
                  <c:v>2025</c:v>
                </c:pt>
                <c:pt idx="5">
                  <c:v>2026</c:v>
                </c:pt>
                <c:pt idx="6">
                  <c:v>2027</c:v>
                </c:pt>
                <c:pt idx="7">
                  <c:v>2028</c:v>
                </c:pt>
                <c:pt idx="8">
                  <c:v>2029</c:v>
                </c:pt>
                <c:pt idx="9">
                  <c:v>2030</c:v>
                </c:pt>
                <c:pt idx="10">
                  <c:v>2031</c:v>
                </c:pt>
                <c:pt idx="11">
                  <c:v>2032</c:v>
                </c:pt>
                <c:pt idx="12">
                  <c:v>2033</c:v>
                </c:pt>
                <c:pt idx="13">
                  <c:v>2034</c:v>
                </c:pt>
                <c:pt idx="14">
                  <c:v>2035</c:v>
                </c:pt>
                <c:pt idx="15">
                  <c:v>2036</c:v>
                </c:pt>
                <c:pt idx="16">
                  <c:v>2037</c:v>
                </c:pt>
                <c:pt idx="17">
                  <c:v>2038</c:v>
                </c:pt>
                <c:pt idx="18">
                  <c:v>2039</c:v>
                </c:pt>
                <c:pt idx="19">
                  <c:v>2040</c:v>
                </c:pt>
                <c:pt idx="20">
                  <c:v>2041</c:v>
                </c:pt>
                <c:pt idx="21">
                  <c:v>2042</c:v>
                </c:pt>
                <c:pt idx="22">
                  <c:v>2043</c:v>
                </c:pt>
                <c:pt idx="23">
                  <c:v>2044</c:v>
                </c:pt>
                <c:pt idx="24">
                  <c:v>2045</c:v>
                </c:pt>
                <c:pt idx="25">
                  <c:v>2046</c:v>
                </c:pt>
                <c:pt idx="26">
                  <c:v>2047</c:v>
                </c:pt>
                <c:pt idx="27">
                  <c:v>2048</c:v>
                </c:pt>
                <c:pt idx="28">
                  <c:v>2049</c:v>
                </c:pt>
                <c:pt idx="29">
                  <c:v>2050</c:v>
                </c:pt>
                <c:pt idx="30">
                  <c:v>2051</c:v>
                </c:pt>
                <c:pt idx="31">
                  <c:v>2052</c:v>
                </c:pt>
                <c:pt idx="32">
                  <c:v>2053</c:v>
                </c:pt>
                <c:pt idx="33">
                  <c:v>2054</c:v>
                </c:pt>
                <c:pt idx="34">
                  <c:v>2055</c:v>
                </c:pt>
                <c:pt idx="35">
                  <c:v>2056</c:v>
                </c:pt>
                <c:pt idx="36">
                  <c:v>2057</c:v>
                </c:pt>
                <c:pt idx="37">
                  <c:v>2058</c:v>
                </c:pt>
                <c:pt idx="38">
                  <c:v>2059</c:v>
                </c:pt>
                <c:pt idx="39">
                  <c:v>2060</c:v>
                </c:pt>
                <c:pt idx="40">
                  <c:v>2061</c:v>
                </c:pt>
                <c:pt idx="41">
                  <c:v>2062</c:v>
                </c:pt>
                <c:pt idx="42">
                  <c:v>2063</c:v>
                </c:pt>
                <c:pt idx="43">
                  <c:v>2064</c:v>
                </c:pt>
                <c:pt idx="44">
                  <c:v>2065</c:v>
                </c:pt>
                <c:pt idx="45">
                  <c:v>2066</c:v>
                </c:pt>
                <c:pt idx="46">
                  <c:v>2067</c:v>
                </c:pt>
                <c:pt idx="47">
                  <c:v>2068</c:v>
                </c:pt>
                <c:pt idx="48">
                  <c:v>2069</c:v>
                </c:pt>
                <c:pt idx="49">
                  <c:v>2070</c:v>
                </c:pt>
                <c:pt idx="50">
                  <c:v>2071</c:v>
                </c:pt>
                <c:pt idx="51">
                  <c:v>2072</c:v>
                </c:pt>
                <c:pt idx="52">
                  <c:v>2073</c:v>
                </c:pt>
                <c:pt idx="53">
                  <c:v>2074</c:v>
                </c:pt>
                <c:pt idx="54">
                  <c:v>2075</c:v>
                </c:pt>
                <c:pt idx="55">
                  <c:v>2076</c:v>
                </c:pt>
                <c:pt idx="56">
                  <c:v>2077</c:v>
                </c:pt>
                <c:pt idx="57">
                  <c:v>2078</c:v>
                </c:pt>
                <c:pt idx="58">
                  <c:v>2079</c:v>
                </c:pt>
                <c:pt idx="59">
                  <c:v>2080</c:v>
                </c:pt>
                <c:pt idx="60">
                  <c:v>2081</c:v>
                </c:pt>
                <c:pt idx="61">
                  <c:v>2082</c:v>
                </c:pt>
                <c:pt idx="62">
                  <c:v>2083</c:v>
                </c:pt>
                <c:pt idx="63">
                  <c:v>2084</c:v>
                </c:pt>
                <c:pt idx="64">
                  <c:v>2085</c:v>
                </c:pt>
                <c:pt idx="65">
                  <c:v>2086</c:v>
                </c:pt>
                <c:pt idx="66">
                  <c:v>2087</c:v>
                </c:pt>
                <c:pt idx="67">
                  <c:v>2088</c:v>
                </c:pt>
                <c:pt idx="68">
                  <c:v>2089</c:v>
                </c:pt>
                <c:pt idx="69">
                  <c:v>2090</c:v>
                </c:pt>
                <c:pt idx="70">
                  <c:v>2091</c:v>
                </c:pt>
              </c:numCache>
            </c:numRef>
          </c:cat>
          <c:val>
            <c:numRef>
              <c:f>Calculations!$B$22:$BT$22</c:f>
              <c:numCache>
                <c:formatCode>"£"#,##0</c:formatCode>
                <c:ptCount val="71"/>
                <c:pt idx="0">
                  <c:v>78665</c:v>
                </c:pt>
                <c:pt idx="1">
                  <c:v>83751</c:v>
                </c:pt>
                <c:pt idx="2">
                  <c:v>88731</c:v>
                </c:pt>
                <c:pt idx="3">
                  <c:v>109225</c:v>
                </c:pt>
                <c:pt idx="4">
                  <c:v>135084</c:v>
                </c:pt>
                <c:pt idx="5">
                  <c:v>145207</c:v>
                </c:pt>
                <c:pt idx="6">
                  <c:v>151968</c:v>
                </c:pt>
                <c:pt idx="7">
                  <c:v>146443</c:v>
                </c:pt>
                <c:pt idx="8">
                  <c:v>140931</c:v>
                </c:pt>
                <c:pt idx="9">
                  <c:v>136832</c:v>
                </c:pt>
                <c:pt idx="10">
                  <c:v>132745</c:v>
                </c:pt>
                <c:pt idx="11">
                  <c:v>128670</c:v>
                </c:pt>
                <c:pt idx="12">
                  <c:v>124607</c:v>
                </c:pt>
                <c:pt idx="13">
                  <c:v>120555</c:v>
                </c:pt>
                <c:pt idx="14">
                  <c:v>116514</c:v>
                </c:pt>
                <c:pt idx="15">
                  <c:v>112484</c:v>
                </c:pt>
                <c:pt idx="16">
                  <c:v>108465</c:v>
                </c:pt>
                <c:pt idx="17">
                  <c:v>104456</c:v>
                </c:pt>
                <c:pt idx="18">
                  <c:v>100458</c:v>
                </c:pt>
                <c:pt idx="19">
                  <c:v>96469</c:v>
                </c:pt>
                <c:pt idx="20">
                  <c:v>92490</c:v>
                </c:pt>
                <c:pt idx="21">
                  <c:v>88520</c:v>
                </c:pt>
                <c:pt idx="22">
                  <c:v>84560</c:v>
                </c:pt>
                <c:pt idx="23">
                  <c:v>80608</c:v>
                </c:pt>
                <c:pt idx="24">
                  <c:v>76665</c:v>
                </c:pt>
                <c:pt idx="25">
                  <c:v>72731</c:v>
                </c:pt>
                <c:pt idx="26">
                  <c:v>68805</c:v>
                </c:pt>
                <c:pt idx="27">
                  <c:v>64887</c:v>
                </c:pt>
                <c:pt idx="28">
                  <c:v>60977</c:v>
                </c:pt>
                <c:pt idx="29">
                  <c:v>57154</c:v>
                </c:pt>
                <c:pt idx="30">
                  <c:v>53339</c:v>
                </c:pt>
                <c:pt idx="31">
                  <c:v>49630</c:v>
                </c:pt>
                <c:pt idx="32">
                  <c:v>45928</c:v>
                </c:pt>
                <c:pt idx="33">
                  <c:v>42233</c:v>
                </c:pt>
                <c:pt idx="34">
                  <c:v>38545</c:v>
                </c:pt>
                <c:pt idx="35">
                  <c:v>34863</c:v>
                </c:pt>
                <c:pt idx="36">
                  <c:v>31188</c:v>
                </c:pt>
                <c:pt idx="37">
                  <c:v>27519</c:v>
                </c:pt>
                <c:pt idx="38">
                  <c:v>23856</c:v>
                </c:pt>
                <c:pt idx="39">
                  <c:v>20460</c:v>
                </c:pt>
                <c:pt idx="40">
                  <c:v>17630</c:v>
                </c:pt>
                <c:pt idx="41">
                  <c:v>15235</c:v>
                </c:pt>
                <c:pt idx="42">
                  <c:v>12845</c:v>
                </c:pt>
                <c:pt idx="43">
                  <c:v>10461</c:v>
                </c:pt>
                <c:pt idx="44">
                  <c:v>8832</c:v>
                </c:pt>
                <c:pt idx="45">
                  <c:v>7958</c:v>
                </c:pt>
                <c:pt idx="46">
                  <c:v>7653</c:v>
                </c:pt>
                <c:pt idx="47">
                  <c:v>7464</c:v>
                </c:pt>
                <c:pt idx="48">
                  <c:v>7279</c:v>
                </c:pt>
                <c:pt idx="49">
                  <c:v>7099</c:v>
                </c:pt>
                <c:pt idx="50">
                  <c:v>6924</c:v>
                </c:pt>
                <c:pt idx="51">
                  <c:v>6924</c:v>
                </c:pt>
                <c:pt idx="52">
                  <c:v>6924</c:v>
                </c:pt>
                <c:pt idx="53">
                  <c:v>6924</c:v>
                </c:pt>
                <c:pt idx="54">
                  <c:v>6924</c:v>
                </c:pt>
                <c:pt idx="55">
                  <c:v>6924</c:v>
                </c:pt>
                <c:pt idx="56">
                  <c:v>6924</c:v>
                </c:pt>
                <c:pt idx="57">
                  <c:v>6924</c:v>
                </c:pt>
                <c:pt idx="58">
                  <c:v>6924</c:v>
                </c:pt>
                <c:pt idx="59">
                  <c:v>6924</c:v>
                </c:pt>
                <c:pt idx="60">
                  <c:v>6924</c:v>
                </c:pt>
                <c:pt idx="61">
                  <c:v>6924</c:v>
                </c:pt>
                <c:pt idx="62">
                  <c:v>6924</c:v>
                </c:pt>
                <c:pt idx="63">
                  <c:v>6924</c:v>
                </c:pt>
                <c:pt idx="64">
                  <c:v>6924</c:v>
                </c:pt>
                <c:pt idx="65">
                  <c:v>6924</c:v>
                </c:pt>
                <c:pt idx="66">
                  <c:v>6924</c:v>
                </c:pt>
                <c:pt idx="67">
                  <c:v>6924</c:v>
                </c:pt>
                <c:pt idx="68">
                  <c:v>6924</c:v>
                </c:pt>
                <c:pt idx="69">
                  <c:v>6924</c:v>
                </c:pt>
                <c:pt idx="70">
                  <c:v>6924</c:v>
                </c:pt>
              </c:numCache>
            </c:numRef>
          </c:val>
          <c:smooth val="0"/>
          <c:extLst>
            <c:ext xmlns:c16="http://schemas.microsoft.com/office/drawing/2014/chart" uri="{C3380CC4-5D6E-409C-BE32-E72D297353CC}">
              <c16:uniqueId val="{00000007-2927-4E31-B9DB-B427B7BF92E0}"/>
            </c:ext>
          </c:extLst>
        </c:ser>
        <c:ser>
          <c:idx val="6"/>
          <c:order val="8"/>
          <c:tx>
            <c:strRef>
              <c:f>Calculations!$A$25</c:f>
              <c:strCache>
                <c:ptCount val="1"/>
                <c:pt idx="0">
                  <c:v>Liability Benchmark (Gross Loans Requirement)</c:v>
                </c:pt>
              </c:strCache>
            </c:strRef>
          </c:tx>
          <c:spPr>
            <a:ln w="44450" cap="rnd">
              <a:solidFill>
                <a:srgbClr val="FF0000"/>
              </a:solidFill>
              <a:prstDash val="sysDash"/>
              <a:round/>
            </a:ln>
            <a:effectLst/>
          </c:spPr>
          <c:marker>
            <c:symbol val="none"/>
          </c:marker>
          <c:cat>
            <c:numRef>
              <c:f>Calculations!$B$3:$BT$3</c:f>
              <c:numCache>
                <c:formatCode>General</c:formatCode>
                <c:ptCount val="71"/>
                <c:pt idx="0">
                  <c:v>2021</c:v>
                </c:pt>
                <c:pt idx="1">
                  <c:v>2022</c:v>
                </c:pt>
                <c:pt idx="2">
                  <c:v>2023</c:v>
                </c:pt>
                <c:pt idx="3">
                  <c:v>2024</c:v>
                </c:pt>
                <c:pt idx="4">
                  <c:v>2025</c:v>
                </c:pt>
                <c:pt idx="5">
                  <c:v>2026</c:v>
                </c:pt>
                <c:pt idx="6">
                  <c:v>2027</c:v>
                </c:pt>
                <c:pt idx="7">
                  <c:v>2028</c:v>
                </c:pt>
                <c:pt idx="8">
                  <c:v>2029</c:v>
                </c:pt>
                <c:pt idx="9">
                  <c:v>2030</c:v>
                </c:pt>
                <c:pt idx="10">
                  <c:v>2031</c:v>
                </c:pt>
                <c:pt idx="11">
                  <c:v>2032</c:v>
                </c:pt>
                <c:pt idx="12">
                  <c:v>2033</c:v>
                </c:pt>
                <c:pt idx="13">
                  <c:v>2034</c:v>
                </c:pt>
                <c:pt idx="14">
                  <c:v>2035</c:v>
                </c:pt>
                <c:pt idx="15">
                  <c:v>2036</c:v>
                </c:pt>
                <c:pt idx="16">
                  <c:v>2037</c:v>
                </c:pt>
                <c:pt idx="17">
                  <c:v>2038</c:v>
                </c:pt>
                <c:pt idx="18">
                  <c:v>2039</c:v>
                </c:pt>
                <c:pt idx="19">
                  <c:v>2040</c:v>
                </c:pt>
                <c:pt idx="20">
                  <c:v>2041</c:v>
                </c:pt>
                <c:pt idx="21">
                  <c:v>2042</c:v>
                </c:pt>
                <c:pt idx="22">
                  <c:v>2043</c:v>
                </c:pt>
                <c:pt idx="23">
                  <c:v>2044</c:v>
                </c:pt>
                <c:pt idx="24">
                  <c:v>2045</c:v>
                </c:pt>
                <c:pt idx="25">
                  <c:v>2046</c:v>
                </c:pt>
                <c:pt idx="26">
                  <c:v>2047</c:v>
                </c:pt>
                <c:pt idx="27">
                  <c:v>2048</c:v>
                </c:pt>
                <c:pt idx="28">
                  <c:v>2049</c:v>
                </c:pt>
                <c:pt idx="29">
                  <c:v>2050</c:v>
                </c:pt>
                <c:pt idx="30">
                  <c:v>2051</c:v>
                </c:pt>
                <c:pt idx="31">
                  <c:v>2052</c:v>
                </c:pt>
                <c:pt idx="32">
                  <c:v>2053</c:v>
                </c:pt>
                <c:pt idx="33">
                  <c:v>2054</c:v>
                </c:pt>
                <c:pt idx="34">
                  <c:v>2055</c:v>
                </c:pt>
                <c:pt idx="35">
                  <c:v>2056</c:v>
                </c:pt>
                <c:pt idx="36">
                  <c:v>2057</c:v>
                </c:pt>
                <c:pt idx="37">
                  <c:v>2058</c:v>
                </c:pt>
                <c:pt idx="38">
                  <c:v>2059</c:v>
                </c:pt>
                <c:pt idx="39">
                  <c:v>2060</c:v>
                </c:pt>
                <c:pt idx="40">
                  <c:v>2061</c:v>
                </c:pt>
                <c:pt idx="41">
                  <c:v>2062</c:v>
                </c:pt>
                <c:pt idx="42">
                  <c:v>2063</c:v>
                </c:pt>
                <c:pt idx="43">
                  <c:v>2064</c:v>
                </c:pt>
                <c:pt idx="44">
                  <c:v>2065</c:v>
                </c:pt>
                <c:pt idx="45">
                  <c:v>2066</c:v>
                </c:pt>
                <c:pt idx="46">
                  <c:v>2067</c:v>
                </c:pt>
                <c:pt idx="47">
                  <c:v>2068</c:v>
                </c:pt>
                <c:pt idx="48">
                  <c:v>2069</c:v>
                </c:pt>
                <c:pt idx="49">
                  <c:v>2070</c:v>
                </c:pt>
                <c:pt idx="50">
                  <c:v>2071</c:v>
                </c:pt>
                <c:pt idx="51">
                  <c:v>2072</c:v>
                </c:pt>
                <c:pt idx="52">
                  <c:v>2073</c:v>
                </c:pt>
                <c:pt idx="53">
                  <c:v>2074</c:v>
                </c:pt>
                <c:pt idx="54">
                  <c:v>2075</c:v>
                </c:pt>
                <c:pt idx="55">
                  <c:v>2076</c:v>
                </c:pt>
                <c:pt idx="56">
                  <c:v>2077</c:v>
                </c:pt>
                <c:pt idx="57">
                  <c:v>2078</c:v>
                </c:pt>
                <c:pt idx="58">
                  <c:v>2079</c:v>
                </c:pt>
                <c:pt idx="59">
                  <c:v>2080</c:v>
                </c:pt>
                <c:pt idx="60">
                  <c:v>2081</c:v>
                </c:pt>
                <c:pt idx="61">
                  <c:v>2082</c:v>
                </c:pt>
                <c:pt idx="62">
                  <c:v>2083</c:v>
                </c:pt>
                <c:pt idx="63">
                  <c:v>2084</c:v>
                </c:pt>
                <c:pt idx="64">
                  <c:v>2085</c:v>
                </c:pt>
                <c:pt idx="65">
                  <c:v>2086</c:v>
                </c:pt>
                <c:pt idx="66">
                  <c:v>2087</c:v>
                </c:pt>
                <c:pt idx="67">
                  <c:v>2088</c:v>
                </c:pt>
                <c:pt idx="68">
                  <c:v>2089</c:v>
                </c:pt>
                <c:pt idx="69">
                  <c:v>2090</c:v>
                </c:pt>
                <c:pt idx="70">
                  <c:v>2091</c:v>
                </c:pt>
              </c:numCache>
            </c:numRef>
          </c:cat>
          <c:val>
            <c:numRef>
              <c:f>Calculations!$B$25:$BT$25</c:f>
              <c:numCache>
                <c:formatCode>"£"#,##0</c:formatCode>
                <c:ptCount val="71"/>
                <c:pt idx="0">
                  <c:v>49987</c:v>
                </c:pt>
                <c:pt idx="1">
                  <c:v>55073</c:v>
                </c:pt>
                <c:pt idx="2">
                  <c:v>60053</c:v>
                </c:pt>
                <c:pt idx="3">
                  <c:v>80547</c:v>
                </c:pt>
                <c:pt idx="4">
                  <c:v>106406</c:v>
                </c:pt>
                <c:pt idx="5">
                  <c:v>116529</c:v>
                </c:pt>
                <c:pt idx="6">
                  <c:v>123290</c:v>
                </c:pt>
                <c:pt idx="7">
                  <c:v>117765</c:v>
                </c:pt>
                <c:pt idx="8">
                  <c:v>112253</c:v>
                </c:pt>
                <c:pt idx="9">
                  <c:v>108154</c:v>
                </c:pt>
                <c:pt idx="10">
                  <c:v>104067</c:v>
                </c:pt>
                <c:pt idx="11">
                  <c:v>99992</c:v>
                </c:pt>
                <c:pt idx="12">
                  <c:v>95929</c:v>
                </c:pt>
                <c:pt idx="13">
                  <c:v>91877</c:v>
                </c:pt>
                <c:pt idx="14">
                  <c:v>87836</c:v>
                </c:pt>
                <c:pt idx="15">
                  <c:v>83806</c:v>
                </c:pt>
                <c:pt idx="16">
                  <c:v>79787</c:v>
                </c:pt>
                <c:pt idx="17">
                  <c:v>75778</c:v>
                </c:pt>
                <c:pt idx="18">
                  <c:v>71780</c:v>
                </c:pt>
                <c:pt idx="19">
                  <c:v>67791</c:v>
                </c:pt>
                <c:pt idx="20">
                  <c:v>63812</c:v>
                </c:pt>
                <c:pt idx="21">
                  <c:v>59842</c:v>
                </c:pt>
                <c:pt idx="22">
                  <c:v>55882</c:v>
                </c:pt>
                <c:pt idx="23">
                  <c:v>51930</c:v>
                </c:pt>
                <c:pt idx="24">
                  <c:v>47987</c:v>
                </c:pt>
                <c:pt idx="25">
                  <c:v>44053</c:v>
                </c:pt>
                <c:pt idx="26">
                  <c:v>40127</c:v>
                </c:pt>
                <c:pt idx="27">
                  <c:v>36209</c:v>
                </c:pt>
                <c:pt idx="28">
                  <c:v>32299</c:v>
                </c:pt>
                <c:pt idx="29">
                  <c:v>28476</c:v>
                </c:pt>
                <c:pt idx="30">
                  <c:v>24661</c:v>
                </c:pt>
                <c:pt idx="31">
                  <c:v>20952</c:v>
                </c:pt>
                <c:pt idx="32">
                  <c:v>17250</c:v>
                </c:pt>
                <c:pt idx="33">
                  <c:v>13555</c:v>
                </c:pt>
                <c:pt idx="34">
                  <c:v>9867</c:v>
                </c:pt>
                <c:pt idx="35">
                  <c:v>6185</c:v>
                </c:pt>
                <c:pt idx="36">
                  <c:v>2510</c:v>
                </c:pt>
                <c:pt idx="37">
                  <c:v>-1159</c:v>
                </c:pt>
                <c:pt idx="38">
                  <c:v>-4822</c:v>
                </c:pt>
                <c:pt idx="39">
                  <c:v>-8218</c:v>
                </c:pt>
                <c:pt idx="40">
                  <c:v>-11048</c:v>
                </c:pt>
                <c:pt idx="41">
                  <c:v>-13443</c:v>
                </c:pt>
                <c:pt idx="42">
                  <c:v>-15833</c:v>
                </c:pt>
                <c:pt idx="43">
                  <c:v>-18217</c:v>
                </c:pt>
                <c:pt idx="44">
                  <c:v>-19846</c:v>
                </c:pt>
                <c:pt idx="45">
                  <c:v>-20720</c:v>
                </c:pt>
                <c:pt idx="46">
                  <c:v>-21025</c:v>
                </c:pt>
                <c:pt idx="47">
                  <c:v>-21214</c:v>
                </c:pt>
                <c:pt idx="48">
                  <c:v>-21399</c:v>
                </c:pt>
                <c:pt idx="49">
                  <c:v>-21579</c:v>
                </c:pt>
                <c:pt idx="50">
                  <c:v>-21754</c:v>
                </c:pt>
                <c:pt idx="51">
                  <c:v>-21754</c:v>
                </c:pt>
                <c:pt idx="52">
                  <c:v>-21754</c:v>
                </c:pt>
                <c:pt idx="53">
                  <c:v>-21754</c:v>
                </c:pt>
                <c:pt idx="54">
                  <c:v>-21754</c:v>
                </c:pt>
                <c:pt idx="55">
                  <c:v>-21754</c:v>
                </c:pt>
                <c:pt idx="56">
                  <c:v>-21754</c:v>
                </c:pt>
                <c:pt idx="57">
                  <c:v>-21754</c:v>
                </c:pt>
                <c:pt idx="58">
                  <c:v>-21754</c:v>
                </c:pt>
                <c:pt idx="59">
                  <c:v>-21754</c:v>
                </c:pt>
                <c:pt idx="60">
                  <c:v>-21754</c:v>
                </c:pt>
                <c:pt idx="61">
                  <c:v>-21754</c:v>
                </c:pt>
                <c:pt idx="62">
                  <c:v>-21754</c:v>
                </c:pt>
                <c:pt idx="63">
                  <c:v>-21754</c:v>
                </c:pt>
                <c:pt idx="64">
                  <c:v>-21754</c:v>
                </c:pt>
                <c:pt idx="65">
                  <c:v>-21754</c:v>
                </c:pt>
                <c:pt idx="66">
                  <c:v>-21754</c:v>
                </c:pt>
                <c:pt idx="67">
                  <c:v>-21754</c:v>
                </c:pt>
                <c:pt idx="68">
                  <c:v>-21754</c:v>
                </c:pt>
                <c:pt idx="69">
                  <c:v>-21754</c:v>
                </c:pt>
                <c:pt idx="70">
                  <c:v>-21754</c:v>
                </c:pt>
              </c:numCache>
            </c:numRef>
          </c:val>
          <c:smooth val="0"/>
          <c:extLst>
            <c:ext xmlns:c16="http://schemas.microsoft.com/office/drawing/2014/chart" uri="{C3380CC4-5D6E-409C-BE32-E72D297353CC}">
              <c16:uniqueId val="{00000008-2927-4E31-B9DB-B427B7BF92E0}"/>
            </c:ext>
          </c:extLst>
        </c:ser>
        <c:dLbls>
          <c:showLegendKey val="0"/>
          <c:showVal val="0"/>
          <c:showCatName val="0"/>
          <c:showSerName val="0"/>
          <c:showPercent val="0"/>
          <c:showBubbleSize val="0"/>
        </c:dLbls>
        <c:marker val="1"/>
        <c:smooth val="0"/>
        <c:axId val="1193711616"/>
        <c:axId val="1193709536"/>
      </c:lineChart>
      <c:catAx>
        <c:axId val="1193711616"/>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1193709536"/>
        <c:crosses val="autoZero"/>
        <c:auto val="0"/>
        <c:lblAlgn val="ctr"/>
        <c:lblOffset val="100"/>
        <c:noMultiLvlLbl val="0"/>
      </c:catAx>
      <c:valAx>
        <c:axId val="119370953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1"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GB" sz="900" b="1">
                    <a:solidFill>
                      <a:sysClr val="windowText" lastClr="000000"/>
                    </a:solidFill>
                    <a:latin typeface="Arial" panose="020B0604020202020204" pitchFamily="34" charset="0"/>
                    <a:cs typeface="Arial" panose="020B0604020202020204" pitchFamily="34" charset="0"/>
                  </a:rPr>
                  <a:t>Total Amount (£'000)</a:t>
                </a:r>
              </a:p>
            </c:rich>
          </c:tx>
          <c:layout>
            <c:manualLayout>
              <c:xMode val="edge"/>
              <c:yMode val="edge"/>
              <c:x val="1.6479776444393201E-2"/>
              <c:y val="0.32551486753335229"/>
            </c:manualLayout>
          </c:layout>
          <c:overlay val="0"/>
          <c:spPr>
            <a:noFill/>
            <a:ln>
              <a:noFill/>
            </a:ln>
            <a:effectLst/>
          </c:spPr>
          <c:txPr>
            <a:bodyPr rot="-5400000" spcFirstLastPara="1" vertOverflow="ellipsis" vert="horz" wrap="square" anchor="ctr" anchorCtr="1"/>
            <a:lstStyle/>
            <a:p>
              <a:pPr>
                <a:defRPr sz="9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title>
        <c:numFmt formatCode="&quot;£&quot;#,##0"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1193711616"/>
        <c:crosses val="autoZero"/>
        <c:crossBetween val="between"/>
      </c:valAx>
      <c:spPr>
        <a:noFill/>
        <a:ln>
          <a:noFill/>
        </a:ln>
        <a:effectLst/>
      </c:spPr>
    </c:plotArea>
    <c:legend>
      <c:legendPos val="b"/>
      <c:layout>
        <c:manualLayout>
          <c:xMode val="edge"/>
          <c:yMode val="edge"/>
          <c:x val="8.0451640329955269E-3"/>
          <c:y val="0.86516822411090688"/>
          <c:w val="0.99195483596700451"/>
          <c:h val="0.12644854196089123"/>
        </c:manualLayout>
      </c:layout>
      <c:overlay val="0"/>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2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F9CBC7-1BB6-464F-A34B-D923CE5A1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JAC Report Template</Template>
  <TotalTime>1</TotalTime>
  <Pages>22</Pages>
  <Words>7049</Words>
  <Characters>40180</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West Midlands Police</Company>
  <LinksUpToDate>false</LinksUpToDate>
  <CharactersWithSpaces>47135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Ravi Lakhani</dc:creator>
  <cp:lastModifiedBy>Sue Dehal</cp:lastModifiedBy>
  <cp:revision>2</cp:revision>
  <cp:lastPrinted>2018-03-09T08:28:00Z</cp:lastPrinted>
  <dcterms:created xsi:type="dcterms:W3CDTF">2023-07-05T11:32:00Z</dcterms:created>
  <dcterms:modified xsi:type="dcterms:W3CDTF">2023-07-05T11:32:00Z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0x010100640852504ED9B14B8FCABC675B99DB1F</vt:lpwstr>
  </property>
  <property fmtid="{D5CDD505-2E9C-101B-9397-08002B2CF9AE}" pid="3" name="_NewReviewCycle">
    <vt:lpwstr/>
  </property>
</Properties>
</file>